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F08C" w14:textId="77777777" w:rsidR="00812D16" w:rsidRPr="001D3DB1" w:rsidRDefault="00812D16" w:rsidP="0087032C">
      <w:pPr>
        <w:pStyle w:val="Nadpis6"/>
      </w:pPr>
    </w:p>
    <w:p w14:paraId="259C0B98" w14:textId="77777777" w:rsidR="00812D16" w:rsidRPr="001D3DB1" w:rsidRDefault="00812D16" w:rsidP="00691EB7">
      <w:pPr>
        <w:widowControl w:val="0"/>
        <w:tabs>
          <w:tab w:val="clear" w:pos="567"/>
        </w:tabs>
        <w:spacing w:line="240" w:lineRule="auto"/>
      </w:pPr>
    </w:p>
    <w:p w14:paraId="6E758CCC" w14:textId="77777777" w:rsidR="00812D16" w:rsidRPr="001D3DB1" w:rsidRDefault="00812D16" w:rsidP="00E55C25"/>
    <w:p w14:paraId="2EA7725C" w14:textId="77777777" w:rsidR="00812D16" w:rsidRPr="001D3DB1" w:rsidRDefault="00812D16" w:rsidP="00E55C25"/>
    <w:p w14:paraId="68DAFDD3" w14:textId="77777777" w:rsidR="00812D16" w:rsidRPr="001D3DB1" w:rsidRDefault="00812D16" w:rsidP="00E55C25">
      <w:pPr>
        <w:rPr>
          <w:szCs w:val="22"/>
        </w:rPr>
      </w:pPr>
    </w:p>
    <w:p w14:paraId="34486FA7" w14:textId="77777777" w:rsidR="00812D16" w:rsidRPr="001D3DB1" w:rsidRDefault="00812D16" w:rsidP="00E55C25">
      <w:pPr>
        <w:rPr>
          <w:szCs w:val="22"/>
        </w:rPr>
      </w:pPr>
    </w:p>
    <w:p w14:paraId="59F03800" w14:textId="77777777" w:rsidR="00812D16" w:rsidRPr="001D3DB1" w:rsidRDefault="00812D16" w:rsidP="00E55C25">
      <w:pPr>
        <w:rPr>
          <w:szCs w:val="22"/>
        </w:rPr>
      </w:pPr>
    </w:p>
    <w:p w14:paraId="6FA14C23" w14:textId="77777777" w:rsidR="00812D16" w:rsidRPr="001D3DB1" w:rsidRDefault="00812D16" w:rsidP="00E55C25">
      <w:pPr>
        <w:rPr>
          <w:szCs w:val="22"/>
        </w:rPr>
      </w:pPr>
    </w:p>
    <w:p w14:paraId="19F2C963" w14:textId="77777777" w:rsidR="00812D16" w:rsidRPr="001D3DB1" w:rsidRDefault="00812D16" w:rsidP="00E55C25">
      <w:pPr>
        <w:rPr>
          <w:szCs w:val="22"/>
        </w:rPr>
      </w:pPr>
    </w:p>
    <w:p w14:paraId="12249962" w14:textId="77777777" w:rsidR="00812D16" w:rsidRPr="001D3DB1" w:rsidRDefault="00812D16" w:rsidP="00E55C25">
      <w:pPr>
        <w:rPr>
          <w:szCs w:val="22"/>
        </w:rPr>
      </w:pPr>
    </w:p>
    <w:p w14:paraId="211D03D8" w14:textId="77777777" w:rsidR="00812D16" w:rsidRPr="001D3DB1" w:rsidRDefault="00812D16" w:rsidP="00E55C25">
      <w:pPr>
        <w:rPr>
          <w:szCs w:val="22"/>
        </w:rPr>
      </w:pPr>
    </w:p>
    <w:p w14:paraId="712934A1" w14:textId="77777777" w:rsidR="00812D16" w:rsidRPr="001D3DB1" w:rsidRDefault="00812D16" w:rsidP="00E55C25">
      <w:pPr>
        <w:rPr>
          <w:szCs w:val="22"/>
        </w:rPr>
      </w:pPr>
    </w:p>
    <w:p w14:paraId="54D50969" w14:textId="77777777" w:rsidR="00812D16" w:rsidRPr="001D3DB1" w:rsidRDefault="00812D16" w:rsidP="00E55C25">
      <w:pPr>
        <w:rPr>
          <w:szCs w:val="22"/>
        </w:rPr>
      </w:pPr>
    </w:p>
    <w:p w14:paraId="0BD6E3FA" w14:textId="77777777" w:rsidR="00812D16" w:rsidRPr="001D3DB1" w:rsidRDefault="00812D16" w:rsidP="00E55C25">
      <w:pPr>
        <w:rPr>
          <w:szCs w:val="22"/>
        </w:rPr>
      </w:pPr>
    </w:p>
    <w:p w14:paraId="4DF4B7B3" w14:textId="77777777" w:rsidR="00812D16" w:rsidRPr="001D3DB1" w:rsidRDefault="00812D16" w:rsidP="00E55C25">
      <w:pPr>
        <w:rPr>
          <w:szCs w:val="22"/>
        </w:rPr>
      </w:pPr>
    </w:p>
    <w:p w14:paraId="40382B9D" w14:textId="77777777" w:rsidR="00812D16" w:rsidRPr="001D3DB1" w:rsidRDefault="00812D16" w:rsidP="00E55C25">
      <w:pPr>
        <w:rPr>
          <w:szCs w:val="22"/>
        </w:rPr>
      </w:pPr>
    </w:p>
    <w:p w14:paraId="45EDFADB" w14:textId="77777777" w:rsidR="00812D16" w:rsidRPr="001D3DB1" w:rsidRDefault="00812D16" w:rsidP="00E55C25">
      <w:pPr>
        <w:rPr>
          <w:szCs w:val="22"/>
        </w:rPr>
      </w:pPr>
    </w:p>
    <w:p w14:paraId="55BD6EB6" w14:textId="77777777" w:rsidR="00812D16" w:rsidRPr="001D3DB1" w:rsidRDefault="00812D16" w:rsidP="00E55C25"/>
    <w:p w14:paraId="5F4D1D13" w14:textId="77777777" w:rsidR="00812D16" w:rsidRPr="001D3DB1" w:rsidRDefault="00812D16" w:rsidP="00E55C25"/>
    <w:p w14:paraId="2C613D64" w14:textId="77777777" w:rsidR="00812D16" w:rsidRPr="001D3DB1" w:rsidRDefault="00812D16" w:rsidP="00E55C25"/>
    <w:p w14:paraId="297CF6DA" w14:textId="77777777" w:rsidR="00812D16" w:rsidRPr="001D3DB1" w:rsidRDefault="00812D16" w:rsidP="00E55C25"/>
    <w:p w14:paraId="3A16D4A6" w14:textId="77777777" w:rsidR="00812D16" w:rsidRPr="001D3DB1" w:rsidRDefault="00812D16" w:rsidP="00E55C25"/>
    <w:p w14:paraId="18E8BAC6" w14:textId="58E21C17" w:rsidR="00812D16" w:rsidRPr="001D3DB1" w:rsidRDefault="00812D16" w:rsidP="00D92041">
      <w:pPr>
        <w:spacing w:line="240" w:lineRule="auto"/>
        <w:jc w:val="center"/>
      </w:pPr>
      <w:r w:rsidRPr="001D3DB1">
        <w:rPr>
          <w:b/>
        </w:rPr>
        <w:t>PŘÍLOHA I</w:t>
      </w:r>
    </w:p>
    <w:p w14:paraId="335208EF" w14:textId="77777777" w:rsidR="00812D16" w:rsidRPr="001D3DB1" w:rsidRDefault="00812D16" w:rsidP="00DF288F">
      <w:pPr>
        <w:spacing w:line="240" w:lineRule="auto"/>
        <w:jc w:val="center"/>
      </w:pPr>
    </w:p>
    <w:p w14:paraId="6D2D8BD8" w14:textId="1608736C" w:rsidR="00812D16" w:rsidRPr="001D3DB1" w:rsidRDefault="00812D16" w:rsidP="00D92041">
      <w:pPr>
        <w:pStyle w:val="TitelA"/>
      </w:pPr>
      <w:r w:rsidRPr="001D3DB1">
        <w:t>SOUHRN ÚDAJŮ O</w:t>
      </w:r>
      <w:r w:rsidRPr="00664304">
        <w:t xml:space="preserve"> </w:t>
      </w:r>
      <w:r w:rsidRPr="001D3DB1">
        <w:t>PŘÍPRAVKU</w:t>
      </w:r>
    </w:p>
    <w:p w14:paraId="075AC134" w14:textId="059672A6" w:rsidR="00033D26" w:rsidRPr="001D3DB1" w:rsidRDefault="00812D16" w:rsidP="00204AAB">
      <w:pPr>
        <w:spacing w:line="240" w:lineRule="auto"/>
        <w:rPr>
          <w:bCs/>
          <w:szCs w:val="22"/>
        </w:rPr>
      </w:pPr>
      <w:r w:rsidRPr="001D3DB1">
        <w:br w:type="page"/>
      </w:r>
      <w:r w:rsidRPr="00A062D5">
        <w:rPr>
          <w:noProof/>
          <w:lang w:eastAsia="en-GB"/>
        </w:rPr>
        <w:lastRenderedPageBreak/>
        <w:drawing>
          <wp:inline distT="0" distB="0" distL="0" distR="0" wp14:anchorId="08C01C1C" wp14:editId="7462990D">
            <wp:extent cx="200660" cy="180975"/>
            <wp:effectExtent l="0" t="0" r="0" b="0"/>
            <wp:docPr id="2" name="Bild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DB1">
        <w:t>Tento léčivý přípravek podléhá dalšímu sledování. To umožní rychlé získání nových informací o bezpečnosti. Žádáme zdravotnické pracovníky, aby hlásili jakákoli podezření na nežádoucí účinky. Podrobnosti o hlášení nežádoucích účinků viz bod 4.8.</w:t>
      </w:r>
    </w:p>
    <w:p w14:paraId="07C37642" w14:textId="77777777" w:rsidR="00BC4F78" w:rsidRPr="001D3DB1" w:rsidRDefault="00BC4F78" w:rsidP="00204AAB">
      <w:pPr>
        <w:spacing w:line="240" w:lineRule="auto"/>
        <w:rPr>
          <w:szCs w:val="22"/>
        </w:rPr>
      </w:pPr>
    </w:p>
    <w:p w14:paraId="709C81E3" w14:textId="77777777" w:rsidR="00033D26" w:rsidRPr="001D3DB1" w:rsidRDefault="00033D26" w:rsidP="00204AAB">
      <w:pPr>
        <w:spacing w:line="240" w:lineRule="auto"/>
        <w:rPr>
          <w:szCs w:val="22"/>
        </w:rPr>
      </w:pPr>
    </w:p>
    <w:p w14:paraId="3F2FDF58" w14:textId="77777777" w:rsidR="00812D16" w:rsidRPr="001D3DB1" w:rsidRDefault="00812D16" w:rsidP="005954DA">
      <w:pPr>
        <w:keepNext/>
        <w:suppressAutoHyphens/>
        <w:spacing w:line="240" w:lineRule="auto"/>
        <w:ind w:left="567" w:hanging="567"/>
        <w:outlineLvl w:val="1"/>
        <w:rPr>
          <w:szCs w:val="22"/>
        </w:rPr>
      </w:pPr>
      <w:r w:rsidRPr="001D3DB1">
        <w:rPr>
          <w:b/>
        </w:rPr>
        <w:t>1.</w:t>
      </w:r>
      <w:r w:rsidRPr="001D3DB1">
        <w:rPr>
          <w:b/>
        </w:rPr>
        <w:tab/>
        <w:t>NÁZEV PŘÍPRAVKU</w:t>
      </w:r>
    </w:p>
    <w:p w14:paraId="2A9812CE" w14:textId="77777777" w:rsidR="00812D16" w:rsidRPr="001D3DB1" w:rsidRDefault="00812D16" w:rsidP="00DB1527">
      <w:pPr>
        <w:keepNext/>
        <w:spacing w:line="240" w:lineRule="auto"/>
        <w:rPr>
          <w:iCs/>
          <w:szCs w:val="22"/>
        </w:rPr>
      </w:pPr>
    </w:p>
    <w:p w14:paraId="27162887" w14:textId="77777777" w:rsidR="00ED43F6" w:rsidRPr="001D3DB1" w:rsidRDefault="00C229B4" w:rsidP="00DB1527">
      <w:pPr>
        <w:keepNext/>
        <w:widowControl w:val="0"/>
        <w:spacing w:line="240" w:lineRule="auto"/>
        <w:rPr>
          <w:szCs w:val="22"/>
        </w:rPr>
      </w:pPr>
      <w:proofErr w:type="spellStart"/>
      <w:r w:rsidRPr="001D3DB1">
        <w:t>Verquvo</w:t>
      </w:r>
      <w:proofErr w:type="spellEnd"/>
      <w:r w:rsidRPr="001D3DB1">
        <w:t xml:space="preserve"> 2,5 mg potahované tablety</w:t>
      </w:r>
    </w:p>
    <w:p w14:paraId="181D85A8" w14:textId="77777777" w:rsidR="00BC4F78" w:rsidRPr="001D3DB1" w:rsidRDefault="00771186" w:rsidP="00DB1527">
      <w:pPr>
        <w:keepNext/>
        <w:widowControl w:val="0"/>
        <w:spacing w:line="240" w:lineRule="auto"/>
        <w:rPr>
          <w:szCs w:val="22"/>
        </w:rPr>
      </w:pPr>
      <w:proofErr w:type="spellStart"/>
      <w:r w:rsidRPr="001D3DB1">
        <w:t>Verquvo</w:t>
      </w:r>
      <w:proofErr w:type="spellEnd"/>
      <w:r w:rsidRPr="001D3DB1">
        <w:t xml:space="preserve"> 5 mg potahované tablety</w:t>
      </w:r>
    </w:p>
    <w:p w14:paraId="3F9D43DD" w14:textId="77777777" w:rsidR="00BC4F78" w:rsidRPr="001D3DB1" w:rsidRDefault="00771186" w:rsidP="00DB1527">
      <w:pPr>
        <w:keepNext/>
        <w:widowControl w:val="0"/>
        <w:spacing w:line="240" w:lineRule="auto"/>
        <w:rPr>
          <w:szCs w:val="22"/>
        </w:rPr>
      </w:pPr>
      <w:proofErr w:type="spellStart"/>
      <w:r w:rsidRPr="001D3DB1">
        <w:t>Verquvo</w:t>
      </w:r>
      <w:proofErr w:type="spellEnd"/>
      <w:r w:rsidRPr="001D3DB1">
        <w:t xml:space="preserve"> 10 mg potahované tablety</w:t>
      </w:r>
    </w:p>
    <w:p w14:paraId="0F415A38" w14:textId="77777777" w:rsidR="00812D16" w:rsidRPr="001D3DB1" w:rsidRDefault="00812D16" w:rsidP="00D6067C">
      <w:pPr>
        <w:keepNext/>
        <w:spacing w:line="240" w:lineRule="auto"/>
        <w:rPr>
          <w:iCs/>
          <w:szCs w:val="22"/>
        </w:rPr>
      </w:pPr>
    </w:p>
    <w:p w14:paraId="592EBD28" w14:textId="77777777" w:rsidR="00DB1527" w:rsidRPr="001D3DB1" w:rsidRDefault="00DB1527" w:rsidP="00204AAB">
      <w:pPr>
        <w:spacing w:line="240" w:lineRule="auto"/>
        <w:rPr>
          <w:iCs/>
          <w:szCs w:val="22"/>
        </w:rPr>
      </w:pPr>
    </w:p>
    <w:p w14:paraId="711B84D0" w14:textId="5D40B77F" w:rsidR="00812D16" w:rsidRPr="001D3DB1" w:rsidRDefault="00812D16" w:rsidP="005954DA">
      <w:pPr>
        <w:keepNext/>
        <w:suppressAutoHyphens/>
        <w:spacing w:line="240" w:lineRule="auto"/>
        <w:ind w:left="567" w:hanging="567"/>
        <w:outlineLvl w:val="1"/>
        <w:rPr>
          <w:szCs w:val="22"/>
        </w:rPr>
      </w:pPr>
      <w:r w:rsidRPr="001D3DB1">
        <w:rPr>
          <w:b/>
        </w:rPr>
        <w:t>2.</w:t>
      </w:r>
      <w:r w:rsidRPr="001D3DB1">
        <w:rPr>
          <w:b/>
        </w:rPr>
        <w:tab/>
        <w:t>KVALITATIVNÍ A KVANTITATIVNÍ SLOŽENÍ</w:t>
      </w:r>
    </w:p>
    <w:p w14:paraId="47C3253C" w14:textId="77777777" w:rsidR="00812D16" w:rsidRPr="001D3DB1" w:rsidRDefault="00812D16" w:rsidP="00DB1527">
      <w:pPr>
        <w:keepNext/>
        <w:spacing w:line="240" w:lineRule="auto"/>
        <w:rPr>
          <w:szCs w:val="22"/>
        </w:rPr>
      </w:pPr>
    </w:p>
    <w:p w14:paraId="24784A70" w14:textId="77777777" w:rsidR="00BC4F78" w:rsidRPr="001D3DB1" w:rsidRDefault="00771186" w:rsidP="00DB1527">
      <w:pPr>
        <w:keepNext/>
        <w:widowControl w:val="0"/>
        <w:spacing w:line="240" w:lineRule="auto"/>
        <w:rPr>
          <w:szCs w:val="22"/>
          <w:u w:val="single"/>
        </w:rPr>
      </w:pPr>
      <w:proofErr w:type="spellStart"/>
      <w:r w:rsidRPr="001D3DB1">
        <w:rPr>
          <w:u w:val="single"/>
        </w:rPr>
        <w:t>Verquvo</w:t>
      </w:r>
      <w:proofErr w:type="spellEnd"/>
      <w:r w:rsidRPr="001D3DB1">
        <w:rPr>
          <w:u w:val="single"/>
        </w:rPr>
        <w:t xml:space="preserve"> 2,5 mg potahované tablety</w:t>
      </w:r>
    </w:p>
    <w:p w14:paraId="35CC63C9" w14:textId="77777777" w:rsidR="007F1EAD" w:rsidRPr="001D3DB1" w:rsidRDefault="007F1EAD" w:rsidP="00DB1527">
      <w:pPr>
        <w:keepNext/>
        <w:widowControl w:val="0"/>
        <w:spacing w:line="240" w:lineRule="auto"/>
        <w:rPr>
          <w:szCs w:val="22"/>
          <w:u w:val="single"/>
        </w:rPr>
      </w:pPr>
    </w:p>
    <w:p w14:paraId="7D1CD93A" w14:textId="14020D74" w:rsidR="00BC4F78" w:rsidRPr="001D3DB1" w:rsidRDefault="00BC4F78" w:rsidP="00DB152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rPr>
          <w:rFonts w:eastAsia="SimSun"/>
        </w:rPr>
        <w:t>Jedna potahovaná tableta obsahuje 2,5 mg</w:t>
      </w:r>
      <w:r w:rsidR="008E1ABE">
        <w:rPr>
          <w:rFonts w:eastAsia="SimSun"/>
        </w:rPr>
        <w:t xml:space="preserve"> </w:t>
      </w:r>
      <w:proofErr w:type="spellStart"/>
      <w:r w:rsidR="008E1ABE" w:rsidRPr="008E1ABE">
        <w:rPr>
          <w:rFonts w:eastAsia="SimSun"/>
        </w:rPr>
        <w:t>vericig</w:t>
      </w:r>
      <w:r w:rsidR="00F877C8">
        <w:rPr>
          <w:rFonts w:eastAsia="SimSun"/>
        </w:rPr>
        <w:t>u</w:t>
      </w:r>
      <w:r w:rsidR="008E1ABE" w:rsidRPr="008E1ABE">
        <w:rPr>
          <w:rFonts w:eastAsia="SimSun"/>
        </w:rPr>
        <w:t>át</w:t>
      </w:r>
      <w:r w:rsidR="008E1ABE">
        <w:rPr>
          <w:rFonts w:eastAsia="SimSun"/>
        </w:rPr>
        <w:t>u</w:t>
      </w:r>
      <w:proofErr w:type="spellEnd"/>
      <w:r w:rsidRPr="001D3DB1">
        <w:rPr>
          <w:rFonts w:eastAsia="SimSun"/>
        </w:rPr>
        <w:t>.</w:t>
      </w:r>
    </w:p>
    <w:p w14:paraId="56C683A6" w14:textId="77777777" w:rsidR="005A2B91" w:rsidRPr="001D3DB1" w:rsidRDefault="005A2B91" w:rsidP="00204AAB">
      <w:pPr>
        <w:spacing w:line="240" w:lineRule="auto"/>
        <w:rPr>
          <w:szCs w:val="22"/>
        </w:rPr>
      </w:pPr>
    </w:p>
    <w:p w14:paraId="18B561A1" w14:textId="77777777" w:rsidR="00682DD9" w:rsidRPr="001D3DB1" w:rsidRDefault="00682DD9" w:rsidP="00682DD9">
      <w:pPr>
        <w:keepNext/>
        <w:autoSpaceDE w:val="0"/>
        <w:autoSpaceDN w:val="0"/>
        <w:adjustRightInd w:val="0"/>
        <w:rPr>
          <w:rFonts w:eastAsia="SimSun"/>
          <w:i/>
          <w:iCs/>
          <w:szCs w:val="22"/>
        </w:rPr>
      </w:pPr>
      <w:r w:rsidRPr="001D3DB1">
        <w:rPr>
          <w:rFonts w:eastAsia="SimSun"/>
          <w:i/>
        </w:rPr>
        <w:t>Pomocné látky se známým účinkem</w:t>
      </w:r>
    </w:p>
    <w:p w14:paraId="016F2DAA" w14:textId="5D38A54E" w:rsidR="00682DD9" w:rsidRPr="001D3DB1" w:rsidRDefault="00682DD9" w:rsidP="008A7053">
      <w:pPr>
        <w:keepNext/>
        <w:spacing w:line="240" w:lineRule="auto"/>
        <w:rPr>
          <w:rFonts w:eastAsia="SimSun"/>
          <w:szCs w:val="22"/>
        </w:rPr>
      </w:pPr>
      <w:r w:rsidRPr="001D3DB1">
        <w:rPr>
          <w:rFonts w:eastAsia="SimSun"/>
        </w:rPr>
        <w:t>Jedna potahovaná tableta obsahuje 58,14 mg laktózy (jako monohydrát), viz bod 4.4.</w:t>
      </w:r>
    </w:p>
    <w:p w14:paraId="213793DF" w14:textId="77777777" w:rsidR="00682DD9" w:rsidRPr="001D3DB1" w:rsidRDefault="00682DD9" w:rsidP="00682DD9">
      <w:pPr>
        <w:spacing w:line="240" w:lineRule="auto"/>
        <w:rPr>
          <w:szCs w:val="22"/>
        </w:rPr>
      </w:pPr>
    </w:p>
    <w:p w14:paraId="6C30A5EE" w14:textId="77777777" w:rsidR="00F05D2C" w:rsidRPr="001D3DB1" w:rsidRDefault="00771186" w:rsidP="005C20AF">
      <w:pPr>
        <w:keepNext/>
        <w:widowControl w:val="0"/>
        <w:spacing w:line="240" w:lineRule="auto"/>
        <w:rPr>
          <w:szCs w:val="22"/>
          <w:u w:val="single"/>
        </w:rPr>
      </w:pPr>
      <w:proofErr w:type="spellStart"/>
      <w:r w:rsidRPr="001D3DB1">
        <w:rPr>
          <w:u w:val="single"/>
        </w:rPr>
        <w:t>Verquvo</w:t>
      </w:r>
      <w:proofErr w:type="spellEnd"/>
      <w:r w:rsidRPr="001D3DB1">
        <w:rPr>
          <w:u w:val="single"/>
        </w:rPr>
        <w:t xml:space="preserve"> 5 mg potahované tablety</w:t>
      </w:r>
    </w:p>
    <w:p w14:paraId="215A9196" w14:textId="77777777" w:rsidR="007F1EAD" w:rsidRPr="001D3DB1" w:rsidRDefault="007F1EAD" w:rsidP="005C20AF">
      <w:pPr>
        <w:keepNext/>
        <w:widowControl w:val="0"/>
        <w:spacing w:line="240" w:lineRule="auto"/>
        <w:rPr>
          <w:szCs w:val="22"/>
          <w:u w:val="single"/>
        </w:rPr>
      </w:pPr>
    </w:p>
    <w:p w14:paraId="2A8FFBF0" w14:textId="2DCACCF8" w:rsidR="00F05D2C" w:rsidRPr="001D3DB1" w:rsidRDefault="00F05D2C" w:rsidP="005C20A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1D3DB1">
        <w:rPr>
          <w:rFonts w:eastAsia="SimSun"/>
        </w:rPr>
        <w:t>Jedna potahovaná tableta obsahuje 5 mg</w:t>
      </w:r>
      <w:r w:rsidR="00F65F52">
        <w:rPr>
          <w:rFonts w:eastAsia="SimSun"/>
        </w:rPr>
        <w:t xml:space="preserve"> </w:t>
      </w:r>
      <w:proofErr w:type="spellStart"/>
      <w:r w:rsidR="00F65F52" w:rsidRPr="008E1ABE">
        <w:rPr>
          <w:rFonts w:eastAsia="SimSun"/>
        </w:rPr>
        <w:t>vericig</w:t>
      </w:r>
      <w:r w:rsidR="00F877C8">
        <w:rPr>
          <w:rFonts w:eastAsia="SimSun"/>
        </w:rPr>
        <w:t>u</w:t>
      </w:r>
      <w:r w:rsidR="00F65F52" w:rsidRPr="008E1ABE">
        <w:rPr>
          <w:rFonts w:eastAsia="SimSun"/>
        </w:rPr>
        <w:t>át</w:t>
      </w:r>
      <w:r w:rsidR="00F65F52">
        <w:rPr>
          <w:rFonts w:eastAsia="SimSun"/>
        </w:rPr>
        <w:t>u</w:t>
      </w:r>
      <w:proofErr w:type="spellEnd"/>
      <w:r w:rsidRPr="001D3DB1">
        <w:rPr>
          <w:rFonts w:eastAsia="SimSun"/>
        </w:rPr>
        <w:t>.</w:t>
      </w:r>
    </w:p>
    <w:p w14:paraId="70C0F4DC" w14:textId="77777777" w:rsidR="00F05D2C" w:rsidRPr="001D3DB1" w:rsidRDefault="00F05D2C" w:rsidP="00F05D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  <w:lang w:eastAsia="ko-KR"/>
        </w:rPr>
      </w:pPr>
    </w:p>
    <w:p w14:paraId="357E917C" w14:textId="77777777" w:rsidR="00682DD9" w:rsidRPr="001D3DB1" w:rsidRDefault="00682DD9" w:rsidP="00682DD9">
      <w:pPr>
        <w:keepNext/>
        <w:autoSpaceDE w:val="0"/>
        <w:autoSpaceDN w:val="0"/>
        <w:adjustRightInd w:val="0"/>
        <w:rPr>
          <w:rFonts w:eastAsia="SimSun"/>
          <w:i/>
          <w:iCs/>
          <w:szCs w:val="22"/>
        </w:rPr>
      </w:pPr>
      <w:r w:rsidRPr="001D3DB1">
        <w:rPr>
          <w:rFonts w:eastAsia="SimSun"/>
          <w:i/>
        </w:rPr>
        <w:t>Pomocné látky se známým účinkem</w:t>
      </w:r>
    </w:p>
    <w:p w14:paraId="53A01BBC" w14:textId="0BB619A9" w:rsidR="00682DD9" w:rsidRPr="001D3DB1" w:rsidRDefault="00682DD9" w:rsidP="008A705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</w:rPr>
      </w:pPr>
      <w:r w:rsidRPr="001D3DB1">
        <w:rPr>
          <w:rFonts w:eastAsia="SimSun"/>
        </w:rPr>
        <w:t>Jedna potahovaná tableta obsahuje 55,59 mg laktózy (jako monohydrát), viz bod 4.4.</w:t>
      </w:r>
    </w:p>
    <w:p w14:paraId="4054E565" w14:textId="77777777" w:rsidR="00682DD9" w:rsidRPr="001D3DB1" w:rsidRDefault="00682DD9" w:rsidP="00F05D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  <w:lang w:eastAsia="ko-KR"/>
        </w:rPr>
      </w:pPr>
    </w:p>
    <w:p w14:paraId="13F13553" w14:textId="77777777" w:rsidR="00F05D2C" w:rsidRPr="001D3DB1" w:rsidRDefault="00771186" w:rsidP="005C20AF">
      <w:pPr>
        <w:keepNext/>
        <w:widowControl w:val="0"/>
        <w:spacing w:line="240" w:lineRule="auto"/>
        <w:rPr>
          <w:szCs w:val="22"/>
          <w:u w:val="single"/>
        </w:rPr>
      </w:pPr>
      <w:proofErr w:type="spellStart"/>
      <w:r w:rsidRPr="001D3DB1">
        <w:rPr>
          <w:u w:val="single"/>
        </w:rPr>
        <w:t>Verquvo</w:t>
      </w:r>
      <w:proofErr w:type="spellEnd"/>
      <w:r w:rsidRPr="001D3DB1">
        <w:rPr>
          <w:u w:val="single"/>
        </w:rPr>
        <w:t xml:space="preserve"> 10 mg potahované tablety</w:t>
      </w:r>
    </w:p>
    <w:p w14:paraId="27977EA1" w14:textId="77777777" w:rsidR="007F1EAD" w:rsidRPr="001D3DB1" w:rsidRDefault="007F1EAD" w:rsidP="005C20AF">
      <w:pPr>
        <w:keepNext/>
        <w:widowControl w:val="0"/>
        <w:spacing w:line="240" w:lineRule="auto"/>
        <w:rPr>
          <w:szCs w:val="22"/>
          <w:u w:val="single"/>
        </w:rPr>
      </w:pPr>
    </w:p>
    <w:p w14:paraId="79E1B948" w14:textId="582617EA" w:rsidR="00F05D2C" w:rsidRPr="001D3DB1" w:rsidRDefault="00F05D2C" w:rsidP="005C20A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1D3DB1">
        <w:rPr>
          <w:rFonts w:eastAsia="SimSun"/>
        </w:rPr>
        <w:t>Jedna potahovaná tableta obsahuje 10 mg</w:t>
      </w:r>
      <w:r w:rsidR="00F65F52">
        <w:rPr>
          <w:rFonts w:eastAsia="SimSun"/>
        </w:rPr>
        <w:t xml:space="preserve"> </w:t>
      </w:r>
      <w:proofErr w:type="spellStart"/>
      <w:r w:rsidR="00F65F52" w:rsidRPr="008E1ABE">
        <w:rPr>
          <w:rFonts w:eastAsia="SimSun"/>
        </w:rPr>
        <w:t>verici</w:t>
      </w:r>
      <w:r w:rsidR="00493044">
        <w:rPr>
          <w:rFonts w:eastAsia="SimSun"/>
        </w:rPr>
        <w:t>g</w:t>
      </w:r>
      <w:r w:rsidR="00F877C8">
        <w:rPr>
          <w:rFonts w:eastAsia="SimSun"/>
        </w:rPr>
        <w:t>u</w:t>
      </w:r>
      <w:r w:rsidR="00F65F52" w:rsidRPr="008E1ABE">
        <w:rPr>
          <w:rFonts w:eastAsia="SimSun"/>
        </w:rPr>
        <w:t>át</w:t>
      </w:r>
      <w:r w:rsidR="00F65F52">
        <w:rPr>
          <w:rFonts w:eastAsia="SimSun"/>
        </w:rPr>
        <w:t>u</w:t>
      </w:r>
      <w:proofErr w:type="spellEnd"/>
      <w:r w:rsidRPr="001D3DB1">
        <w:rPr>
          <w:rFonts w:eastAsia="SimSun"/>
        </w:rPr>
        <w:t>.</w:t>
      </w:r>
    </w:p>
    <w:p w14:paraId="638DF458" w14:textId="77777777" w:rsidR="009419B0" w:rsidRPr="001D3DB1" w:rsidRDefault="009419B0" w:rsidP="00F05D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ko-KR"/>
        </w:rPr>
      </w:pPr>
    </w:p>
    <w:p w14:paraId="57E3B11A" w14:textId="77777777" w:rsidR="00682DD9" w:rsidRPr="001D3DB1" w:rsidRDefault="00682DD9" w:rsidP="00682DD9">
      <w:pPr>
        <w:keepNext/>
        <w:autoSpaceDE w:val="0"/>
        <w:autoSpaceDN w:val="0"/>
        <w:adjustRightInd w:val="0"/>
        <w:rPr>
          <w:rFonts w:eastAsia="SimSun"/>
          <w:i/>
          <w:iCs/>
          <w:szCs w:val="22"/>
        </w:rPr>
      </w:pPr>
      <w:r w:rsidRPr="001D3DB1">
        <w:rPr>
          <w:rFonts w:eastAsia="SimSun"/>
          <w:i/>
        </w:rPr>
        <w:t>Pomocné látky se známým účinkem</w:t>
      </w:r>
    </w:p>
    <w:p w14:paraId="35B872E5" w14:textId="6D2999F1" w:rsidR="00DD3008" w:rsidRPr="001D3DB1" w:rsidRDefault="00682DD9" w:rsidP="005C20A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1D3DB1">
        <w:rPr>
          <w:rFonts w:eastAsia="SimSun"/>
        </w:rPr>
        <w:t>Jedna potahovaná tableta obsahuje 111,15 mg laktózy (jako monohydrát), viz bod 4.4.</w:t>
      </w:r>
    </w:p>
    <w:p w14:paraId="001C8AEB" w14:textId="77777777" w:rsidR="009419B0" w:rsidRPr="001D3DB1" w:rsidRDefault="009419B0" w:rsidP="00F05D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ko-KR"/>
        </w:rPr>
      </w:pPr>
    </w:p>
    <w:p w14:paraId="620A1709" w14:textId="77777777" w:rsidR="0025174D" w:rsidRPr="001D3DB1" w:rsidRDefault="0025174D" w:rsidP="00D6067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>Úplný seznam pomocných látek viz bod 6.1.</w:t>
      </w:r>
    </w:p>
    <w:p w14:paraId="3822A0EB" w14:textId="77777777" w:rsidR="00F05D2C" w:rsidRPr="001D3DB1" w:rsidRDefault="00F05D2C" w:rsidP="00D6067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38427C5" w14:textId="77777777" w:rsidR="00F05D2C" w:rsidRPr="001D3DB1" w:rsidRDefault="00F05D2C" w:rsidP="00204AAB">
      <w:pPr>
        <w:spacing w:line="240" w:lineRule="auto"/>
        <w:rPr>
          <w:szCs w:val="22"/>
        </w:rPr>
      </w:pPr>
    </w:p>
    <w:p w14:paraId="1FF68696" w14:textId="77777777" w:rsidR="00812D16" w:rsidRPr="001D3DB1" w:rsidRDefault="00812D16" w:rsidP="005954DA">
      <w:pPr>
        <w:keepNext/>
        <w:suppressAutoHyphens/>
        <w:spacing w:line="240" w:lineRule="auto"/>
        <w:ind w:left="567" w:hanging="567"/>
        <w:outlineLvl w:val="1"/>
        <w:rPr>
          <w:caps/>
          <w:szCs w:val="22"/>
        </w:rPr>
      </w:pPr>
      <w:r w:rsidRPr="001D3DB1">
        <w:rPr>
          <w:b/>
        </w:rPr>
        <w:t>3.</w:t>
      </w:r>
      <w:r w:rsidRPr="001D3DB1">
        <w:rPr>
          <w:b/>
        </w:rPr>
        <w:tab/>
        <w:t>LÉKOVÁ FORMA</w:t>
      </w:r>
    </w:p>
    <w:p w14:paraId="4F95F00C" w14:textId="77777777" w:rsidR="00812D16" w:rsidRPr="001D3DB1" w:rsidRDefault="00812D16" w:rsidP="00DB1527">
      <w:pPr>
        <w:keepNext/>
        <w:spacing w:line="240" w:lineRule="auto"/>
        <w:rPr>
          <w:szCs w:val="22"/>
        </w:rPr>
      </w:pPr>
    </w:p>
    <w:p w14:paraId="4626E81B" w14:textId="44D55FC2" w:rsidR="00122F3F" w:rsidRPr="001D3DB1" w:rsidRDefault="00122F3F" w:rsidP="00DB1527">
      <w:pPr>
        <w:keepNext/>
        <w:spacing w:line="240" w:lineRule="auto"/>
        <w:rPr>
          <w:szCs w:val="22"/>
        </w:rPr>
      </w:pPr>
      <w:r w:rsidRPr="001D3DB1">
        <w:t>Potahovaná tableta (tablety)</w:t>
      </w:r>
    </w:p>
    <w:p w14:paraId="5DA3354A" w14:textId="77777777" w:rsidR="00122F3F" w:rsidRPr="001D3DB1" w:rsidRDefault="00122F3F" w:rsidP="00204AAB">
      <w:pPr>
        <w:spacing w:line="240" w:lineRule="auto"/>
        <w:rPr>
          <w:szCs w:val="22"/>
        </w:rPr>
      </w:pPr>
    </w:p>
    <w:p w14:paraId="59403DC9" w14:textId="77777777" w:rsidR="00122F3F" w:rsidRPr="001D3DB1" w:rsidRDefault="00C935EE" w:rsidP="00DB1527">
      <w:pPr>
        <w:keepNext/>
        <w:widowControl w:val="0"/>
        <w:spacing w:line="240" w:lineRule="auto"/>
        <w:rPr>
          <w:szCs w:val="22"/>
          <w:u w:val="single"/>
        </w:rPr>
      </w:pPr>
      <w:proofErr w:type="spellStart"/>
      <w:r w:rsidRPr="001D3DB1">
        <w:rPr>
          <w:u w:val="single"/>
        </w:rPr>
        <w:t>Verquvo</w:t>
      </w:r>
      <w:proofErr w:type="spellEnd"/>
      <w:r w:rsidRPr="001D3DB1">
        <w:rPr>
          <w:u w:val="single"/>
        </w:rPr>
        <w:t xml:space="preserve"> 2,5 mg potahované tablety</w:t>
      </w:r>
    </w:p>
    <w:p w14:paraId="108F2310" w14:textId="77777777" w:rsidR="007F1EAD" w:rsidRPr="001D3DB1" w:rsidRDefault="007F1EAD" w:rsidP="00DB1527">
      <w:pPr>
        <w:keepNext/>
        <w:widowControl w:val="0"/>
        <w:spacing w:line="240" w:lineRule="auto"/>
        <w:rPr>
          <w:szCs w:val="22"/>
          <w:u w:val="single"/>
        </w:rPr>
      </w:pPr>
    </w:p>
    <w:p w14:paraId="5E40C486" w14:textId="116A4605" w:rsidR="0044445B" w:rsidRPr="001D3DB1" w:rsidRDefault="0044445B" w:rsidP="00DB152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1D3DB1">
        <w:rPr>
          <w:rFonts w:cs="Arial"/>
        </w:rPr>
        <w:t xml:space="preserve">Kulaté bikonvexní bílé potahované tablety o průměru 7 mm, </w:t>
      </w:r>
      <w:r w:rsidR="00796C53">
        <w:rPr>
          <w:rFonts w:cs="Arial"/>
        </w:rPr>
        <w:t xml:space="preserve">označené </w:t>
      </w:r>
      <w:r w:rsidRPr="001D3DB1">
        <w:rPr>
          <w:rFonts w:cs="Arial"/>
        </w:rPr>
        <w:t>„2,5“ na jedné straně a „VC“ na druhé straně.</w:t>
      </w:r>
    </w:p>
    <w:p w14:paraId="75C02CDB" w14:textId="77777777" w:rsidR="00122F3F" w:rsidRPr="001D3DB1" w:rsidRDefault="00122F3F" w:rsidP="0044445B">
      <w:pPr>
        <w:spacing w:line="240" w:lineRule="auto"/>
        <w:jc w:val="both"/>
        <w:rPr>
          <w:szCs w:val="22"/>
        </w:rPr>
      </w:pPr>
    </w:p>
    <w:p w14:paraId="6885C824" w14:textId="77777777" w:rsidR="0044445B" w:rsidRPr="001D3DB1" w:rsidRDefault="00C935EE" w:rsidP="00DB1527">
      <w:pPr>
        <w:keepNext/>
        <w:widowControl w:val="0"/>
        <w:spacing w:line="240" w:lineRule="auto"/>
        <w:rPr>
          <w:szCs w:val="22"/>
          <w:u w:val="single"/>
        </w:rPr>
      </w:pPr>
      <w:proofErr w:type="spellStart"/>
      <w:r w:rsidRPr="001D3DB1">
        <w:rPr>
          <w:u w:val="single"/>
        </w:rPr>
        <w:t>Verquvo</w:t>
      </w:r>
      <w:proofErr w:type="spellEnd"/>
      <w:r w:rsidRPr="001D3DB1">
        <w:rPr>
          <w:u w:val="single"/>
        </w:rPr>
        <w:t xml:space="preserve"> 5 mg potahované tablety</w:t>
      </w:r>
    </w:p>
    <w:p w14:paraId="6F5BED35" w14:textId="77777777" w:rsidR="007F1EAD" w:rsidRPr="001D3DB1" w:rsidRDefault="007F1EAD" w:rsidP="00DB1527">
      <w:pPr>
        <w:keepNext/>
        <w:widowControl w:val="0"/>
        <w:spacing w:line="240" w:lineRule="auto"/>
        <w:rPr>
          <w:szCs w:val="22"/>
          <w:u w:val="single"/>
        </w:rPr>
      </w:pPr>
    </w:p>
    <w:p w14:paraId="34A80C2E" w14:textId="548F566F" w:rsidR="0044445B" w:rsidRPr="001D3DB1" w:rsidRDefault="0044445B" w:rsidP="00DB152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1D3DB1">
        <w:rPr>
          <w:rFonts w:cs="Arial"/>
        </w:rPr>
        <w:t xml:space="preserve">Kulaté bikonvexní hnědočervené potahované tablety o průměru 7 mm, </w:t>
      </w:r>
      <w:r w:rsidR="00796C53">
        <w:rPr>
          <w:rFonts w:cs="Arial"/>
        </w:rPr>
        <w:t>označené</w:t>
      </w:r>
      <w:r w:rsidRPr="001D3DB1">
        <w:rPr>
          <w:rFonts w:cs="Arial"/>
        </w:rPr>
        <w:t xml:space="preserve"> „5“ na jedné straně a „VC“ na druhé straně.</w:t>
      </w:r>
    </w:p>
    <w:p w14:paraId="2DE8195A" w14:textId="77777777" w:rsidR="0044445B" w:rsidRPr="001D3DB1" w:rsidRDefault="0044445B" w:rsidP="0044445B">
      <w:pPr>
        <w:spacing w:line="240" w:lineRule="auto"/>
        <w:jc w:val="both"/>
        <w:rPr>
          <w:rFonts w:cs="Arial"/>
        </w:rPr>
      </w:pPr>
    </w:p>
    <w:p w14:paraId="3C2166F7" w14:textId="77777777" w:rsidR="0044445B" w:rsidRPr="001D3DB1" w:rsidRDefault="00C935EE" w:rsidP="00DB1527">
      <w:pPr>
        <w:keepNext/>
        <w:widowControl w:val="0"/>
        <w:spacing w:line="240" w:lineRule="auto"/>
        <w:rPr>
          <w:szCs w:val="22"/>
          <w:u w:val="single"/>
        </w:rPr>
      </w:pPr>
      <w:proofErr w:type="spellStart"/>
      <w:r w:rsidRPr="001D3DB1">
        <w:rPr>
          <w:u w:val="single"/>
        </w:rPr>
        <w:lastRenderedPageBreak/>
        <w:t>Verquvo</w:t>
      </w:r>
      <w:proofErr w:type="spellEnd"/>
      <w:r w:rsidRPr="001D3DB1">
        <w:rPr>
          <w:u w:val="single"/>
        </w:rPr>
        <w:t xml:space="preserve"> 10 mg potahované tablety</w:t>
      </w:r>
    </w:p>
    <w:p w14:paraId="6877E054" w14:textId="77777777" w:rsidR="007F1EAD" w:rsidRPr="001D3DB1" w:rsidRDefault="007F1EAD" w:rsidP="00DB1527">
      <w:pPr>
        <w:keepNext/>
        <w:widowControl w:val="0"/>
        <w:spacing w:line="240" w:lineRule="auto"/>
        <w:rPr>
          <w:szCs w:val="22"/>
          <w:u w:val="single"/>
        </w:rPr>
      </w:pPr>
    </w:p>
    <w:p w14:paraId="59E5E51C" w14:textId="717B146D" w:rsidR="0044445B" w:rsidRPr="001D3DB1" w:rsidRDefault="0044445B" w:rsidP="00DB1527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1D3DB1">
        <w:rPr>
          <w:rFonts w:cs="Arial"/>
        </w:rPr>
        <w:t xml:space="preserve">Kulaté bikonvexní žlutooranžové potahované tablety o průměru 9 mm, </w:t>
      </w:r>
      <w:r w:rsidR="00796C53">
        <w:rPr>
          <w:rFonts w:cs="Arial"/>
        </w:rPr>
        <w:t>označené</w:t>
      </w:r>
      <w:r w:rsidR="00CC31F3">
        <w:rPr>
          <w:rFonts w:cs="Arial"/>
        </w:rPr>
        <w:t xml:space="preserve"> </w:t>
      </w:r>
      <w:r w:rsidRPr="001D3DB1">
        <w:rPr>
          <w:rFonts w:cs="Arial"/>
        </w:rPr>
        <w:t>„10“ na jedné straně a „VC“ na druhé straně.</w:t>
      </w:r>
    </w:p>
    <w:p w14:paraId="639340E8" w14:textId="77777777" w:rsidR="00812D16" w:rsidRPr="001D3DB1" w:rsidRDefault="00812D16" w:rsidP="00D6067C">
      <w:pPr>
        <w:keepNext/>
        <w:spacing w:line="240" w:lineRule="auto"/>
        <w:rPr>
          <w:szCs w:val="22"/>
        </w:rPr>
      </w:pPr>
    </w:p>
    <w:p w14:paraId="232DE70A" w14:textId="77777777" w:rsidR="00812D16" w:rsidRPr="001D3DB1" w:rsidRDefault="00812D16" w:rsidP="00204AAB">
      <w:pPr>
        <w:spacing w:line="240" w:lineRule="auto"/>
        <w:rPr>
          <w:szCs w:val="22"/>
        </w:rPr>
      </w:pPr>
    </w:p>
    <w:p w14:paraId="33052D8B" w14:textId="77777777" w:rsidR="00812D16" w:rsidRPr="001D3DB1" w:rsidRDefault="00812D16" w:rsidP="005954DA">
      <w:pPr>
        <w:keepNext/>
        <w:suppressAutoHyphens/>
        <w:spacing w:line="240" w:lineRule="auto"/>
        <w:ind w:left="567" w:hanging="567"/>
        <w:outlineLvl w:val="1"/>
        <w:rPr>
          <w:caps/>
          <w:szCs w:val="22"/>
        </w:rPr>
      </w:pPr>
      <w:r w:rsidRPr="001D3DB1">
        <w:rPr>
          <w:b/>
          <w:caps/>
        </w:rPr>
        <w:t>4.</w:t>
      </w:r>
      <w:r w:rsidRPr="001D3DB1">
        <w:rPr>
          <w:b/>
          <w:caps/>
        </w:rPr>
        <w:tab/>
      </w:r>
      <w:r w:rsidRPr="001D3DB1">
        <w:rPr>
          <w:b/>
        </w:rPr>
        <w:t>KLINICKÉ ÚDAJE</w:t>
      </w:r>
    </w:p>
    <w:p w14:paraId="68B10F33" w14:textId="77777777" w:rsidR="00812D16" w:rsidRPr="001D3DB1" w:rsidRDefault="00812D16" w:rsidP="00DB1527">
      <w:pPr>
        <w:keepNext/>
        <w:spacing w:line="240" w:lineRule="auto"/>
        <w:rPr>
          <w:szCs w:val="22"/>
        </w:rPr>
      </w:pPr>
    </w:p>
    <w:p w14:paraId="6BA11255" w14:textId="77777777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szCs w:val="22"/>
        </w:rPr>
      </w:pPr>
      <w:r w:rsidRPr="001D3DB1">
        <w:rPr>
          <w:b/>
        </w:rPr>
        <w:t>4.1</w:t>
      </w:r>
      <w:r w:rsidRPr="001D3DB1">
        <w:rPr>
          <w:b/>
        </w:rPr>
        <w:tab/>
        <w:t>Terapeutické indikace</w:t>
      </w:r>
    </w:p>
    <w:p w14:paraId="1D493BEB" w14:textId="77777777" w:rsidR="00491518" w:rsidRPr="001D3DB1" w:rsidRDefault="00491518" w:rsidP="00DB1527">
      <w:pPr>
        <w:keepNext/>
        <w:spacing w:line="240" w:lineRule="auto"/>
        <w:rPr>
          <w:szCs w:val="22"/>
        </w:rPr>
      </w:pPr>
    </w:p>
    <w:p w14:paraId="1D8C75B9" w14:textId="101D67DC" w:rsidR="00606D35" w:rsidRPr="001D3DB1" w:rsidRDefault="00606D35" w:rsidP="006F7F1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 xml:space="preserve">Přípravek </w:t>
      </w:r>
      <w:proofErr w:type="spellStart"/>
      <w:r w:rsidRPr="001D3DB1">
        <w:t>Verquvo</w:t>
      </w:r>
      <w:proofErr w:type="spellEnd"/>
      <w:r w:rsidRPr="001D3DB1">
        <w:t xml:space="preserve"> je indikován k léčbě symptomatického chronického srdečního selhání u dospělých pacientů s</w:t>
      </w:r>
      <w:r w:rsidR="00AF0561" w:rsidRPr="001D3DB1">
        <w:t xml:space="preserve">e sníženou </w:t>
      </w:r>
      <w:r w:rsidRPr="001D3DB1">
        <w:t xml:space="preserve">ejekční frakcí, kteří </w:t>
      </w:r>
      <w:r w:rsidR="00AF0561" w:rsidRPr="001D3DB1">
        <w:t xml:space="preserve">jsou </w:t>
      </w:r>
      <w:r w:rsidR="00AD54DB">
        <w:t>ve stabil</w:t>
      </w:r>
      <w:r w:rsidR="00C2195A">
        <w:t>izovan</w:t>
      </w:r>
      <w:r w:rsidR="003F625C">
        <w:t>ém</w:t>
      </w:r>
      <w:r w:rsidR="00AD54DB">
        <w:t xml:space="preserve"> stavu </w:t>
      </w:r>
      <w:r w:rsidR="00AF0561" w:rsidRPr="001D3DB1">
        <w:t>po nedávné</w:t>
      </w:r>
      <w:r w:rsidRPr="001D3DB1">
        <w:t xml:space="preserve"> epizod</w:t>
      </w:r>
      <w:r w:rsidR="00AF0561" w:rsidRPr="001D3DB1">
        <w:t>ě</w:t>
      </w:r>
      <w:r w:rsidRPr="001D3DB1">
        <w:t xml:space="preserve"> dekompenzace </w:t>
      </w:r>
      <w:r w:rsidR="00AF0561" w:rsidRPr="001D3DB1">
        <w:t xml:space="preserve">vyžadující </w:t>
      </w:r>
      <w:proofErr w:type="spellStart"/>
      <w:r w:rsidR="00AF0561" w:rsidRPr="001D3DB1">
        <w:t>i.v</w:t>
      </w:r>
      <w:proofErr w:type="spellEnd"/>
      <w:r w:rsidR="00AF0561" w:rsidRPr="001D3DB1">
        <w:t>. léčbu</w:t>
      </w:r>
      <w:r w:rsidR="00BA4EFC">
        <w:t xml:space="preserve"> </w:t>
      </w:r>
      <w:r w:rsidRPr="001D3DB1">
        <w:t>(viz bod 5.1).</w:t>
      </w:r>
    </w:p>
    <w:p w14:paraId="308CFB65" w14:textId="77777777" w:rsidR="008A7CE9" w:rsidRPr="001D3DB1" w:rsidRDefault="008A7CE9" w:rsidP="0011582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B952C95" w14:textId="155A3A5B" w:rsidR="00812D16" w:rsidRPr="001D3DB1" w:rsidRDefault="00855481" w:rsidP="005954DA">
      <w:pPr>
        <w:keepNext/>
        <w:spacing w:line="240" w:lineRule="auto"/>
        <w:outlineLvl w:val="2"/>
        <w:rPr>
          <w:b/>
          <w:szCs w:val="22"/>
        </w:rPr>
      </w:pPr>
      <w:r w:rsidRPr="001D3DB1">
        <w:rPr>
          <w:b/>
        </w:rPr>
        <w:t>4.2</w:t>
      </w:r>
      <w:r w:rsidRPr="001D3DB1">
        <w:rPr>
          <w:b/>
        </w:rPr>
        <w:tab/>
        <w:t>Dávkování a</w:t>
      </w:r>
      <w:r w:rsidR="00361E72" w:rsidRPr="001D3DB1">
        <w:rPr>
          <w:b/>
        </w:rPr>
        <w:t> </w:t>
      </w:r>
      <w:r w:rsidRPr="001D3DB1">
        <w:rPr>
          <w:b/>
        </w:rPr>
        <w:t>způsob podání</w:t>
      </w:r>
    </w:p>
    <w:p w14:paraId="14DC1045" w14:textId="77777777" w:rsidR="00812D16" w:rsidRPr="001D3DB1" w:rsidRDefault="00812D16" w:rsidP="00DB1527">
      <w:pPr>
        <w:keepNext/>
        <w:spacing w:line="240" w:lineRule="auto"/>
        <w:rPr>
          <w:szCs w:val="22"/>
        </w:rPr>
      </w:pPr>
    </w:p>
    <w:p w14:paraId="5968ED20" w14:textId="77777777" w:rsidR="00812D16" w:rsidRPr="001D3DB1" w:rsidRDefault="00812D16" w:rsidP="00DB1527">
      <w:pPr>
        <w:keepNext/>
        <w:spacing w:line="240" w:lineRule="auto"/>
        <w:rPr>
          <w:szCs w:val="22"/>
        </w:rPr>
      </w:pPr>
      <w:r w:rsidRPr="001D3DB1">
        <w:rPr>
          <w:u w:val="single"/>
        </w:rPr>
        <w:t>Dávkování</w:t>
      </w:r>
    </w:p>
    <w:p w14:paraId="295DB819" w14:textId="77777777" w:rsidR="00246EFC" w:rsidRPr="001D3DB1" w:rsidRDefault="00246EFC" w:rsidP="00DB1527">
      <w:pPr>
        <w:keepNext/>
        <w:spacing w:line="240" w:lineRule="auto"/>
        <w:rPr>
          <w:szCs w:val="22"/>
        </w:rPr>
      </w:pPr>
    </w:p>
    <w:p w14:paraId="7A55AC93" w14:textId="48705355" w:rsidR="00AF0561" w:rsidRPr="001D3DB1" w:rsidRDefault="00AF0561" w:rsidP="00DB1527">
      <w:pPr>
        <w:keepNext/>
        <w:spacing w:line="240" w:lineRule="auto"/>
        <w:rPr>
          <w:szCs w:val="22"/>
        </w:rPr>
      </w:pPr>
      <w:proofErr w:type="spellStart"/>
      <w:r w:rsidRPr="001D3DB1">
        <w:rPr>
          <w:szCs w:val="22"/>
        </w:rPr>
        <w:t>Vericig</w:t>
      </w:r>
      <w:r w:rsidR="00C43BA7">
        <w:rPr>
          <w:szCs w:val="22"/>
        </w:rPr>
        <w:t>u</w:t>
      </w:r>
      <w:r w:rsidR="00995033">
        <w:rPr>
          <w:szCs w:val="22"/>
        </w:rPr>
        <w:t>á</w:t>
      </w:r>
      <w:r w:rsidRPr="001D3DB1">
        <w:rPr>
          <w:szCs w:val="22"/>
        </w:rPr>
        <w:t>t</w:t>
      </w:r>
      <w:proofErr w:type="spellEnd"/>
      <w:r w:rsidRPr="001D3DB1">
        <w:rPr>
          <w:szCs w:val="22"/>
        </w:rPr>
        <w:t xml:space="preserve"> se podává současně s jinými přípravky k léčbě srdečního selhání.</w:t>
      </w:r>
    </w:p>
    <w:p w14:paraId="66530FB3" w14:textId="77777777" w:rsidR="00AF0561" w:rsidRPr="001D3DB1" w:rsidRDefault="00AF0561" w:rsidP="00DB1527">
      <w:pPr>
        <w:keepNext/>
        <w:spacing w:line="240" w:lineRule="auto"/>
        <w:rPr>
          <w:szCs w:val="22"/>
        </w:rPr>
      </w:pPr>
    </w:p>
    <w:p w14:paraId="5C9852C6" w14:textId="1839D03A" w:rsidR="00FD31EA" w:rsidRPr="001D3DB1" w:rsidRDefault="00FD31EA" w:rsidP="00DB1527">
      <w:pPr>
        <w:keepNext/>
        <w:spacing w:line="240" w:lineRule="auto"/>
        <w:rPr>
          <w:szCs w:val="22"/>
        </w:rPr>
      </w:pPr>
      <w:r w:rsidRPr="001D3DB1">
        <w:t xml:space="preserve">Než pacient začne užívat </w:t>
      </w:r>
      <w:proofErr w:type="spellStart"/>
      <w:r w:rsidRPr="001D3DB1">
        <w:t>vericig</w:t>
      </w:r>
      <w:r w:rsidR="00C43BA7">
        <w:t>u</w:t>
      </w:r>
      <w:r w:rsidR="00E371DD">
        <w:t>á</w:t>
      </w:r>
      <w:r w:rsidRPr="001D3DB1">
        <w:t>t</w:t>
      </w:r>
      <w:proofErr w:type="spellEnd"/>
      <w:r w:rsidRPr="001D3DB1">
        <w:t xml:space="preserve">, je třeba pečlivě optimalizovat stav tělních tekutin a léčbu diuretiky, </w:t>
      </w:r>
      <w:r w:rsidR="00AF0561" w:rsidRPr="001D3DB1">
        <w:t>aby se po epizodě dekompenzace stav pacienta</w:t>
      </w:r>
      <w:r w:rsidR="00DE586B" w:rsidRPr="001D3DB1">
        <w:t xml:space="preserve"> stabilizoval</w:t>
      </w:r>
      <w:r w:rsidR="00AF0561" w:rsidRPr="001D3DB1">
        <w:t xml:space="preserve">, </w:t>
      </w:r>
      <w:r w:rsidRPr="001D3DB1">
        <w:t>a to zejména u pacientů s velmi vysokými hladinami NT-</w:t>
      </w:r>
      <w:proofErr w:type="spellStart"/>
      <w:r w:rsidRPr="001D3DB1">
        <w:t>proBNP</w:t>
      </w:r>
      <w:proofErr w:type="spellEnd"/>
      <w:r w:rsidR="00AF0561" w:rsidRPr="001D3DB1">
        <w:t xml:space="preserve"> (viz bod 5.1)</w:t>
      </w:r>
      <w:r w:rsidRPr="001D3DB1">
        <w:t>.</w:t>
      </w:r>
    </w:p>
    <w:p w14:paraId="0C08D2F1" w14:textId="77777777" w:rsidR="00FD31EA" w:rsidRPr="001D3DB1" w:rsidRDefault="00FD31EA" w:rsidP="009027FA">
      <w:pPr>
        <w:spacing w:line="240" w:lineRule="auto"/>
        <w:rPr>
          <w:szCs w:val="22"/>
        </w:rPr>
      </w:pPr>
    </w:p>
    <w:p w14:paraId="0B6C57E6" w14:textId="5AFD060F" w:rsidR="00246EFC" w:rsidRPr="001D3DB1" w:rsidRDefault="0050654E" w:rsidP="00DB1527">
      <w:pPr>
        <w:keepNext/>
        <w:spacing w:line="240" w:lineRule="auto"/>
        <w:rPr>
          <w:szCs w:val="22"/>
        </w:rPr>
      </w:pPr>
      <w:r w:rsidRPr="001D3DB1">
        <w:t xml:space="preserve">Doporučená zahajovací dávka je </w:t>
      </w:r>
      <w:r w:rsidR="0050692B">
        <w:t>5</w:t>
      </w:r>
      <w:r w:rsidRPr="001D3DB1">
        <w:t xml:space="preserve"> mg </w:t>
      </w:r>
      <w:proofErr w:type="spellStart"/>
      <w:r w:rsidR="003F36AA">
        <w:t>vericig</w:t>
      </w:r>
      <w:r w:rsidR="00C43BA7">
        <w:t>u</w:t>
      </w:r>
      <w:r w:rsidR="003F36AA">
        <w:t>átu</w:t>
      </w:r>
      <w:proofErr w:type="spellEnd"/>
      <w:r w:rsidRPr="001D3DB1">
        <w:t xml:space="preserve"> jednou denně. Dávka by měla být zdvojnásobena přibližně</w:t>
      </w:r>
      <w:r w:rsidR="00D3780F">
        <w:t xml:space="preserve"> po</w:t>
      </w:r>
      <w:r w:rsidRPr="001D3DB1">
        <w:t xml:space="preserve"> 2 týdn</w:t>
      </w:r>
      <w:r w:rsidR="00D3780F">
        <w:t>ech</w:t>
      </w:r>
      <w:r w:rsidRPr="001D3DB1">
        <w:t xml:space="preserve"> do dosažení cílové udržovací dávky 10 mg jednou denně, podle tolerance pacienta.</w:t>
      </w:r>
    </w:p>
    <w:p w14:paraId="598D4AB0" w14:textId="77777777" w:rsidR="00CF7701" w:rsidRDefault="00CF7701" w:rsidP="00CF7701">
      <w:pPr>
        <w:spacing w:line="240" w:lineRule="auto"/>
        <w:rPr>
          <w:szCs w:val="22"/>
        </w:rPr>
      </w:pPr>
    </w:p>
    <w:p w14:paraId="48C91CD1" w14:textId="6539755D" w:rsidR="007572FC" w:rsidRDefault="007572FC" w:rsidP="00CF7701">
      <w:pPr>
        <w:spacing w:line="240" w:lineRule="auto"/>
        <w:rPr>
          <w:szCs w:val="22"/>
        </w:rPr>
      </w:pPr>
      <w:r w:rsidRPr="007572FC">
        <w:rPr>
          <w:szCs w:val="22"/>
        </w:rPr>
        <w:t xml:space="preserve">U pacientů se symptomatickou hypotenzí v posledních 4 týdnech je doporučená </w:t>
      </w:r>
      <w:r w:rsidR="00D672EB">
        <w:rPr>
          <w:szCs w:val="22"/>
        </w:rPr>
        <w:t>zahajovací</w:t>
      </w:r>
      <w:r w:rsidRPr="007572FC">
        <w:rPr>
          <w:szCs w:val="22"/>
        </w:rPr>
        <w:t xml:space="preserve"> dávka 2,5 mg </w:t>
      </w:r>
      <w:proofErr w:type="spellStart"/>
      <w:r w:rsidRPr="007572FC">
        <w:rPr>
          <w:szCs w:val="22"/>
        </w:rPr>
        <w:t>vericig</w:t>
      </w:r>
      <w:r w:rsidR="00AC4EB2">
        <w:rPr>
          <w:szCs w:val="22"/>
        </w:rPr>
        <w:t>u</w:t>
      </w:r>
      <w:r w:rsidRPr="007572FC">
        <w:rPr>
          <w:szCs w:val="22"/>
        </w:rPr>
        <w:t>átu</w:t>
      </w:r>
      <w:proofErr w:type="spellEnd"/>
      <w:r w:rsidRPr="007572FC">
        <w:rPr>
          <w:szCs w:val="22"/>
        </w:rPr>
        <w:t xml:space="preserve"> jednou denně. Dávk</w:t>
      </w:r>
      <w:r w:rsidR="00A60D72">
        <w:rPr>
          <w:szCs w:val="22"/>
        </w:rPr>
        <w:t xml:space="preserve">a </w:t>
      </w:r>
      <w:r w:rsidR="00AC4EB2">
        <w:rPr>
          <w:szCs w:val="22"/>
        </w:rPr>
        <w:t>má</w:t>
      </w:r>
      <w:r w:rsidR="00A60D72">
        <w:rPr>
          <w:szCs w:val="22"/>
        </w:rPr>
        <w:t xml:space="preserve"> být </w:t>
      </w:r>
      <w:r w:rsidRPr="007572FC">
        <w:rPr>
          <w:szCs w:val="22"/>
        </w:rPr>
        <w:t>zdvojnásob</w:t>
      </w:r>
      <w:r w:rsidR="00A60D72">
        <w:rPr>
          <w:szCs w:val="22"/>
        </w:rPr>
        <w:t>ena</w:t>
      </w:r>
      <w:r w:rsidRPr="007572FC">
        <w:rPr>
          <w:szCs w:val="22"/>
        </w:rPr>
        <w:t xml:space="preserve"> přibližně každé 2 týdny, aby se dosáhlo cílové udržovací dávky 10 mg jednou denně, </w:t>
      </w:r>
      <w:r w:rsidR="005217D6">
        <w:rPr>
          <w:szCs w:val="22"/>
        </w:rPr>
        <w:t>po</w:t>
      </w:r>
      <w:r w:rsidRPr="007572FC">
        <w:rPr>
          <w:szCs w:val="22"/>
        </w:rPr>
        <w:t>dle tolerance pacienta.</w:t>
      </w:r>
    </w:p>
    <w:p w14:paraId="617F70CA" w14:textId="77777777" w:rsidR="007572FC" w:rsidRPr="001D3DB1" w:rsidRDefault="007572FC" w:rsidP="00CF7701">
      <w:pPr>
        <w:spacing w:line="240" w:lineRule="auto"/>
        <w:rPr>
          <w:szCs w:val="22"/>
        </w:rPr>
      </w:pPr>
    </w:p>
    <w:p w14:paraId="0D58EEB9" w14:textId="21080D35" w:rsidR="00E1195E" w:rsidRPr="001D3DB1" w:rsidRDefault="00704ADE" w:rsidP="00A91335">
      <w:pPr>
        <w:keepNext/>
        <w:spacing w:line="240" w:lineRule="auto"/>
        <w:rPr>
          <w:szCs w:val="22"/>
        </w:rPr>
      </w:pPr>
      <w:r w:rsidRPr="001D3DB1">
        <w:t>Pokud se u pacientů objeví problémy s tolerancí (symptomatická hypotenze nebo systolický krevní tlak [STK] nižší než 90 </w:t>
      </w:r>
      <w:proofErr w:type="spellStart"/>
      <w:r w:rsidRPr="001D3DB1">
        <w:t>mmHg</w:t>
      </w:r>
      <w:proofErr w:type="spellEnd"/>
      <w:r w:rsidRPr="001D3DB1">
        <w:t xml:space="preserve">), doporučuje se přechodná titrace dávek </w:t>
      </w:r>
      <w:proofErr w:type="spellStart"/>
      <w:r w:rsidR="003F36AA">
        <w:t>vericig</w:t>
      </w:r>
      <w:r w:rsidR="00AF2A5D">
        <w:t>u</w:t>
      </w:r>
      <w:r w:rsidR="003F36AA">
        <w:t>átu</w:t>
      </w:r>
      <w:proofErr w:type="spellEnd"/>
      <w:r w:rsidRPr="001D3DB1">
        <w:t xml:space="preserve"> směrem dolů</w:t>
      </w:r>
      <w:r w:rsidR="00493B18" w:rsidRPr="001D3DB1">
        <w:t xml:space="preserve"> nebo vysazení </w:t>
      </w:r>
      <w:proofErr w:type="spellStart"/>
      <w:r w:rsidR="003F36AA">
        <w:t>vericig</w:t>
      </w:r>
      <w:r w:rsidR="00AF2A5D">
        <w:t>u</w:t>
      </w:r>
      <w:r w:rsidR="003F36AA">
        <w:t>átu</w:t>
      </w:r>
      <w:proofErr w:type="spellEnd"/>
      <w:r w:rsidRPr="001D3DB1">
        <w:t xml:space="preserve"> (viz bod 4.4).</w:t>
      </w:r>
    </w:p>
    <w:p w14:paraId="315113CE" w14:textId="77777777" w:rsidR="00DA7086" w:rsidRPr="001D3DB1" w:rsidRDefault="00DA7086" w:rsidP="00561071">
      <w:pPr>
        <w:spacing w:line="240" w:lineRule="auto"/>
        <w:rPr>
          <w:szCs w:val="22"/>
        </w:rPr>
      </w:pPr>
    </w:p>
    <w:p w14:paraId="4FE67D44" w14:textId="3B232C46" w:rsidR="00BD76AB" w:rsidRPr="001D3DB1" w:rsidRDefault="00BD76AB" w:rsidP="00561071">
      <w:pPr>
        <w:spacing w:line="240" w:lineRule="auto"/>
        <w:rPr>
          <w:szCs w:val="22"/>
        </w:rPr>
      </w:pPr>
      <w:r w:rsidRPr="001D3DB1">
        <w:t>Léčba se nemá zahajovat u pacientů s STK &lt;100 </w:t>
      </w:r>
      <w:proofErr w:type="spellStart"/>
      <w:r w:rsidRPr="001D3DB1">
        <w:t>mmHg</w:t>
      </w:r>
      <w:proofErr w:type="spellEnd"/>
      <w:r w:rsidRPr="001D3DB1">
        <w:t xml:space="preserve"> (viz bod 4.4).</w:t>
      </w:r>
    </w:p>
    <w:p w14:paraId="22F27621" w14:textId="77777777" w:rsidR="0035428A" w:rsidRPr="001D3DB1" w:rsidRDefault="0035428A" w:rsidP="00CF7701">
      <w:pPr>
        <w:spacing w:line="240" w:lineRule="auto"/>
        <w:rPr>
          <w:szCs w:val="22"/>
        </w:rPr>
      </w:pPr>
    </w:p>
    <w:p w14:paraId="4AAA84BD" w14:textId="77777777" w:rsidR="00CF7701" w:rsidRPr="001D3DB1" w:rsidRDefault="00CF7701" w:rsidP="00B728BD">
      <w:pPr>
        <w:keepNext/>
        <w:spacing w:line="240" w:lineRule="auto"/>
        <w:rPr>
          <w:i/>
          <w:szCs w:val="22"/>
        </w:rPr>
      </w:pPr>
      <w:r w:rsidRPr="001D3DB1">
        <w:rPr>
          <w:i/>
        </w:rPr>
        <w:t>Vynechaná dávka</w:t>
      </w:r>
    </w:p>
    <w:p w14:paraId="0AB31BB5" w14:textId="4CEF80F2" w:rsidR="00CF7701" w:rsidRPr="001D3DB1" w:rsidRDefault="00BF0CC1" w:rsidP="00B728BD">
      <w:pPr>
        <w:keepNext/>
        <w:spacing w:line="240" w:lineRule="auto"/>
        <w:rPr>
          <w:szCs w:val="22"/>
        </w:rPr>
      </w:pPr>
      <w:r w:rsidRPr="001D3DB1">
        <w:t>Pokud je vynechána dávka, m</w:t>
      </w:r>
      <w:r w:rsidR="000669B5">
        <w:t>á</w:t>
      </w:r>
      <w:r w:rsidRPr="001D3DB1">
        <w:t xml:space="preserve"> být užita, jakmile si pacient vzpomene, a to ve stejný den, kdy došlo k vynechání dávky. Pacienti nesmí užít dvě dávky </w:t>
      </w:r>
      <w:proofErr w:type="spellStart"/>
      <w:r w:rsidR="003F36AA">
        <w:t>vericig</w:t>
      </w:r>
      <w:r w:rsidR="00AF2A5D">
        <w:t>u</w:t>
      </w:r>
      <w:r w:rsidR="003F36AA">
        <w:t>átu</w:t>
      </w:r>
      <w:proofErr w:type="spellEnd"/>
      <w:r w:rsidRPr="001D3DB1">
        <w:t xml:space="preserve"> v týž den.</w:t>
      </w:r>
    </w:p>
    <w:p w14:paraId="143AA874" w14:textId="77777777" w:rsidR="00CF7701" w:rsidRPr="001D3DB1" w:rsidRDefault="00CF7701" w:rsidP="00CF7701">
      <w:pPr>
        <w:spacing w:line="240" w:lineRule="auto"/>
        <w:rPr>
          <w:szCs w:val="22"/>
        </w:rPr>
      </w:pPr>
    </w:p>
    <w:p w14:paraId="295D1860" w14:textId="77777777" w:rsidR="00B5354B" w:rsidRPr="00751CA7" w:rsidRDefault="00B5354B" w:rsidP="00DB1527">
      <w:pPr>
        <w:keepNext/>
        <w:spacing w:line="240" w:lineRule="auto"/>
        <w:rPr>
          <w:rFonts w:eastAsia="SimSun"/>
          <w:i/>
          <w:szCs w:val="22"/>
          <w:u w:val="single"/>
        </w:rPr>
      </w:pPr>
      <w:r w:rsidRPr="00751CA7">
        <w:rPr>
          <w:rFonts w:eastAsia="SimSun"/>
          <w:i/>
          <w:u w:val="single"/>
        </w:rPr>
        <w:t>Zvláštní populace</w:t>
      </w:r>
    </w:p>
    <w:p w14:paraId="737CD11F" w14:textId="77777777" w:rsidR="00B5354B" w:rsidRPr="001D3DB1" w:rsidRDefault="00B5354B" w:rsidP="00DB1527">
      <w:pPr>
        <w:keepNext/>
        <w:spacing w:line="240" w:lineRule="auto"/>
        <w:rPr>
          <w:rFonts w:eastAsia="SimSun"/>
          <w:szCs w:val="22"/>
          <w:lang w:eastAsia="ko-KR"/>
        </w:rPr>
      </w:pPr>
    </w:p>
    <w:p w14:paraId="166F7F96" w14:textId="77777777" w:rsidR="00275415" w:rsidRPr="001D3DB1" w:rsidRDefault="00275415" w:rsidP="00DB1527">
      <w:pPr>
        <w:keepNext/>
        <w:spacing w:line="240" w:lineRule="auto"/>
        <w:rPr>
          <w:rFonts w:eastAsia="SimSun"/>
          <w:i/>
          <w:szCs w:val="22"/>
        </w:rPr>
      </w:pPr>
      <w:r w:rsidRPr="001D3DB1">
        <w:rPr>
          <w:rFonts w:eastAsia="SimSun"/>
          <w:i/>
        </w:rPr>
        <w:t>Starší pacienti</w:t>
      </w:r>
    </w:p>
    <w:p w14:paraId="4E7E5191" w14:textId="5A9517DB" w:rsidR="00275415" w:rsidRPr="001D3DB1" w:rsidRDefault="00275415" w:rsidP="00DB1527">
      <w:pPr>
        <w:keepNext/>
        <w:spacing w:line="240" w:lineRule="auto"/>
        <w:rPr>
          <w:rFonts w:eastAsia="SimSun"/>
          <w:szCs w:val="22"/>
        </w:rPr>
      </w:pPr>
      <w:r w:rsidRPr="001D3DB1">
        <w:rPr>
          <w:rFonts w:eastAsia="SimSun"/>
        </w:rPr>
        <w:t xml:space="preserve">Úprava dávkování </w:t>
      </w:r>
      <w:r w:rsidR="00295711">
        <w:rPr>
          <w:rFonts w:eastAsia="SimSun"/>
        </w:rPr>
        <w:t xml:space="preserve">se </w:t>
      </w:r>
      <w:r w:rsidRPr="001D3DB1">
        <w:rPr>
          <w:rFonts w:eastAsia="SimSun"/>
        </w:rPr>
        <w:t>u starších pacientů nevyžaduje (viz body 5.1 a 5.2).</w:t>
      </w:r>
    </w:p>
    <w:p w14:paraId="5F0C0ABB" w14:textId="77777777" w:rsidR="00A76996" w:rsidRPr="001D3DB1" w:rsidRDefault="00A76996" w:rsidP="00A76996">
      <w:pPr>
        <w:spacing w:line="240" w:lineRule="auto"/>
        <w:rPr>
          <w:rFonts w:eastAsia="SimSun"/>
          <w:szCs w:val="22"/>
          <w:lang w:eastAsia="ko-KR"/>
        </w:rPr>
      </w:pPr>
    </w:p>
    <w:p w14:paraId="6C0486B7" w14:textId="77777777" w:rsidR="00275415" w:rsidRPr="001D3DB1" w:rsidRDefault="00A76996" w:rsidP="00B728BD">
      <w:pPr>
        <w:keepNext/>
        <w:spacing w:line="240" w:lineRule="auto"/>
        <w:rPr>
          <w:rFonts w:eastAsia="SimSun"/>
          <w:i/>
          <w:szCs w:val="22"/>
        </w:rPr>
      </w:pPr>
      <w:r w:rsidRPr="001D3DB1">
        <w:rPr>
          <w:rFonts w:eastAsia="SimSun"/>
          <w:i/>
        </w:rPr>
        <w:t>Porucha funkce ledvin</w:t>
      </w:r>
    </w:p>
    <w:p w14:paraId="04B11212" w14:textId="1B32A3D3" w:rsidR="00A76996" w:rsidRPr="001D3DB1" w:rsidRDefault="00A76996" w:rsidP="00B728BD">
      <w:pPr>
        <w:keepNext/>
        <w:spacing w:line="240" w:lineRule="auto"/>
        <w:rPr>
          <w:rFonts w:eastAsia="SimSun"/>
          <w:szCs w:val="22"/>
        </w:rPr>
      </w:pPr>
      <w:r w:rsidRPr="001D3DB1">
        <w:t>Úprava dávkování</w:t>
      </w:r>
      <w:r w:rsidR="00295711">
        <w:t xml:space="preserve"> se</w:t>
      </w:r>
      <w:r w:rsidRPr="001D3DB1">
        <w:t xml:space="preserve"> u pacientů s odhadovanou glomerulární filtrac</w:t>
      </w:r>
      <w:r w:rsidR="00D3480F">
        <w:t>í</w:t>
      </w:r>
      <w:r w:rsidRPr="001D3DB1">
        <w:t xml:space="preserve"> (</w:t>
      </w:r>
      <w:proofErr w:type="spellStart"/>
      <w:r w:rsidRPr="001D3DB1">
        <w:t>eGFR</w:t>
      </w:r>
      <w:proofErr w:type="spellEnd"/>
      <w:r w:rsidRPr="001D3DB1">
        <w:t>) ≥15 ml/min/1,73 m</w:t>
      </w:r>
      <w:r w:rsidRPr="001D3DB1">
        <w:rPr>
          <w:vertAlign w:val="superscript"/>
        </w:rPr>
        <w:t>2</w:t>
      </w:r>
      <w:r w:rsidRPr="001D3DB1">
        <w:t xml:space="preserve"> (neléčených dialýzou) nevyžaduje.</w:t>
      </w:r>
      <w:r w:rsidRPr="001D3DB1">
        <w:rPr>
          <w:rFonts w:eastAsia="SimSun"/>
        </w:rPr>
        <w:t xml:space="preserve"> Léčba </w:t>
      </w:r>
      <w:proofErr w:type="spellStart"/>
      <w:r w:rsidR="005C2A55">
        <w:rPr>
          <w:rFonts w:eastAsia="SimSun"/>
        </w:rPr>
        <w:t>vericig</w:t>
      </w:r>
      <w:r w:rsidR="00AF2A5D">
        <w:rPr>
          <w:rFonts w:eastAsia="SimSun"/>
        </w:rPr>
        <w:t>u</w:t>
      </w:r>
      <w:r w:rsidR="005C2A55">
        <w:rPr>
          <w:rFonts w:eastAsia="SimSun"/>
        </w:rPr>
        <w:t>átem</w:t>
      </w:r>
      <w:proofErr w:type="spellEnd"/>
      <w:r w:rsidRPr="001D3DB1">
        <w:rPr>
          <w:rFonts w:eastAsia="SimSun"/>
        </w:rPr>
        <w:t xml:space="preserve"> se nedoporučuje u pacientů s </w:t>
      </w:r>
      <w:proofErr w:type="spellStart"/>
      <w:r w:rsidRPr="001D3DB1">
        <w:rPr>
          <w:rFonts w:eastAsia="SimSun"/>
        </w:rPr>
        <w:t>eGFR</w:t>
      </w:r>
      <w:proofErr w:type="spellEnd"/>
      <w:r w:rsidRPr="001D3DB1">
        <w:rPr>
          <w:rFonts w:eastAsia="SimSun"/>
        </w:rPr>
        <w:t xml:space="preserve"> &lt;15 ml/min/1,73 m</w:t>
      </w:r>
      <w:r w:rsidRPr="001D3DB1">
        <w:rPr>
          <w:rFonts w:eastAsia="SimSun"/>
          <w:vertAlign w:val="superscript"/>
        </w:rPr>
        <w:t>2</w:t>
      </w:r>
      <w:r w:rsidRPr="001D3DB1">
        <w:rPr>
          <w:rFonts w:eastAsia="SimSun"/>
        </w:rPr>
        <w:t xml:space="preserve"> při zahájení léčby nebo u pacientů na dialýze (viz body 4.4 a 5.2).</w:t>
      </w:r>
    </w:p>
    <w:p w14:paraId="180EEC1F" w14:textId="77777777" w:rsidR="005D6666" w:rsidRPr="001D3DB1" w:rsidRDefault="005D6666" w:rsidP="00275415">
      <w:pPr>
        <w:spacing w:line="240" w:lineRule="auto"/>
        <w:rPr>
          <w:rFonts w:eastAsia="SimSun"/>
          <w:szCs w:val="22"/>
          <w:lang w:eastAsia="ko-KR"/>
        </w:rPr>
      </w:pPr>
    </w:p>
    <w:p w14:paraId="0F8521DA" w14:textId="77777777" w:rsidR="005D6666" w:rsidRPr="001D3DB1" w:rsidRDefault="005D6666" w:rsidP="00B728BD">
      <w:pPr>
        <w:keepNext/>
        <w:spacing w:line="240" w:lineRule="auto"/>
        <w:rPr>
          <w:rFonts w:eastAsia="SimSun"/>
          <w:i/>
          <w:szCs w:val="22"/>
        </w:rPr>
      </w:pPr>
      <w:r w:rsidRPr="001D3DB1">
        <w:rPr>
          <w:rFonts w:eastAsia="SimSun"/>
          <w:i/>
        </w:rPr>
        <w:t>Porucha funkce jater</w:t>
      </w:r>
    </w:p>
    <w:p w14:paraId="017071B4" w14:textId="00C39C50" w:rsidR="005D6666" w:rsidRPr="001D3DB1" w:rsidRDefault="00A173A7" w:rsidP="00B728BD">
      <w:pPr>
        <w:keepNext/>
        <w:spacing w:line="240" w:lineRule="auto"/>
        <w:rPr>
          <w:rFonts w:eastAsia="SimSun"/>
          <w:szCs w:val="22"/>
        </w:rPr>
      </w:pPr>
      <w:r w:rsidRPr="001D3DB1">
        <w:rPr>
          <w:rFonts w:eastAsia="SimSun"/>
        </w:rPr>
        <w:t xml:space="preserve">Úprava dávkování </w:t>
      </w:r>
      <w:r w:rsidR="00295711">
        <w:rPr>
          <w:rFonts w:eastAsia="SimSun"/>
        </w:rPr>
        <w:t xml:space="preserve">se </w:t>
      </w:r>
      <w:r w:rsidRPr="001D3DB1">
        <w:rPr>
          <w:rFonts w:eastAsia="SimSun"/>
        </w:rPr>
        <w:t xml:space="preserve">u pacientů s lehkou nebo středně těžkou poruchou funkce jater nevyžaduje. Léčba </w:t>
      </w:r>
      <w:proofErr w:type="spellStart"/>
      <w:r w:rsidR="005C2A55">
        <w:rPr>
          <w:rFonts w:eastAsia="SimSun"/>
        </w:rPr>
        <w:t>vericig</w:t>
      </w:r>
      <w:r w:rsidR="00AF2A5D">
        <w:rPr>
          <w:rFonts w:eastAsia="SimSun"/>
        </w:rPr>
        <w:t>u</w:t>
      </w:r>
      <w:r w:rsidR="005C2A55">
        <w:rPr>
          <w:rFonts w:eastAsia="SimSun"/>
        </w:rPr>
        <w:t>átem</w:t>
      </w:r>
      <w:proofErr w:type="spellEnd"/>
      <w:r w:rsidRPr="001D3DB1">
        <w:rPr>
          <w:rFonts w:eastAsia="SimSun"/>
        </w:rPr>
        <w:t xml:space="preserve"> se nedoporučuje u pacientů s těžkou poruchou funkce jater (viz body 4.4 a 5.2).</w:t>
      </w:r>
    </w:p>
    <w:p w14:paraId="51C6C122" w14:textId="77777777" w:rsidR="00A76996" w:rsidRPr="001D3DB1" w:rsidRDefault="00A76996" w:rsidP="00275415">
      <w:pPr>
        <w:spacing w:line="240" w:lineRule="auto"/>
        <w:rPr>
          <w:rFonts w:eastAsia="SimSun"/>
          <w:szCs w:val="22"/>
          <w:lang w:eastAsia="ko-KR"/>
        </w:rPr>
      </w:pPr>
    </w:p>
    <w:p w14:paraId="50EC1EC7" w14:textId="77777777" w:rsidR="009921E6" w:rsidRPr="001D3DB1" w:rsidRDefault="00812D16" w:rsidP="00F40ABD">
      <w:pPr>
        <w:keepNext/>
        <w:spacing w:line="240" w:lineRule="auto"/>
        <w:rPr>
          <w:bCs/>
          <w:i/>
          <w:iCs/>
          <w:szCs w:val="22"/>
        </w:rPr>
      </w:pPr>
      <w:r w:rsidRPr="001D3DB1">
        <w:rPr>
          <w:i/>
        </w:rPr>
        <w:lastRenderedPageBreak/>
        <w:t>Pediatrická populace</w:t>
      </w:r>
    </w:p>
    <w:p w14:paraId="0D658D0A" w14:textId="6B50678D" w:rsidR="008E3FC9" w:rsidRPr="001D3DB1" w:rsidRDefault="00B2179E" w:rsidP="00F40ABD">
      <w:pPr>
        <w:keepNext/>
        <w:autoSpaceDE w:val="0"/>
        <w:autoSpaceDN w:val="0"/>
        <w:adjustRightInd w:val="0"/>
        <w:spacing w:line="240" w:lineRule="auto"/>
        <w:rPr>
          <w:rFonts w:cs="Arial"/>
        </w:rPr>
      </w:pPr>
      <w:r w:rsidRPr="001D3DB1">
        <w:t xml:space="preserve">Bezpečnost a účinnost </w:t>
      </w:r>
      <w:proofErr w:type="spellStart"/>
      <w:r w:rsidR="003F36AA">
        <w:t>vericig</w:t>
      </w:r>
      <w:r w:rsidR="00DA3AC5">
        <w:t>u</w:t>
      </w:r>
      <w:r w:rsidR="003F36AA">
        <w:t>átu</w:t>
      </w:r>
      <w:proofErr w:type="spellEnd"/>
      <w:r w:rsidRPr="001D3DB1">
        <w:t xml:space="preserve"> u dětí a dospívajících ve věku do 18 let nebyla dosud stanovena. Nejsou dostupné žádné klinické údaje.</w:t>
      </w:r>
      <w:r w:rsidR="00673DAE" w:rsidRPr="001D3DB1">
        <w:t xml:space="preserve"> V </w:t>
      </w:r>
      <w:proofErr w:type="spellStart"/>
      <w:r w:rsidR="00673DAE" w:rsidRPr="001D3DB1">
        <w:t>neklinických</w:t>
      </w:r>
      <w:proofErr w:type="spellEnd"/>
      <w:r w:rsidR="00673DAE" w:rsidRPr="001D3DB1">
        <w:t xml:space="preserve"> studiích byly pozorovány nežádoucí účinky na růst kostí (viz bod 5.3).</w:t>
      </w:r>
    </w:p>
    <w:p w14:paraId="0BE07CD2" w14:textId="77777777" w:rsidR="00952C3F" w:rsidRPr="001D3DB1" w:rsidRDefault="00952C3F" w:rsidP="00204AAB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E214301" w14:textId="77777777" w:rsidR="00812D16" w:rsidRPr="001D3DB1" w:rsidRDefault="0017488F" w:rsidP="00F40ABD">
      <w:pPr>
        <w:keepNext/>
        <w:spacing w:line="240" w:lineRule="auto"/>
        <w:rPr>
          <w:szCs w:val="22"/>
          <w:u w:val="single"/>
        </w:rPr>
      </w:pPr>
      <w:r w:rsidRPr="001D3DB1">
        <w:rPr>
          <w:u w:val="single"/>
        </w:rPr>
        <w:t>Způsob podání</w:t>
      </w:r>
    </w:p>
    <w:p w14:paraId="1D14587B" w14:textId="77777777" w:rsidR="005A30A0" w:rsidRPr="001D3DB1" w:rsidRDefault="005A30A0" w:rsidP="00F40ABD">
      <w:pPr>
        <w:keepNext/>
        <w:spacing w:line="240" w:lineRule="auto"/>
        <w:rPr>
          <w:szCs w:val="22"/>
        </w:rPr>
      </w:pPr>
    </w:p>
    <w:p w14:paraId="3093155D" w14:textId="77777777" w:rsidR="00FE0303" w:rsidRPr="001D3DB1" w:rsidRDefault="00B51811" w:rsidP="00F40ABD">
      <w:pPr>
        <w:keepNext/>
        <w:spacing w:line="240" w:lineRule="auto"/>
        <w:rPr>
          <w:szCs w:val="22"/>
        </w:rPr>
      </w:pPr>
      <w:r w:rsidRPr="001D3DB1">
        <w:t xml:space="preserve">Perorální podání. Přípravek </w:t>
      </w:r>
      <w:proofErr w:type="spellStart"/>
      <w:r w:rsidRPr="001D3DB1">
        <w:t>Verquvo</w:t>
      </w:r>
      <w:proofErr w:type="spellEnd"/>
      <w:r w:rsidRPr="001D3DB1">
        <w:t xml:space="preserve"> se má užívat spolu s jídlem (viz bod 5.2).</w:t>
      </w:r>
    </w:p>
    <w:p w14:paraId="15A770D9" w14:textId="77777777" w:rsidR="00B51811" w:rsidRPr="001D3DB1" w:rsidRDefault="00B51811" w:rsidP="00B5354B">
      <w:pPr>
        <w:spacing w:line="240" w:lineRule="auto"/>
        <w:rPr>
          <w:szCs w:val="22"/>
          <w:u w:val="single"/>
        </w:rPr>
      </w:pPr>
    </w:p>
    <w:p w14:paraId="53A0E310" w14:textId="77777777" w:rsidR="00B51811" w:rsidRPr="001D3DB1" w:rsidRDefault="00B51811" w:rsidP="00F40ABD">
      <w:pPr>
        <w:keepNext/>
        <w:spacing w:line="240" w:lineRule="auto"/>
        <w:rPr>
          <w:rFonts w:cs="Arial"/>
          <w:i/>
        </w:rPr>
      </w:pPr>
      <w:r w:rsidRPr="001D3DB1">
        <w:rPr>
          <w:rFonts w:cs="Arial"/>
          <w:i/>
        </w:rPr>
        <w:t>Drcení tablet</w:t>
      </w:r>
    </w:p>
    <w:p w14:paraId="5E33B96C" w14:textId="2298EE2E" w:rsidR="00C044F0" w:rsidRPr="001D3DB1" w:rsidRDefault="00BD3E16" w:rsidP="00F40ABD">
      <w:pPr>
        <w:keepNext/>
        <w:spacing w:line="240" w:lineRule="auto"/>
        <w:rPr>
          <w:szCs w:val="22"/>
          <w:u w:val="single"/>
        </w:rPr>
      </w:pPr>
      <w:r w:rsidRPr="001D3DB1">
        <w:rPr>
          <w:rFonts w:cs="Arial"/>
        </w:rPr>
        <w:t xml:space="preserve">Pacientům, kteří nedokážou spolknout celé tablety, lze přípravek </w:t>
      </w:r>
      <w:proofErr w:type="spellStart"/>
      <w:r w:rsidRPr="001D3DB1">
        <w:rPr>
          <w:rFonts w:cs="Arial"/>
        </w:rPr>
        <w:t>Verquvo</w:t>
      </w:r>
      <w:proofErr w:type="spellEnd"/>
      <w:r w:rsidRPr="001D3DB1">
        <w:rPr>
          <w:rFonts w:cs="Arial"/>
        </w:rPr>
        <w:t xml:space="preserve"> </w:t>
      </w:r>
      <w:r w:rsidR="00D3480F">
        <w:rPr>
          <w:rFonts w:cs="Arial"/>
        </w:rPr>
        <w:t>bezprostředně</w:t>
      </w:r>
      <w:r w:rsidR="00D3480F" w:rsidRPr="001D3DB1">
        <w:rPr>
          <w:rFonts w:cs="Arial"/>
        </w:rPr>
        <w:t xml:space="preserve"> </w:t>
      </w:r>
      <w:r w:rsidRPr="001D3DB1">
        <w:rPr>
          <w:rFonts w:cs="Arial"/>
        </w:rPr>
        <w:t>před podáním rozdrtit a smíchat s vodou (viz bod 5.2).</w:t>
      </w:r>
    </w:p>
    <w:p w14:paraId="015D518F" w14:textId="77777777" w:rsidR="003C1487" w:rsidRPr="001D3DB1" w:rsidRDefault="003C1487" w:rsidP="00204AAB">
      <w:pPr>
        <w:spacing w:line="240" w:lineRule="auto"/>
        <w:rPr>
          <w:szCs w:val="22"/>
        </w:rPr>
      </w:pPr>
    </w:p>
    <w:p w14:paraId="740E8EF2" w14:textId="77777777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szCs w:val="22"/>
        </w:rPr>
      </w:pPr>
      <w:r w:rsidRPr="001D3DB1">
        <w:rPr>
          <w:b/>
        </w:rPr>
        <w:t>4.3</w:t>
      </w:r>
      <w:r w:rsidRPr="001D3DB1">
        <w:rPr>
          <w:b/>
        </w:rPr>
        <w:tab/>
        <w:t>Kontraindikace</w:t>
      </w:r>
    </w:p>
    <w:p w14:paraId="6D8EDC5D" w14:textId="77777777" w:rsidR="00812D16" w:rsidRPr="001D3DB1" w:rsidRDefault="00812D16" w:rsidP="00F40ABD">
      <w:pPr>
        <w:keepNext/>
        <w:spacing w:line="240" w:lineRule="auto"/>
        <w:rPr>
          <w:szCs w:val="22"/>
        </w:rPr>
      </w:pPr>
    </w:p>
    <w:p w14:paraId="1CA8CA4F" w14:textId="77777777" w:rsidR="00812D16" w:rsidRPr="001D3DB1" w:rsidRDefault="00812D16" w:rsidP="002C6042">
      <w:pPr>
        <w:keepNext/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1D3DB1">
        <w:t>Hypersenzitivita na léčivou látku nebo na kteroukoli pomocnou látku uvedenou v bodě 6.1.</w:t>
      </w:r>
    </w:p>
    <w:p w14:paraId="1265E92E" w14:textId="06A178CC" w:rsidR="00DD5A65" w:rsidRPr="001D3DB1" w:rsidRDefault="00DD5A65" w:rsidP="00DD5A65">
      <w:pPr>
        <w:keepNext/>
        <w:numPr>
          <w:ilvl w:val="0"/>
          <w:numId w:val="1"/>
        </w:numPr>
        <w:spacing w:line="240" w:lineRule="auto"/>
        <w:ind w:left="567" w:hanging="567"/>
        <w:rPr>
          <w:szCs w:val="22"/>
        </w:rPr>
      </w:pPr>
      <w:r w:rsidRPr="001D3DB1">
        <w:t xml:space="preserve">Současné užívání spolu s jinými stimulátory solubilní </w:t>
      </w:r>
      <w:proofErr w:type="spellStart"/>
      <w:r w:rsidRPr="001D3DB1">
        <w:t>guanylátcyklázy</w:t>
      </w:r>
      <w:proofErr w:type="spellEnd"/>
      <w:r w:rsidRPr="001D3DB1">
        <w:t xml:space="preserve"> (</w:t>
      </w:r>
      <w:proofErr w:type="spellStart"/>
      <w:r w:rsidRPr="001D3DB1">
        <w:t>sGC</w:t>
      </w:r>
      <w:proofErr w:type="spellEnd"/>
      <w:r w:rsidRPr="001D3DB1">
        <w:t xml:space="preserve">), jako je například </w:t>
      </w:r>
      <w:proofErr w:type="spellStart"/>
      <w:r w:rsidRPr="001D3DB1">
        <w:t>riocig</w:t>
      </w:r>
      <w:r w:rsidR="00CE35E9">
        <w:t>u</w:t>
      </w:r>
      <w:r w:rsidR="00D3480F">
        <w:t>á</w:t>
      </w:r>
      <w:r w:rsidRPr="001D3DB1">
        <w:t>t</w:t>
      </w:r>
      <w:proofErr w:type="spellEnd"/>
      <w:r w:rsidRPr="001D3DB1">
        <w:t xml:space="preserve"> (viz bod 4.5).</w:t>
      </w:r>
    </w:p>
    <w:p w14:paraId="6AAF5131" w14:textId="77777777" w:rsidR="00812D16" w:rsidRPr="001D3DB1" w:rsidRDefault="00812D16" w:rsidP="00204AAB">
      <w:pPr>
        <w:spacing w:line="240" w:lineRule="auto"/>
        <w:rPr>
          <w:szCs w:val="22"/>
        </w:rPr>
      </w:pPr>
    </w:p>
    <w:p w14:paraId="62CAA994" w14:textId="588A193F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b/>
          <w:szCs w:val="22"/>
        </w:rPr>
      </w:pPr>
      <w:r w:rsidRPr="001D3DB1">
        <w:rPr>
          <w:b/>
        </w:rPr>
        <w:t>4.4</w:t>
      </w:r>
      <w:r w:rsidRPr="001D3DB1">
        <w:rPr>
          <w:b/>
        </w:rPr>
        <w:tab/>
        <w:t>Zvláštní upozornění a opatření pro použití</w:t>
      </w:r>
    </w:p>
    <w:p w14:paraId="13D8785F" w14:textId="77777777" w:rsidR="00812D16" w:rsidRPr="001D3DB1" w:rsidRDefault="00812D16" w:rsidP="00F40ABD">
      <w:pPr>
        <w:keepNext/>
        <w:spacing w:line="240" w:lineRule="auto"/>
        <w:ind w:left="567" w:hanging="567"/>
        <w:rPr>
          <w:szCs w:val="22"/>
        </w:rPr>
      </w:pPr>
    </w:p>
    <w:p w14:paraId="728E93AC" w14:textId="77777777" w:rsidR="00B73B6D" w:rsidRPr="001D3DB1" w:rsidRDefault="00FB532F" w:rsidP="00442158">
      <w:pPr>
        <w:keepNext/>
        <w:autoSpaceDE w:val="0"/>
        <w:autoSpaceDN w:val="0"/>
        <w:adjustRightInd w:val="0"/>
        <w:rPr>
          <w:u w:val="single"/>
        </w:rPr>
      </w:pPr>
      <w:r w:rsidRPr="001D3DB1">
        <w:rPr>
          <w:u w:val="single"/>
        </w:rPr>
        <w:t>Symptomatická hypotenze</w:t>
      </w:r>
    </w:p>
    <w:p w14:paraId="62C43268" w14:textId="77777777" w:rsidR="00B73B6D" w:rsidRPr="001D3DB1" w:rsidRDefault="00B73B6D" w:rsidP="00442158">
      <w:pPr>
        <w:keepNext/>
        <w:autoSpaceDE w:val="0"/>
        <w:autoSpaceDN w:val="0"/>
        <w:adjustRightInd w:val="0"/>
      </w:pPr>
    </w:p>
    <w:p w14:paraId="1BCEA29D" w14:textId="7BA3F0C3" w:rsidR="00B73B6D" w:rsidRPr="001D3DB1" w:rsidRDefault="00712E33" w:rsidP="00B73B6D">
      <w:pPr>
        <w:autoSpaceDE w:val="0"/>
        <w:autoSpaceDN w:val="0"/>
        <w:adjustRightInd w:val="0"/>
        <w:rPr>
          <w:rFonts w:cs="Arial"/>
        </w:rPr>
      </w:pPr>
      <w:proofErr w:type="spellStart"/>
      <w:r w:rsidRPr="001D3DB1">
        <w:t>Vericig</w:t>
      </w:r>
      <w:r w:rsidR="00215132">
        <w:t>u</w:t>
      </w:r>
      <w:r w:rsidR="002342F1">
        <w:t>á</w:t>
      </w:r>
      <w:r w:rsidRPr="001D3DB1">
        <w:t>t</w:t>
      </w:r>
      <w:proofErr w:type="spellEnd"/>
      <w:r w:rsidRPr="001D3DB1">
        <w:t xml:space="preserve"> může způsobovat symptomatickou hypotenzi (viz bod 4.8). </w:t>
      </w:r>
      <w:r w:rsidRPr="001D3DB1">
        <w:rPr>
          <w:rFonts w:cs="Arial"/>
        </w:rPr>
        <w:t>Pacienti s</w:t>
      </w:r>
      <w:r w:rsidR="00673DAE" w:rsidRPr="001D3DB1">
        <w:rPr>
          <w:rFonts w:cs="Arial"/>
        </w:rPr>
        <w:t> </w:t>
      </w:r>
      <w:r w:rsidRPr="001D3DB1">
        <w:rPr>
          <w:rFonts w:cs="Arial"/>
        </w:rPr>
        <w:t>STK nižším než 100 </w:t>
      </w:r>
      <w:proofErr w:type="spellStart"/>
      <w:r w:rsidRPr="001D3DB1">
        <w:rPr>
          <w:rFonts w:cs="Arial"/>
        </w:rPr>
        <w:t>mmHg</w:t>
      </w:r>
      <w:proofErr w:type="spellEnd"/>
      <w:r w:rsidRPr="001D3DB1">
        <w:rPr>
          <w:rFonts w:cs="Arial"/>
        </w:rPr>
        <w:t xml:space="preserve"> nebo symptomatickou hypotenzí při zahájení léčby nebyli studováni.</w:t>
      </w:r>
    </w:p>
    <w:p w14:paraId="61412AEA" w14:textId="6B6929CE" w:rsidR="00B73B6D" w:rsidRPr="001D3DB1" w:rsidRDefault="005C64F3" w:rsidP="00B73B6D">
      <w:pPr>
        <w:autoSpaceDE w:val="0"/>
        <w:autoSpaceDN w:val="0"/>
        <w:adjustRightInd w:val="0"/>
      </w:pPr>
      <w:r w:rsidRPr="001D3DB1">
        <w:t>O možnosti rozvoje symptomatické hypotenze je třeba uvažovat u pacientů s hypovolémií, závažnou obstrukcí výtokového traktu levé komory, klidovou hypotenzí, dysfunkcí autonomního nervového systému, hypotenzí v anamnéze nebo souběžnou léčbou antihypertenzivy či organickými nitráty (viz bod 4.5). Pokud se u pacientů objeví problémy s tolerancí (symptomatická hypotenze nebo STK nižší než 90 </w:t>
      </w:r>
      <w:proofErr w:type="spellStart"/>
      <w:r w:rsidRPr="001D3DB1">
        <w:t>mmHg</w:t>
      </w:r>
      <w:proofErr w:type="spellEnd"/>
      <w:r w:rsidRPr="001D3DB1">
        <w:t xml:space="preserve">), doporučuje se přechodná titrace dávek </w:t>
      </w:r>
      <w:proofErr w:type="spellStart"/>
      <w:r w:rsidR="003F36AA">
        <w:t>vericig</w:t>
      </w:r>
      <w:r w:rsidR="00215132">
        <w:t>u</w:t>
      </w:r>
      <w:r w:rsidR="003F36AA">
        <w:t>átu</w:t>
      </w:r>
      <w:proofErr w:type="spellEnd"/>
      <w:r w:rsidRPr="001D3DB1">
        <w:t xml:space="preserve"> směrem dolů</w:t>
      </w:r>
      <w:r w:rsidR="00E00247" w:rsidRPr="001D3DB1">
        <w:t xml:space="preserve"> nebo vysazení </w:t>
      </w:r>
      <w:proofErr w:type="spellStart"/>
      <w:r w:rsidR="003F36AA">
        <w:t>vericig</w:t>
      </w:r>
      <w:r w:rsidR="00DA3AC5">
        <w:t>u</w:t>
      </w:r>
      <w:r w:rsidR="003F36AA">
        <w:t>átu</w:t>
      </w:r>
      <w:proofErr w:type="spellEnd"/>
      <w:r w:rsidRPr="001D3DB1">
        <w:t xml:space="preserve"> (viz bod 4.2).</w:t>
      </w:r>
    </w:p>
    <w:p w14:paraId="1C183099" w14:textId="3C75B32E" w:rsidR="00EB673D" w:rsidRPr="001D3DB1" w:rsidRDefault="007E517A" w:rsidP="007B002A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1D3DB1">
        <w:t xml:space="preserve">Souběžné užívání </w:t>
      </w:r>
      <w:proofErr w:type="spellStart"/>
      <w:r w:rsidR="003F36AA">
        <w:t>vericig</w:t>
      </w:r>
      <w:r w:rsidR="00215132">
        <w:t>u</w:t>
      </w:r>
      <w:r w:rsidR="003F36AA">
        <w:t>átu</w:t>
      </w:r>
      <w:proofErr w:type="spellEnd"/>
      <w:r w:rsidRPr="001D3DB1">
        <w:t xml:space="preserve"> a inhibitorů PDE5, jako je </w:t>
      </w:r>
      <w:proofErr w:type="spellStart"/>
      <w:r w:rsidRPr="001D3DB1">
        <w:t>sildenafil</w:t>
      </w:r>
      <w:proofErr w:type="spellEnd"/>
      <w:r w:rsidRPr="001D3DB1">
        <w:t>, nebylo u pacientů se srdečním selháním studováno, a proto se nedoporučuje vzhledem k možnému zvýšenému riziku symptomatické hypotenze (viz bod 4.5).</w:t>
      </w:r>
    </w:p>
    <w:p w14:paraId="670D0C09" w14:textId="56801DCE" w:rsidR="004C68C8" w:rsidRPr="001D3DB1" w:rsidRDefault="004C68C8" w:rsidP="00E850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ko-KR"/>
        </w:rPr>
      </w:pPr>
    </w:p>
    <w:p w14:paraId="0C044294" w14:textId="7A3EA2B7" w:rsidR="00C26B53" w:rsidRPr="001D3DB1" w:rsidRDefault="00C26B53" w:rsidP="008A7053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</w:rPr>
      </w:pPr>
      <w:r w:rsidRPr="001D3DB1">
        <w:rPr>
          <w:rFonts w:eastAsia="SimSun"/>
          <w:u w:val="single"/>
        </w:rPr>
        <w:t>Porucha funkce ledvin</w:t>
      </w:r>
    </w:p>
    <w:p w14:paraId="4FF52F9B" w14:textId="056C46AB" w:rsidR="00C26B53" w:rsidRPr="001D3DB1" w:rsidRDefault="00C26B53" w:rsidP="008A7053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ko-KR"/>
        </w:rPr>
      </w:pPr>
    </w:p>
    <w:p w14:paraId="25DFCE56" w14:textId="0A67C28E" w:rsidR="00C26B53" w:rsidRPr="001D3DB1" w:rsidRDefault="00CE27FD" w:rsidP="008A7053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1D3DB1">
        <w:t>Nebyly provedeny žádné studie u pacientů s </w:t>
      </w:r>
      <w:proofErr w:type="spellStart"/>
      <w:r w:rsidRPr="001D3DB1">
        <w:t>eGFR</w:t>
      </w:r>
      <w:proofErr w:type="spellEnd"/>
      <w:r w:rsidRPr="001D3DB1">
        <w:t> &lt;15 ml/min/1,73 m</w:t>
      </w:r>
      <w:r w:rsidRPr="001D3DB1">
        <w:rPr>
          <w:vertAlign w:val="superscript"/>
        </w:rPr>
        <w:t>2</w:t>
      </w:r>
      <w:r w:rsidRPr="001D3DB1">
        <w:t xml:space="preserve"> při zahájení léčby nebo na dialýze, a proto se léčba </w:t>
      </w:r>
      <w:proofErr w:type="spellStart"/>
      <w:r w:rsidR="005C2A55">
        <w:t>vericig</w:t>
      </w:r>
      <w:r w:rsidR="00A40E6C">
        <w:t>u</w:t>
      </w:r>
      <w:r w:rsidR="005C2A55">
        <w:t>átem</w:t>
      </w:r>
      <w:proofErr w:type="spellEnd"/>
      <w:r w:rsidRPr="001D3DB1">
        <w:t xml:space="preserve"> u těchto pacientů nedoporučuje (viz body 4.2 a 5.2).</w:t>
      </w:r>
    </w:p>
    <w:p w14:paraId="704E73B1" w14:textId="31214482" w:rsidR="00CE27FD" w:rsidRPr="001D3DB1" w:rsidRDefault="00CE27FD" w:rsidP="00E850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ko-KR"/>
        </w:rPr>
      </w:pPr>
    </w:p>
    <w:p w14:paraId="644DF73B" w14:textId="7A847D3D" w:rsidR="00CE27FD" w:rsidRPr="001D3DB1" w:rsidRDefault="00CE27FD" w:rsidP="008A7053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</w:rPr>
      </w:pPr>
      <w:r w:rsidRPr="001D3DB1">
        <w:rPr>
          <w:rFonts w:eastAsia="SimSun"/>
          <w:u w:val="single"/>
        </w:rPr>
        <w:t>Porucha funkce jater</w:t>
      </w:r>
    </w:p>
    <w:p w14:paraId="47C5874B" w14:textId="061C6E82" w:rsidR="00CE27FD" w:rsidRPr="001D3DB1" w:rsidRDefault="00CE27FD" w:rsidP="008A7053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ko-KR"/>
        </w:rPr>
      </w:pPr>
    </w:p>
    <w:p w14:paraId="0BC813C6" w14:textId="499F8911" w:rsidR="00CE27FD" w:rsidRPr="001D3DB1" w:rsidRDefault="00CE27FD" w:rsidP="008A7053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1D3DB1">
        <w:t xml:space="preserve">Nebyly provedeny žádné studie u pacientů s těžkou poruchou funkce jater, a proto se léčba </w:t>
      </w:r>
      <w:proofErr w:type="spellStart"/>
      <w:r w:rsidR="005C2A55">
        <w:t>vericig</w:t>
      </w:r>
      <w:r w:rsidR="00A40E6C">
        <w:t>u</w:t>
      </w:r>
      <w:r w:rsidR="005C2A55">
        <w:t>átem</w:t>
      </w:r>
      <w:proofErr w:type="spellEnd"/>
      <w:r w:rsidRPr="001D3DB1">
        <w:t xml:space="preserve"> u těchto pacientů nedoporučuje (viz body 4.2 a 5.2).</w:t>
      </w:r>
    </w:p>
    <w:p w14:paraId="39E4A05D" w14:textId="77777777" w:rsidR="00C26B53" w:rsidRPr="001D3DB1" w:rsidRDefault="00C26B53" w:rsidP="00E850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ko-KR"/>
        </w:rPr>
      </w:pPr>
    </w:p>
    <w:p w14:paraId="7A93A6C8" w14:textId="1283D77C" w:rsidR="00F21C4B" w:rsidRPr="001D3DB1" w:rsidRDefault="00673DAE" w:rsidP="005C20A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</w:rPr>
      </w:pPr>
      <w:r w:rsidRPr="001D3DB1">
        <w:rPr>
          <w:rFonts w:eastAsia="SimSun"/>
          <w:u w:val="single"/>
        </w:rPr>
        <w:t>P</w:t>
      </w:r>
      <w:r w:rsidR="00F21C4B" w:rsidRPr="001D3DB1">
        <w:rPr>
          <w:rFonts w:eastAsia="SimSun"/>
          <w:u w:val="single"/>
        </w:rPr>
        <w:t>omocn</w:t>
      </w:r>
      <w:r w:rsidRPr="001D3DB1">
        <w:rPr>
          <w:rFonts w:eastAsia="SimSun"/>
          <w:u w:val="single"/>
        </w:rPr>
        <w:t>é</w:t>
      </w:r>
      <w:r w:rsidR="00F21C4B" w:rsidRPr="001D3DB1">
        <w:rPr>
          <w:rFonts w:eastAsia="SimSun"/>
          <w:u w:val="single"/>
        </w:rPr>
        <w:t xml:space="preserve"> látk</w:t>
      </w:r>
      <w:r w:rsidRPr="001D3DB1">
        <w:rPr>
          <w:rFonts w:eastAsia="SimSun"/>
          <w:u w:val="single"/>
        </w:rPr>
        <w:t>y</w:t>
      </w:r>
    </w:p>
    <w:p w14:paraId="0D724DFB" w14:textId="77777777" w:rsidR="00092975" w:rsidRPr="001D3DB1" w:rsidRDefault="00092975" w:rsidP="005C20A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ko-KR"/>
        </w:rPr>
      </w:pPr>
    </w:p>
    <w:p w14:paraId="1D34C78F" w14:textId="105E2FF2" w:rsidR="00673DAE" w:rsidRPr="00C951AD" w:rsidRDefault="00673DAE" w:rsidP="005C20A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i/>
          <w:szCs w:val="22"/>
          <w:lang w:eastAsia="ko-KR"/>
        </w:rPr>
      </w:pPr>
      <w:r w:rsidRPr="00C951AD">
        <w:rPr>
          <w:rFonts w:eastAsia="SimSun"/>
          <w:i/>
          <w:szCs w:val="22"/>
          <w:lang w:eastAsia="ko-KR"/>
        </w:rPr>
        <w:t>Laktóza</w:t>
      </w:r>
    </w:p>
    <w:p w14:paraId="75264B74" w14:textId="168A9E2C" w:rsidR="00F21C4B" w:rsidRPr="001D3DB1" w:rsidRDefault="00B23B72" w:rsidP="005C20A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r w:rsidRPr="00C951AD">
        <w:t>Tento léčivý přípravek obsahuje laktózu.</w:t>
      </w:r>
      <w:r w:rsidRPr="00C951AD">
        <w:rPr>
          <w:rFonts w:eastAsia="SimSun"/>
        </w:rPr>
        <w:t xml:space="preserve"> Pacienti se vzácnými dědičnými problémy s intolerancí galaktózy,</w:t>
      </w:r>
      <w:r w:rsidR="00391C7B">
        <w:rPr>
          <w:rFonts w:eastAsia="SimSun"/>
        </w:rPr>
        <w:t xml:space="preserve"> úplným nedostatkem</w:t>
      </w:r>
      <w:r w:rsidRPr="00C951AD">
        <w:rPr>
          <w:rFonts w:eastAsia="SimSun"/>
        </w:rPr>
        <w:t xml:space="preserve"> laktázy nebo malabsorpcí glukózy a galaktózy </w:t>
      </w:r>
      <w:r w:rsidR="001C5E34" w:rsidRPr="00C951AD">
        <w:rPr>
          <w:rFonts w:eastAsia="SimSun"/>
        </w:rPr>
        <w:t xml:space="preserve">nemají </w:t>
      </w:r>
      <w:r w:rsidRPr="00C951AD">
        <w:rPr>
          <w:rFonts w:eastAsia="SimSun"/>
        </w:rPr>
        <w:t>tento</w:t>
      </w:r>
      <w:r w:rsidR="000E2BD2" w:rsidRPr="00C951AD">
        <w:rPr>
          <w:rFonts w:eastAsia="SimSun"/>
        </w:rPr>
        <w:t xml:space="preserve"> </w:t>
      </w:r>
      <w:r w:rsidRPr="00C951AD">
        <w:rPr>
          <w:rFonts w:eastAsia="SimSun"/>
        </w:rPr>
        <w:t>přípravek užívat.</w:t>
      </w:r>
    </w:p>
    <w:p w14:paraId="086208AC" w14:textId="77777777" w:rsidR="00673DAE" w:rsidRPr="001D3DB1" w:rsidRDefault="00673DAE" w:rsidP="002D1663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33F352FA" w14:textId="17D265AF" w:rsidR="00673DAE" w:rsidRPr="00A27D15" w:rsidRDefault="000E2BD2" w:rsidP="005A689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</w:rPr>
      </w:pPr>
      <w:r w:rsidRPr="00A27D15">
        <w:rPr>
          <w:i/>
        </w:rPr>
        <w:t>Sodík</w:t>
      </w:r>
    </w:p>
    <w:p w14:paraId="5929A6F6" w14:textId="0309AB8C" w:rsidR="005A689B" w:rsidRPr="001D3DB1" w:rsidRDefault="00B23B72" w:rsidP="005A689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</w:rPr>
      </w:pPr>
      <w:r w:rsidRPr="001D3DB1">
        <w:t>Tento léčivý přípravek obsahuje méně než 1 </w:t>
      </w:r>
      <w:proofErr w:type="spellStart"/>
      <w:r w:rsidRPr="001D3DB1">
        <w:t>mmol</w:t>
      </w:r>
      <w:proofErr w:type="spellEnd"/>
      <w:r w:rsidRPr="001D3DB1">
        <w:t xml:space="preserve"> (23 mg) sodíku v jedné dávce, to znamená, že je v podstatě „bez sodíku“.</w:t>
      </w:r>
    </w:p>
    <w:p w14:paraId="2DF71518" w14:textId="77777777" w:rsidR="00F21C4B" w:rsidRPr="001D3DB1" w:rsidRDefault="00F21C4B" w:rsidP="00E850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ko-KR"/>
        </w:rPr>
      </w:pPr>
    </w:p>
    <w:p w14:paraId="7AF0F881" w14:textId="44F76738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szCs w:val="22"/>
        </w:rPr>
      </w:pPr>
      <w:r w:rsidRPr="001D3DB1">
        <w:rPr>
          <w:b/>
        </w:rPr>
        <w:lastRenderedPageBreak/>
        <w:t>4.5</w:t>
      </w:r>
      <w:r w:rsidRPr="001D3DB1">
        <w:rPr>
          <w:b/>
        </w:rPr>
        <w:tab/>
        <w:t>Interakce s jinými léčivými přípravky a jiné formy interakce</w:t>
      </w:r>
    </w:p>
    <w:p w14:paraId="097A7550" w14:textId="00AF6453" w:rsidR="008C4163" w:rsidRPr="001D3DB1" w:rsidRDefault="008C4163" w:rsidP="008A7053">
      <w:pPr>
        <w:keepNext/>
        <w:spacing w:line="240" w:lineRule="auto"/>
        <w:rPr>
          <w:szCs w:val="22"/>
        </w:rPr>
      </w:pPr>
    </w:p>
    <w:p w14:paraId="49FF6DA7" w14:textId="10AF0B97" w:rsidR="00AB4643" w:rsidRDefault="00AB4643" w:rsidP="008A7053">
      <w:pPr>
        <w:keepNext/>
        <w:spacing w:line="240" w:lineRule="auto"/>
        <w:rPr>
          <w:u w:val="single"/>
        </w:rPr>
      </w:pPr>
      <w:r w:rsidRPr="006862BF">
        <w:rPr>
          <w:u w:val="single"/>
        </w:rPr>
        <w:t>Farmakodynamické interakce</w:t>
      </w:r>
    </w:p>
    <w:p w14:paraId="265C53A2" w14:textId="77777777" w:rsidR="00CE7F84" w:rsidRPr="006862BF" w:rsidRDefault="00CE7F84" w:rsidP="008A7053">
      <w:pPr>
        <w:keepNext/>
        <w:spacing w:line="240" w:lineRule="auto"/>
        <w:rPr>
          <w:u w:val="single"/>
        </w:rPr>
      </w:pPr>
    </w:p>
    <w:p w14:paraId="63A86C3D" w14:textId="07D4B73F" w:rsidR="00520842" w:rsidRPr="001D3DB1" w:rsidRDefault="00986B50" w:rsidP="008A7053">
      <w:pPr>
        <w:keepNext/>
        <w:spacing w:line="240" w:lineRule="auto"/>
        <w:rPr>
          <w:szCs w:val="22"/>
        </w:rPr>
      </w:pPr>
      <w:r w:rsidRPr="001D3DB1">
        <w:t xml:space="preserve">Současné podávání </w:t>
      </w:r>
      <w:proofErr w:type="spellStart"/>
      <w:r w:rsidR="003F36AA">
        <w:t>vericig</w:t>
      </w:r>
      <w:r w:rsidR="00DA3AC5">
        <w:t>u</w:t>
      </w:r>
      <w:r w:rsidR="003F36AA">
        <w:t>átu</w:t>
      </w:r>
      <w:proofErr w:type="spellEnd"/>
      <w:r w:rsidRPr="001D3DB1">
        <w:t xml:space="preserve"> s </w:t>
      </w:r>
      <w:proofErr w:type="spellStart"/>
      <w:r w:rsidRPr="001D3DB1">
        <w:t>hemodynamicky</w:t>
      </w:r>
      <w:proofErr w:type="spellEnd"/>
      <w:r w:rsidRPr="001D3DB1">
        <w:t xml:space="preserve"> aktivními látkami nevedlo k výraznějšímu než aditivnímu účinku (viz body 4.4 a 5.1). Navíc pokud byl </w:t>
      </w:r>
      <w:proofErr w:type="spellStart"/>
      <w:r w:rsidRPr="001D3DB1">
        <w:t>vericig</w:t>
      </w:r>
      <w:r w:rsidR="007B1F2C">
        <w:t>u</w:t>
      </w:r>
      <w:r w:rsidR="00641B9E">
        <w:t>á</w:t>
      </w:r>
      <w:r w:rsidRPr="001D3DB1">
        <w:t>t</w:t>
      </w:r>
      <w:proofErr w:type="spellEnd"/>
      <w:r w:rsidRPr="001D3DB1">
        <w:t xml:space="preserve"> podáván současně s jinými </w:t>
      </w:r>
      <w:r w:rsidR="007B715D">
        <w:t xml:space="preserve">léčivými </w:t>
      </w:r>
      <w:r w:rsidRPr="001D3DB1">
        <w:t>přípravky používanými u pacientů se srdečním selháním, snižoval systolický krevní tlak přibližně o 1 až 2 </w:t>
      </w:r>
      <w:proofErr w:type="spellStart"/>
      <w:r w:rsidRPr="001D3DB1">
        <w:t>mmHg</w:t>
      </w:r>
      <w:proofErr w:type="spellEnd"/>
      <w:r w:rsidRPr="001D3DB1">
        <w:t xml:space="preserve"> (viz bod 4.8).</w:t>
      </w:r>
    </w:p>
    <w:p w14:paraId="0DEAAD16" w14:textId="77777777" w:rsidR="00520842" w:rsidRPr="001D3DB1" w:rsidRDefault="00520842" w:rsidP="00831874">
      <w:pPr>
        <w:spacing w:line="240" w:lineRule="auto"/>
        <w:rPr>
          <w:szCs w:val="22"/>
          <w:u w:val="single"/>
        </w:rPr>
      </w:pPr>
    </w:p>
    <w:p w14:paraId="34DA8521" w14:textId="77777777" w:rsidR="001E4ECD" w:rsidRPr="001D3DB1" w:rsidRDefault="001E4ECD" w:rsidP="00993370">
      <w:pPr>
        <w:keepNext/>
        <w:spacing w:line="240" w:lineRule="auto"/>
        <w:rPr>
          <w:i/>
          <w:szCs w:val="22"/>
        </w:rPr>
      </w:pPr>
      <w:r w:rsidRPr="001D3DB1">
        <w:rPr>
          <w:i/>
        </w:rPr>
        <w:t xml:space="preserve">Jiné stimulátory solubilní </w:t>
      </w:r>
      <w:proofErr w:type="spellStart"/>
      <w:r w:rsidRPr="001D3DB1">
        <w:rPr>
          <w:i/>
        </w:rPr>
        <w:t>guanylátcyklázy</w:t>
      </w:r>
      <w:proofErr w:type="spellEnd"/>
      <w:r w:rsidRPr="001D3DB1">
        <w:rPr>
          <w:i/>
        </w:rPr>
        <w:t xml:space="preserve"> (</w:t>
      </w:r>
      <w:proofErr w:type="spellStart"/>
      <w:r w:rsidRPr="001D3DB1">
        <w:rPr>
          <w:i/>
        </w:rPr>
        <w:t>sGC</w:t>
      </w:r>
      <w:proofErr w:type="spellEnd"/>
      <w:r w:rsidRPr="001D3DB1">
        <w:rPr>
          <w:i/>
        </w:rPr>
        <w:t>)</w:t>
      </w:r>
    </w:p>
    <w:p w14:paraId="3E320B5F" w14:textId="0686AB0E" w:rsidR="001E4ECD" w:rsidRPr="001D3DB1" w:rsidRDefault="0062487B" w:rsidP="00993370">
      <w:pPr>
        <w:keepNext/>
        <w:spacing w:line="240" w:lineRule="auto"/>
        <w:rPr>
          <w:szCs w:val="22"/>
        </w:rPr>
      </w:pPr>
      <w:r w:rsidRPr="001D3DB1">
        <w:t xml:space="preserve">Přípravek </w:t>
      </w:r>
      <w:proofErr w:type="spellStart"/>
      <w:r w:rsidRPr="001D3DB1">
        <w:t>Verquvo</w:t>
      </w:r>
      <w:proofErr w:type="spellEnd"/>
      <w:r w:rsidRPr="001D3DB1">
        <w:t xml:space="preserve"> je kontraindikován u pacientů současně užívajících jiné stimulátory solubilní </w:t>
      </w:r>
      <w:proofErr w:type="spellStart"/>
      <w:r w:rsidRPr="001D3DB1">
        <w:t>guanylátcyklázy</w:t>
      </w:r>
      <w:proofErr w:type="spellEnd"/>
      <w:r w:rsidRPr="001D3DB1">
        <w:t xml:space="preserve"> (</w:t>
      </w:r>
      <w:proofErr w:type="spellStart"/>
      <w:r w:rsidRPr="001D3DB1">
        <w:t>sGC</w:t>
      </w:r>
      <w:proofErr w:type="spellEnd"/>
      <w:r w:rsidRPr="001D3DB1">
        <w:t xml:space="preserve">), jako je například </w:t>
      </w:r>
      <w:proofErr w:type="spellStart"/>
      <w:r w:rsidRPr="001D3DB1">
        <w:t>riocig</w:t>
      </w:r>
      <w:r w:rsidR="00842F78">
        <w:t>u</w:t>
      </w:r>
      <w:r w:rsidR="00010DA2">
        <w:t>á</w:t>
      </w:r>
      <w:r w:rsidRPr="001D3DB1">
        <w:t>t</w:t>
      </w:r>
      <w:proofErr w:type="spellEnd"/>
      <w:r w:rsidRPr="001D3DB1">
        <w:t xml:space="preserve"> (viz bod 4.3).</w:t>
      </w:r>
    </w:p>
    <w:p w14:paraId="20EB00D3" w14:textId="77777777" w:rsidR="001E4ECD" w:rsidRPr="001D3DB1" w:rsidRDefault="001E4ECD" w:rsidP="00573310">
      <w:pPr>
        <w:spacing w:line="240" w:lineRule="auto"/>
        <w:rPr>
          <w:szCs w:val="22"/>
        </w:rPr>
      </w:pPr>
    </w:p>
    <w:p w14:paraId="6CF31EDF" w14:textId="77777777" w:rsidR="00CF137E" w:rsidRPr="001D3DB1" w:rsidRDefault="009232F0" w:rsidP="00CF137E">
      <w:pPr>
        <w:keepNext/>
        <w:spacing w:line="240" w:lineRule="auto"/>
        <w:rPr>
          <w:i/>
          <w:szCs w:val="22"/>
        </w:rPr>
      </w:pPr>
      <w:r w:rsidRPr="001D3DB1">
        <w:rPr>
          <w:i/>
        </w:rPr>
        <w:t>Inhibitory PDE5</w:t>
      </w:r>
    </w:p>
    <w:p w14:paraId="45F44FF1" w14:textId="437ADCD6" w:rsidR="00CF137E" w:rsidRPr="001D3DB1" w:rsidRDefault="00CF137E" w:rsidP="00CF137E">
      <w:pPr>
        <w:keepNext/>
        <w:spacing w:line="240" w:lineRule="auto"/>
        <w:rPr>
          <w:szCs w:val="22"/>
        </w:rPr>
      </w:pPr>
      <w:r w:rsidRPr="001D3DB1">
        <w:t xml:space="preserve">Přidání jedné dávky </w:t>
      </w:r>
      <w:proofErr w:type="spellStart"/>
      <w:r w:rsidRPr="001D3DB1">
        <w:t>sildenafilu</w:t>
      </w:r>
      <w:proofErr w:type="spellEnd"/>
      <w:r w:rsidRPr="001D3DB1">
        <w:t xml:space="preserve"> (25, 50 nebo 100 mg) k více dávkám </w:t>
      </w:r>
      <w:proofErr w:type="spellStart"/>
      <w:r w:rsidR="003F36AA">
        <w:t>vericig</w:t>
      </w:r>
      <w:r w:rsidR="00842F78">
        <w:t>u</w:t>
      </w:r>
      <w:r w:rsidR="003F36AA">
        <w:t>átu</w:t>
      </w:r>
      <w:proofErr w:type="spellEnd"/>
      <w:r w:rsidRPr="001D3DB1">
        <w:t xml:space="preserve"> (10 mg) jednou denně u zdravých subjektů bylo spojeno s dalším snížením krevního tlaku (TK) vsedě, a to nejvýše o 5,4 </w:t>
      </w:r>
      <w:proofErr w:type="spellStart"/>
      <w:r w:rsidRPr="001D3DB1">
        <w:t>mmHg</w:t>
      </w:r>
      <w:proofErr w:type="spellEnd"/>
      <w:r w:rsidRPr="001D3DB1">
        <w:t xml:space="preserve"> (systolický/diastolický TK, střední arteriální tlak [SAT]) ve srovnání s podáváním samotného </w:t>
      </w:r>
      <w:proofErr w:type="spellStart"/>
      <w:r w:rsidR="003F36AA">
        <w:t>vericig</w:t>
      </w:r>
      <w:r w:rsidR="00DA3AC5">
        <w:t>u</w:t>
      </w:r>
      <w:r w:rsidR="003F36AA">
        <w:t>átu</w:t>
      </w:r>
      <w:proofErr w:type="spellEnd"/>
      <w:r w:rsidRPr="001D3DB1">
        <w:t xml:space="preserve">. Při podávání různých dávek </w:t>
      </w:r>
      <w:proofErr w:type="spellStart"/>
      <w:r w:rsidRPr="001D3DB1">
        <w:t>sildenafilu</w:t>
      </w:r>
      <w:proofErr w:type="spellEnd"/>
      <w:r w:rsidRPr="001D3DB1">
        <w:t xml:space="preserve"> nebyl pozorován žádný trend závislý na dávce.</w:t>
      </w:r>
    </w:p>
    <w:p w14:paraId="48AB9F00" w14:textId="77777777" w:rsidR="00AB5E36" w:rsidRPr="001D3DB1" w:rsidRDefault="008B4FF2" w:rsidP="00993370">
      <w:pPr>
        <w:keepNext/>
        <w:spacing w:line="240" w:lineRule="auto"/>
        <w:rPr>
          <w:szCs w:val="22"/>
        </w:rPr>
      </w:pPr>
      <w:r w:rsidRPr="001D3DB1">
        <w:t xml:space="preserve">Souběžné podávání nebylo spojeno s klinicky významným vlivem na expozici (AUC a </w:t>
      </w:r>
      <w:proofErr w:type="spellStart"/>
      <w:r w:rsidRPr="001D3DB1">
        <w:t>C</w:t>
      </w:r>
      <w:r w:rsidRPr="001D3DB1">
        <w:rPr>
          <w:vertAlign w:val="subscript"/>
        </w:rPr>
        <w:t>max</w:t>
      </w:r>
      <w:proofErr w:type="spellEnd"/>
      <w:r w:rsidRPr="001D3DB1">
        <w:t>) u žádného z těchto léčivých přípravků.</w:t>
      </w:r>
    </w:p>
    <w:p w14:paraId="7AFFA3A7" w14:textId="5B76E01F" w:rsidR="009232F0" w:rsidRDefault="009232F0" w:rsidP="00A95CE5">
      <w:pPr>
        <w:keepNext/>
        <w:spacing w:line="240" w:lineRule="auto"/>
      </w:pPr>
      <w:r w:rsidRPr="001D3DB1">
        <w:t xml:space="preserve">Souběžné užívání </w:t>
      </w:r>
      <w:proofErr w:type="spellStart"/>
      <w:r w:rsidR="003F36AA">
        <w:t>vericig</w:t>
      </w:r>
      <w:r w:rsidR="00DA3AC5">
        <w:t>u</w:t>
      </w:r>
      <w:r w:rsidR="003F36AA">
        <w:t>átu</w:t>
      </w:r>
      <w:proofErr w:type="spellEnd"/>
      <w:r w:rsidRPr="001D3DB1">
        <w:t xml:space="preserve"> a inhibitorů PDE5, jako je </w:t>
      </w:r>
      <w:proofErr w:type="spellStart"/>
      <w:r w:rsidRPr="001D3DB1">
        <w:t>sildenafil</w:t>
      </w:r>
      <w:proofErr w:type="spellEnd"/>
      <w:r w:rsidRPr="001D3DB1">
        <w:t>, nebylo u pacientů se srdečním selháním studováno, a proto se nedoporučuje vzhledem k možnému zvýšenému riziku symptomatické hypotenze (viz bod 4.4).</w:t>
      </w:r>
    </w:p>
    <w:p w14:paraId="4E6DB36F" w14:textId="61897A05" w:rsidR="00AB4643" w:rsidRDefault="00AB4643" w:rsidP="002D1663">
      <w:pPr>
        <w:spacing w:line="240" w:lineRule="auto"/>
      </w:pPr>
    </w:p>
    <w:p w14:paraId="116A1431" w14:textId="77777777" w:rsidR="00AB4643" w:rsidRPr="001D3DB1" w:rsidRDefault="00AB4643" w:rsidP="00AB4643">
      <w:pPr>
        <w:keepNext/>
        <w:spacing w:line="240" w:lineRule="auto"/>
        <w:rPr>
          <w:i/>
          <w:szCs w:val="22"/>
        </w:rPr>
      </w:pPr>
      <w:r w:rsidRPr="001D3DB1">
        <w:rPr>
          <w:i/>
        </w:rPr>
        <w:t>Kyselina acetylsalicylová</w:t>
      </w:r>
    </w:p>
    <w:p w14:paraId="2D9562C2" w14:textId="3FD2F966" w:rsidR="00AB4643" w:rsidRPr="001D3DB1" w:rsidRDefault="00AB4643" w:rsidP="00AB4643">
      <w:pPr>
        <w:keepNext/>
        <w:spacing w:line="240" w:lineRule="auto"/>
        <w:rPr>
          <w:szCs w:val="22"/>
        </w:rPr>
      </w:pPr>
      <w:r w:rsidRPr="001D3DB1">
        <w:t xml:space="preserve">Podání jednotlivé dávky </w:t>
      </w:r>
      <w:proofErr w:type="spellStart"/>
      <w:r>
        <w:t>vericig</w:t>
      </w:r>
      <w:r w:rsidR="00842F78">
        <w:t>u</w:t>
      </w:r>
      <w:r>
        <w:t>átu</w:t>
      </w:r>
      <w:proofErr w:type="spellEnd"/>
      <w:r w:rsidRPr="001D3DB1">
        <w:t xml:space="preserve"> (15 mg) zdravým subjektům nemělo vliv na účinek kyseliny acetylsalicylové (500 mg) na krvácivost nebo na agregaci krevních destiček. Při léčbě samotným </w:t>
      </w:r>
      <w:proofErr w:type="spellStart"/>
      <w:r>
        <w:t>vericig</w:t>
      </w:r>
      <w:r w:rsidR="00DA3AC5">
        <w:t>u</w:t>
      </w:r>
      <w:r>
        <w:t>átem</w:t>
      </w:r>
      <w:proofErr w:type="spellEnd"/>
      <w:r w:rsidRPr="001D3DB1">
        <w:t xml:space="preserve"> (15 mg) se krvácivost ani agregace krevních destiček nezměnila.</w:t>
      </w:r>
    </w:p>
    <w:p w14:paraId="56FA86D7" w14:textId="1BB690B4" w:rsidR="00AB4643" w:rsidRPr="001D3DB1" w:rsidRDefault="00AB4643" w:rsidP="00AB4643">
      <w:pPr>
        <w:keepNext/>
        <w:spacing w:line="240" w:lineRule="auto"/>
        <w:rPr>
          <w:szCs w:val="22"/>
        </w:rPr>
      </w:pPr>
      <w:r w:rsidRPr="001D3DB1">
        <w:t xml:space="preserve">Souběžné podávání s kyselinou acetylsalicylovou nebylo spojeno s klinicky významným vlivem na expozici (AUC a </w:t>
      </w:r>
      <w:proofErr w:type="spellStart"/>
      <w:r w:rsidRPr="001D3DB1">
        <w:t>C</w:t>
      </w:r>
      <w:r w:rsidRPr="001D3DB1">
        <w:rPr>
          <w:vertAlign w:val="subscript"/>
        </w:rPr>
        <w:t>max</w:t>
      </w:r>
      <w:proofErr w:type="spellEnd"/>
      <w:r w:rsidRPr="001D3DB1">
        <w:t>)</w:t>
      </w:r>
      <w:r>
        <w:t xml:space="preserve"> </w:t>
      </w:r>
      <w:proofErr w:type="spellStart"/>
      <w:r>
        <w:t>vericig</w:t>
      </w:r>
      <w:r w:rsidR="00842F78">
        <w:t>u</w:t>
      </w:r>
      <w:r>
        <w:t>átu</w:t>
      </w:r>
      <w:proofErr w:type="spellEnd"/>
      <w:r w:rsidRPr="001D3DB1">
        <w:t>.</w:t>
      </w:r>
    </w:p>
    <w:p w14:paraId="6413C231" w14:textId="77777777" w:rsidR="00AB4643" w:rsidRPr="001D3DB1" w:rsidRDefault="00AB4643" w:rsidP="00AB4643">
      <w:pPr>
        <w:spacing w:line="240" w:lineRule="auto"/>
        <w:rPr>
          <w:szCs w:val="22"/>
        </w:rPr>
      </w:pPr>
    </w:p>
    <w:p w14:paraId="650DB4B4" w14:textId="77777777" w:rsidR="00AB4643" w:rsidRPr="001D3DB1" w:rsidRDefault="00AB4643" w:rsidP="00AB4643">
      <w:pPr>
        <w:keepNext/>
        <w:spacing w:line="240" w:lineRule="auto"/>
        <w:rPr>
          <w:i/>
          <w:szCs w:val="22"/>
        </w:rPr>
      </w:pPr>
      <w:proofErr w:type="spellStart"/>
      <w:r w:rsidRPr="001D3DB1">
        <w:rPr>
          <w:i/>
        </w:rPr>
        <w:t>Warfarin</w:t>
      </w:r>
      <w:proofErr w:type="spellEnd"/>
    </w:p>
    <w:p w14:paraId="59DA549A" w14:textId="45DA0A47" w:rsidR="00AB4643" w:rsidRPr="001D3DB1" w:rsidRDefault="00AB4643" w:rsidP="00AB4643">
      <w:pPr>
        <w:keepNext/>
        <w:spacing w:line="240" w:lineRule="auto"/>
        <w:rPr>
          <w:szCs w:val="22"/>
        </w:rPr>
      </w:pPr>
      <w:r w:rsidRPr="001D3DB1">
        <w:t xml:space="preserve">Podání více dávek </w:t>
      </w:r>
      <w:proofErr w:type="spellStart"/>
      <w:r>
        <w:t>vericig</w:t>
      </w:r>
      <w:r w:rsidR="00842F78">
        <w:t>u</w:t>
      </w:r>
      <w:r>
        <w:t>átu</w:t>
      </w:r>
      <w:proofErr w:type="spellEnd"/>
      <w:r w:rsidRPr="001D3DB1">
        <w:t xml:space="preserve"> (10 mg) zdravým subjektům nemělo vliv na účinek jedné dávky </w:t>
      </w:r>
      <w:proofErr w:type="spellStart"/>
      <w:r w:rsidRPr="001D3DB1">
        <w:t>warfarinu</w:t>
      </w:r>
      <w:proofErr w:type="spellEnd"/>
      <w:r w:rsidRPr="001D3DB1">
        <w:t xml:space="preserve"> (25 mg) na protrombinový čas a aktivitu faktorů II, VII a X.</w:t>
      </w:r>
    </w:p>
    <w:p w14:paraId="27EC7169" w14:textId="77777777" w:rsidR="00AB4643" w:rsidRPr="001D3DB1" w:rsidRDefault="00AB4643" w:rsidP="00AB4643">
      <w:pPr>
        <w:keepNext/>
        <w:spacing w:line="240" w:lineRule="auto"/>
        <w:rPr>
          <w:szCs w:val="22"/>
        </w:rPr>
      </w:pPr>
      <w:r w:rsidRPr="001D3DB1">
        <w:t xml:space="preserve">Souběžné podávání nebylo spojeno s klinicky významným vlivem na expozici (AUC a </w:t>
      </w:r>
      <w:proofErr w:type="spellStart"/>
      <w:r w:rsidRPr="001D3DB1">
        <w:t>C</w:t>
      </w:r>
      <w:r w:rsidRPr="001D3DB1">
        <w:rPr>
          <w:vertAlign w:val="subscript"/>
        </w:rPr>
        <w:t>max</w:t>
      </w:r>
      <w:proofErr w:type="spellEnd"/>
      <w:r w:rsidRPr="001D3DB1">
        <w:t>) u žádného z těchto léčivých přípravků.</w:t>
      </w:r>
    </w:p>
    <w:p w14:paraId="34C79E57" w14:textId="77777777" w:rsidR="00AB4643" w:rsidRPr="001D3DB1" w:rsidRDefault="00AB4643" w:rsidP="00AB4643">
      <w:pPr>
        <w:spacing w:line="240" w:lineRule="auto"/>
        <w:rPr>
          <w:szCs w:val="22"/>
        </w:rPr>
      </w:pPr>
    </w:p>
    <w:p w14:paraId="6912373C" w14:textId="77777777" w:rsidR="00AB4643" w:rsidRPr="001D3DB1" w:rsidRDefault="00AB4643" w:rsidP="00AB4643">
      <w:pPr>
        <w:keepNext/>
        <w:spacing w:line="240" w:lineRule="auto"/>
        <w:rPr>
          <w:i/>
          <w:szCs w:val="22"/>
        </w:rPr>
      </w:pPr>
      <w:r w:rsidRPr="001D3DB1">
        <w:rPr>
          <w:i/>
        </w:rPr>
        <w:t xml:space="preserve">Kombinace </w:t>
      </w:r>
      <w:proofErr w:type="spellStart"/>
      <w:r w:rsidRPr="001D3DB1">
        <w:rPr>
          <w:i/>
        </w:rPr>
        <w:t>sa</w:t>
      </w:r>
      <w:r>
        <w:rPr>
          <w:i/>
        </w:rPr>
        <w:t>k</w:t>
      </w:r>
      <w:r w:rsidRPr="001D3DB1">
        <w:rPr>
          <w:i/>
        </w:rPr>
        <w:t>ubitril</w:t>
      </w:r>
      <w:proofErr w:type="spellEnd"/>
      <w:r w:rsidRPr="001D3DB1">
        <w:rPr>
          <w:i/>
        </w:rPr>
        <w:t>/</w:t>
      </w:r>
      <w:proofErr w:type="spellStart"/>
      <w:r w:rsidRPr="001D3DB1">
        <w:rPr>
          <w:i/>
        </w:rPr>
        <w:t>valsartan</w:t>
      </w:r>
      <w:proofErr w:type="spellEnd"/>
    </w:p>
    <w:p w14:paraId="7ADDEB82" w14:textId="58C92B2B" w:rsidR="00AB4643" w:rsidRPr="001D3DB1" w:rsidRDefault="00AB4643" w:rsidP="00AB4643">
      <w:pPr>
        <w:keepNext/>
        <w:spacing w:line="240" w:lineRule="auto"/>
        <w:rPr>
          <w:szCs w:val="22"/>
        </w:rPr>
      </w:pPr>
      <w:r w:rsidRPr="001D3DB1">
        <w:t xml:space="preserve">Přidání více dávek </w:t>
      </w:r>
      <w:proofErr w:type="spellStart"/>
      <w:r>
        <w:t>vericig</w:t>
      </w:r>
      <w:r w:rsidR="00DA3AC5">
        <w:t>u</w:t>
      </w:r>
      <w:r>
        <w:t>átu</w:t>
      </w:r>
      <w:proofErr w:type="spellEnd"/>
      <w:r w:rsidRPr="001D3DB1">
        <w:t xml:space="preserve"> (2,5 mg) k více dávkám </w:t>
      </w:r>
      <w:proofErr w:type="spellStart"/>
      <w:r w:rsidRPr="001D3DB1">
        <w:t>sa</w:t>
      </w:r>
      <w:r>
        <w:t>k</w:t>
      </w:r>
      <w:r w:rsidRPr="001D3DB1">
        <w:t>ubitrilu</w:t>
      </w:r>
      <w:proofErr w:type="spellEnd"/>
      <w:r w:rsidRPr="001D3DB1">
        <w:t>/</w:t>
      </w:r>
      <w:proofErr w:type="spellStart"/>
      <w:r w:rsidRPr="001D3DB1">
        <w:t>valsartanu</w:t>
      </w:r>
      <w:proofErr w:type="spellEnd"/>
      <w:r w:rsidRPr="001D3DB1">
        <w:t xml:space="preserve"> (97/103 mg) u zdravých subjektů nemělo žádný účinek na krevní tlak vsedě ve srovnání s podáním samotného </w:t>
      </w:r>
      <w:proofErr w:type="spellStart"/>
      <w:r w:rsidRPr="001D3DB1">
        <w:t>sa</w:t>
      </w:r>
      <w:r>
        <w:t>k</w:t>
      </w:r>
      <w:r w:rsidRPr="001D3DB1">
        <w:t>ubitrilu</w:t>
      </w:r>
      <w:proofErr w:type="spellEnd"/>
      <w:r w:rsidRPr="001D3DB1">
        <w:t>/</w:t>
      </w:r>
      <w:proofErr w:type="spellStart"/>
      <w:r w:rsidRPr="001D3DB1">
        <w:t>valsartanu</w:t>
      </w:r>
      <w:proofErr w:type="spellEnd"/>
      <w:r w:rsidRPr="001D3DB1">
        <w:t>.</w:t>
      </w:r>
    </w:p>
    <w:p w14:paraId="2EA0DDF4" w14:textId="77777777" w:rsidR="00AB4643" w:rsidRPr="001D3DB1" w:rsidRDefault="00AB4643" w:rsidP="00AB4643">
      <w:pPr>
        <w:keepNext/>
        <w:spacing w:line="240" w:lineRule="auto"/>
        <w:rPr>
          <w:szCs w:val="22"/>
        </w:rPr>
      </w:pPr>
      <w:r w:rsidRPr="001D3DB1">
        <w:t xml:space="preserve">Souběžné podávání nebylo spojeno s klinicky významným vlivem na expozici (AUC a </w:t>
      </w:r>
      <w:proofErr w:type="spellStart"/>
      <w:r w:rsidRPr="001D3DB1">
        <w:t>C</w:t>
      </w:r>
      <w:r w:rsidRPr="001D3DB1">
        <w:rPr>
          <w:vertAlign w:val="subscript"/>
        </w:rPr>
        <w:t>max</w:t>
      </w:r>
      <w:proofErr w:type="spellEnd"/>
      <w:r w:rsidRPr="001D3DB1">
        <w:t>) u žádného z těchto léčivých přípravků.</w:t>
      </w:r>
    </w:p>
    <w:p w14:paraId="6C6F99B4" w14:textId="77777777" w:rsidR="00AB4643" w:rsidRPr="001D3DB1" w:rsidRDefault="00AB4643" w:rsidP="00AB4643">
      <w:pPr>
        <w:spacing w:line="240" w:lineRule="auto"/>
        <w:rPr>
          <w:szCs w:val="22"/>
        </w:rPr>
      </w:pPr>
    </w:p>
    <w:p w14:paraId="106873D9" w14:textId="77777777" w:rsidR="00AB4643" w:rsidRPr="001D3DB1" w:rsidRDefault="00AB4643" w:rsidP="00AB4643">
      <w:pPr>
        <w:keepNext/>
        <w:spacing w:line="240" w:lineRule="auto"/>
        <w:rPr>
          <w:i/>
          <w:szCs w:val="22"/>
        </w:rPr>
      </w:pPr>
      <w:r w:rsidRPr="004E6E3E">
        <w:rPr>
          <w:i/>
        </w:rPr>
        <w:t>Organické nitráty</w:t>
      </w:r>
    </w:p>
    <w:p w14:paraId="1230FD37" w14:textId="2252B03C" w:rsidR="00AB4643" w:rsidRDefault="00AB4643" w:rsidP="00AB4643">
      <w:pPr>
        <w:keepNext/>
        <w:spacing w:line="240" w:lineRule="auto"/>
      </w:pPr>
      <w:r w:rsidRPr="001D3DB1">
        <w:t xml:space="preserve">Souběžné podávání více dávek </w:t>
      </w:r>
      <w:proofErr w:type="spellStart"/>
      <w:r>
        <w:t>vericig</w:t>
      </w:r>
      <w:r w:rsidR="009A2724">
        <w:t>u</w:t>
      </w:r>
      <w:r>
        <w:t>átu</w:t>
      </w:r>
      <w:proofErr w:type="spellEnd"/>
      <w:r w:rsidRPr="001D3DB1">
        <w:t xml:space="preserve"> zvýšených na 10 mg jednou denně neměnilo významně účinek krátkodobě a dlouhodobě působících nitrátů (nitroglycerin ve spreji a </w:t>
      </w:r>
      <w:proofErr w:type="spellStart"/>
      <w:r w:rsidRPr="001D3DB1">
        <w:t>isosorbid-mononitrát</w:t>
      </w:r>
      <w:proofErr w:type="spellEnd"/>
      <w:r w:rsidRPr="001D3DB1">
        <w:t xml:space="preserve"> [ISMN]) na krevní tlak vsedě u pacientů s ischemickou chorobou srdeční. U pacientů se srdečním selháním bylo souběžné užívání krátkodobě působících nitrátů dobře tolerováno. Zkušenosti se souběžným užíváním </w:t>
      </w:r>
      <w:proofErr w:type="spellStart"/>
      <w:r>
        <w:t>vericig</w:t>
      </w:r>
      <w:r w:rsidR="009A2724">
        <w:t>u</w:t>
      </w:r>
      <w:r>
        <w:t>átu</w:t>
      </w:r>
      <w:proofErr w:type="spellEnd"/>
      <w:r w:rsidRPr="001D3DB1">
        <w:t xml:space="preserve"> a dlouhodobě působících nitrátů u pacientů se srdečním selháním jsou omezené (viz bod 4.4).</w:t>
      </w:r>
    </w:p>
    <w:p w14:paraId="721B03B4" w14:textId="77777777" w:rsidR="00AB4643" w:rsidRPr="001D3DB1" w:rsidRDefault="00AB4643" w:rsidP="002D1663">
      <w:pPr>
        <w:spacing w:line="240" w:lineRule="auto"/>
        <w:rPr>
          <w:szCs w:val="22"/>
        </w:rPr>
      </w:pPr>
    </w:p>
    <w:p w14:paraId="09C210D0" w14:textId="2813A975" w:rsidR="00B00D1C" w:rsidRDefault="00AB4643" w:rsidP="00A95CE5">
      <w:pPr>
        <w:keepNext/>
        <w:spacing w:line="240" w:lineRule="auto"/>
        <w:rPr>
          <w:u w:val="single"/>
        </w:rPr>
      </w:pPr>
      <w:r>
        <w:rPr>
          <w:u w:val="single"/>
        </w:rPr>
        <w:lastRenderedPageBreak/>
        <w:t>Farmakokinetické</w:t>
      </w:r>
      <w:r w:rsidR="00B00D1C" w:rsidRPr="001D3DB1">
        <w:rPr>
          <w:u w:val="single"/>
        </w:rPr>
        <w:t xml:space="preserve"> interakce</w:t>
      </w:r>
    </w:p>
    <w:p w14:paraId="3B9FE73F" w14:textId="0077319C" w:rsidR="00AB4643" w:rsidRDefault="00AB4643" w:rsidP="00A95CE5">
      <w:pPr>
        <w:keepNext/>
        <w:spacing w:line="240" w:lineRule="auto"/>
        <w:rPr>
          <w:u w:val="single"/>
        </w:rPr>
      </w:pPr>
    </w:p>
    <w:p w14:paraId="77B6D95A" w14:textId="7A42DEC7" w:rsidR="00AB4643" w:rsidRPr="001D3DB1" w:rsidRDefault="00AB4643" w:rsidP="00A95CE5">
      <w:pPr>
        <w:keepNext/>
        <w:spacing w:line="240" w:lineRule="auto"/>
        <w:rPr>
          <w:szCs w:val="22"/>
          <w:u w:val="single"/>
        </w:rPr>
      </w:pPr>
      <w:proofErr w:type="spellStart"/>
      <w:r w:rsidRPr="001D3DB1">
        <w:t>Vericig</w:t>
      </w:r>
      <w:r w:rsidR="009A2724">
        <w:t>u</w:t>
      </w:r>
      <w:r>
        <w:t>á</w:t>
      </w:r>
      <w:r w:rsidRPr="001D3DB1">
        <w:t>t</w:t>
      </w:r>
      <w:proofErr w:type="spellEnd"/>
      <w:r w:rsidRPr="001D3DB1">
        <w:t xml:space="preserve"> je u člověka eliminován několika způsoby. Dominantním způsobem je </w:t>
      </w:r>
      <w:proofErr w:type="spellStart"/>
      <w:r w:rsidRPr="001D3DB1">
        <w:t>glukuronidace</w:t>
      </w:r>
      <w:proofErr w:type="spellEnd"/>
      <w:r w:rsidRPr="001D3DB1">
        <w:t xml:space="preserve"> prostřednictvím UGT1A9 a UGT1A1; </w:t>
      </w:r>
      <w:proofErr w:type="spellStart"/>
      <w:r w:rsidRPr="001D3DB1">
        <w:t>vericig</w:t>
      </w:r>
      <w:r w:rsidR="00DA3AC5">
        <w:t>u</w:t>
      </w:r>
      <w:r>
        <w:t>á</w:t>
      </w:r>
      <w:r w:rsidRPr="001D3DB1">
        <w:t>t</w:t>
      </w:r>
      <w:proofErr w:type="spellEnd"/>
      <w:r w:rsidRPr="001D3DB1">
        <w:t xml:space="preserve"> neovlivňuje farmakokinetiku jiných léčivých přípravků (viz bod 5.2).</w:t>
      </w:r>
    </w:p>
    <w:p w14:paraId="74EF0E89" w14:textId="77777777" w:rsidR="007E021C" w:rsidRPr="001D3DB1" w:rsidRDefault="007E021C" w:rsidP="007E021C">
      <w:pPr>
        <w:spacing w:line="240" w:lineRule="auto"/>
        <w:rPr>
          <w:szCs w:val="22"/>
        </w:rPr>
      </w:pPr>
    </w:p>
    <w:p w14:paraId="5CEAE081" w14:textId="4F117875" w:rsidR="00A9760F" w:rsidRPr="00751CA7" w:rsidRDefault="00A9760F" w:rsidP="00A9760F">
      <w:pPr>
        <w:keepNext/>
        <w:spacing w:line="240" w:lineRule="auto"/>
        <w:rPr>
          <w:i/>
          <w:iCs/>
          <w:szCs w:val="22"/>
        </w:rPr>
      </w:pPr>
      <w:r w:rsidRPr="00751CA7">
        <w:rPr>
          <w:i/>
          <w:iCs/>
          <w:szCs w:val="22"/>
        </w:rPr>
        <w:t>Inhibitory UGT1A9/1A1</w:t>
      </w:r>
    </w:p>
    <w:p w14:paraId="39B39F0A" w14:textId="52D056DA" w:rsidR="00A9760F" w:rsidRPr="00AB4643" w:rsidRDefault="00A9760F" w:rsidP="00A9760F">
      <w:pPr>
        <w:keepNext/>
        <w:spacing w:line="240" w:lineRule="auto"/>
        <w:rPr>
          <w:szCs w:val="22"/>
        </w:rPr>
      </w:pPr>
      <w:proofErr w:type="spellStart"/>
      <w:r w:rsidRPr="004A19A0">
        <w:rPr>
          <w:szCs w:val="22"/>
        </w:rPr>
        <w:t>Vericig</w:t>
      </w:r>
      <w:r w:rsidR="00DA3AC5">
        <w:rPr>
          <w:szCs w:val="22"/>
        </w:rPr>
        <w:t>u</w:t>
      </w:r>
      <w:r w:rsidR="00FA5C65" w:rsidRPr="004A19A0">
        <w:rPr>
          <w:szCs w:val="22"/>
        </w:rPr>
        <w:t>á</w:t>
      </w:r>
      <w:r w:rsidRPr="004A19A0">
        <w:rPr>
          <w:szCs w:val="22"/>
        </w:rPr>
        <w:t>t</w:t>
      </w:r>
      <w:proofErr w:type="spellEnd"/>
      <w:r w:rsidRPr="004A19A0">
        <w:rPr>
          <w:szCs w:val="22"/>
        </w:rPr>
        <w:t xml:space="preserve"> je metabolizován </w:t>
      </w:r>
      <w:r w:rsidR="00464677" w:rsidRPr="004A19A0">
        <w:rPr>
          <w:szCs w:val="22"/>
        </w:rPr>
        <w:t xml:space="preserve">prostřednictvím </w:t>
      </w:r>
      <w:r w:rsidRPr="004A19A0">
        <w:rPr>
          <w:szCs w:val="22"/>
        </w:rPr>
        <w:t xml:space="preserve">UGT1A9 a UGT1A1. Inhibitory těchto UGT mohou vést ke zvýšené expozici </w:t>
      </w:r>
      <w:proofErr w:type="spellStart"/>
      <w:r w:rsidRPr="004A19A0">
        <w:rPr>
          <w:szCs w:val="22"/>
        </w:rPr>
        <w:t>vericig</w:t>
      </w:r>
      <w:r w:rsidR="00DA3AC5">
        <w:rPr>
          <w:szCs w:val="22"/>
        </w:rPr>
        <w:t>u</w:t>
      </w:r>
      <w:r w:rsidR="00FA5C65" w:rsidRPr="00AB4643">
        <w:rPr>
          <w:szCs w:val="22"/>
        </w:rPr>
        <w:t>á</w:t>
      </w:r>
      <w:r w:rsidRPr="00AB4643">
        <w:rPr>
          <w:szCs w:val="22"/>
        </w:rPr>
        <w:t>tu</w:t>
      </w:r>
      <w:proofErr w:type="spellEnd"/>
      <w:r w:rsidRPr="00AB4643">
        <w:rPr>
          <w:szCs w:val="22"/>
        </w:rPr>
        <w:t>.</w:t>
      </w:r>
    </w:p>
    <w:p w14:paraId="3AE904DF" w14:textId="3C6F760B" w:rsidR="00A9760F" w:rsidRPr="004A19A0" w:rsidRDefault="00A9760F" w:rsidP="00A9760F">
      <w:pPr>
        <w:keepNext/>
        <w:spacing w:line="240" w:lineRule="auto"/>
        <w:rPr>
          <w:szCs w:val="22"/>
        </w:rPr>
      </w:pPr>
      <w:r w:rsidRPr="004A19A0">
        <w:rPr>
          <w:szCs w:val="22"/>
        </w:rPr>
        <w:t xml:space="preserve">Při současném podávání </w:t>
      </w:r>
      <w:proofErr w:type="spellStart"/>
      <w:r w:rsidRPr="004A19A0">
        <w:rPr>
          <w:szCs w:val="22"/>
        </w:rPr>
        <w:t>vericig</w:t>
      </w:r>
      <w:r w:rsidR="00DA3AC5">
        <w:rPr>
          <w:szCs w:val="22"/>
        </w:rPr>
        <w:t>u</w:t>
      </w:r>
      <w:r w:rsidR="00FA5C65" w:rsidRPr="004A19A0">
        <w:rPr>
          <w:szCs w:val="22"/>
        </w:rPr>
        <w:t>á</w:t>
      </w:r>
      <w:r w:rsidRPr="004A19A0">
        <w:rPr>
          <w:szCs w:val="22"/>
        </w:rPr>
        <w:t>tu</w:t>
      </w:r>
      <w:proofErr w:type="spellEnd"/>
      <w:r w:rsidRPr="004A19A0">
        <w:rPr>
          <w:szCs w:val="22"/>
        </w:rPr>
        <w:t xml:space="preserve"> s kyselinou </w:t>
      </w:r>
      <w:proofErr w:type="spellStart"/>
      <w:r w:rsidRPr="004A19A0">
        <w:rPr>
          <w:szCs w:val="22"/>
        </w:rPr>
        <w:t>mefenamovou</w:t>
      </w:r>
      <w:proofErr w:type="spellEnd"/>
      <w:r w:rsidRPr="004A19A0">
        <w:rPr>
          <w:szCs w:val="22"/>
        </w:rPr>
        <w:t xml:space="preserve"> (slabý až středně silný inhibitor UGT1A9) nebyl pozorován žádný klinicky významný účinek na expozici </w:t>
      </w:r>
      <w:proofErr w:type="spellStart"/>
      <w:r w:rsidRPr="004A19A0">
        <w:rPr>
          <w:szCs w:val="22"/>
        </w:rPr>
        <w:t>vericig</w:t>
      </w:r>
      <w:r w:rsidR="00DA3AC5">
        <w:rPr>
          <w:szCs w:val="22"/>
        </w:rPr>
        <w:t>u</w:t>
      </w:r>
      <w:r w:rsidR="009562B4" w:rsidRPr="004A19A0">
        <w:rPr>
          <w:szCs w:val="22"/>
        </w:rPr>
        <w:t>á</w:t>
      </w:r>
      <w:r w:rsidRPr="004A19A0">
        <w:rPr>
          <w:szCs w:val="22"/>
        </w:rPr>
        <w:t>tu</w:t>
      </w:r>
      <w:proofErr w:type="spellEnd"/>
      <w:r w:rsidRPr="004A19A0">
        <w:rPr>
          <w:szCs w:val="22"/>
        </w:rPr>
        <w:t>.</w:t>
      </w:r>
    </w:p>
    <w:p w14:paraId="5FFB3D05" w14:textId="2DF4C283" w:rsidR="00C9390B" w:rsidRDefault="00A9760F" w:rsidP="00A9760F">
      <w:pPr>
        <w:keepNext/>
        <w:spacing w:line="240" w:lineRule="auto"/>
        <w:rPr>
          <w:szCs w:val="22"/>
        </w:rPr>
      </w:pPr>
      <w:r w:rsidRPr="004A19A0">
        <w:rPr>
          <w:szCs w:val="22"/>
        </w:rPr>
        <w:t>Jelikož silná inhibice UGT1A9 nebo kombinované UGT1A9/1A1 nebyla v klinických studiích lékových interakcí testována kvůli nedostatku dostupných inhibitorů, klinické důsledky současného podávání s těmito léčivými přípravky nejsou v současnosti známy.</w:t>
      </w:r>
    </w:p>
    <w:p w14:paraId="21D6D450" w14:textId="499BC7CB" w:rsidR="00AB4643" w:rsidRDefault="00AB4643" w:rsidP="002D1663">
      <w:pPr>
        <w:spacing w:line="240" w:lineRule="auto"/>
        <w:rPr>
          <w:szCs w:val="22"/>
        </w:rPr>
      </w:pPr>
    </w:p>
    <w:p w14:paraId="2F057D21" w14:textId="77777777" w:rsidR="00AB4643" w:rsidRPr="001D3DB1" w:rsidRDefault="00AB4643" w:rsidP="00AB4643">
      <w:pPr>
        <w:keepNext/>
        <w:spacing w:line="240" w:lineRule="auto"/>
        <w:rPr>
          <w:i/>
          <w:szCs w:val="22"/>
        </w:rPr>
      </w:pPr>
      <w:r w:rsidRPr="001D3DB1">
        <w:rPr>
          <w:i/>
        </w:rPr>
        <w:t>Souběžné užívání s léčivými přípravky, které zvyšují žaludeční pH</w:t>
      </w:r>
    </w:p>
    <w:p w14:paraId="009E168F" w14:textId="5E87E56E" w:rsidR="00AB4643" w:rsidRPr="001D3DB1" w:rsidRDefault="00AB4643" w:rsidP="00AB4643">
      <w:pPr>
        <w:keepNext/>
        <w:spacing w:line="240" w:lineRule="auto"/>
        <w:rPr>
          <w:szCs w:val="22"/>
        </w:rPr>
      </w:pPr>
      <w:r w:rsidRPr="001D3DB1">
        <w:t>Souběžná léčba léčivými přípravky, které zvyšují žaludeční pH, jako jsou inhibitory protonové pumpy (</w:t>
      </w:r>
      <w:proofErr w:type="spellStart"/>
      <w:r w:rsidRPr="001D3DB1">
        <w:t>omeprazol</w:t>
      </w:r>
      <w:proofErr w:type="spellEnd"/>
      <w:r w:rsidRPr="001D3DB1">
        <w:t xml:space="preserve">), antagonisté receptorů H2 nebo antacid (hydroxid hlinitý / hydroxid hořečnatý), neměly vliv na expozici </w:t>
      </w:r>
      <w:proofErr w:type="spellStart"/>
      <w:r>
        <w:t>vericig</w:t>
      </w:r>
      <w:r w:rsidR="00AB030B">
        <w:t>u</w:t>
      </w:r>
      <w:r>
        <w:t>átu</w:t>
      </w:r>
      <w:proofErr w:type="spellEnd"/>
      <w:r w:rsidRPr="001D3DB1">
        <w:t xml:space="preserve">, pokud byl </w:t>
      </w:r>
      <w:proofErr w:type="spellStart"/>
      <w:r w:rsidRPr="001D3DB1">
        <w:t>vericig</w:t>
      </w:r>
      <w:r w:rsidR="00DA3AC5">
        <w:t>u</w:t>
      </w:r>
      <w:r>
        <w:t>á</w:t>
      </w:r>
      <w:r w:rsidRPr="001D3DB1">
        <w:t>t</w:t>
      </w:r>
      <w:proofErr w:type="spellEnd"/>
      <w:r w:rsidRPr="001D3DB1">
        <w:t xml:space="preserve"> pacienty se srdečním selháním užíván podle pokynů s jídlem (viz bod 4.2).</w:t>
      </w:r>
    </w:p>
    <w:p w14:paraId="784CA291" w14:textId="77777777" w:rsidR="00AB4643" w:rsidRPr="001D3DB1" w:rsidRDefault="00AB4643" w:rsidP="002D1663">
      <w:pPr>
        <w:spacing w:line="240" w:lineRule="auto"/>
        <w:rPr>
          <w:szCs w:val="22"/>
        </w:rPr>
      </w:pPr>
    </w:p>
    <w:p w14:paraId="50EECA26" w14:textId="62C0F519" w:rsidR="00CF137E" w:rsidRDefault="00CF137E" w:rsidP="00B63081">
      <w:pPr>
        <w:keepNext/>
        <w:spacing w:line="240" w:lineRule="auto"/>
        <w:rPr>
          <w:i/>
        </w:rPr>
      </w:pPr>
      <w:r w:rsidRPr="001D3DB1">
        <w:rPr>
          <w:i/>
        </w:rPr>
        <w:t>Žádné významné interakce</w:t>
      </w:r>
    </w:p>
    <w:p w14:paraId="1F87A503" w14:textId="38492BBB" w:rsidR="00D269FA" w:rsidRPr="001D3DB1" w:rsidRDefault="00D269FA" w:rsidP="00B63081">
      <w:pPr>
        <w:keepNext/>
        <w:spacing w:line="240" w:lineRule="auto"/>
        <w:rPr>
          <w:i/>
          <w:szCs w:val="22"/>
        </w:rPr>
      </w:pPr>
      <w:r w:rsidRPr="001D3DB1">
        <w:t xml:space="preserve">Současné podávání s léčivými přípravky, které ovlivňují jeden nebo více způsobů eliminace </w:t>
      </w:r>
      <w:proofErr w:type="spellStart"/>
      <w:r>
        <w:t>vericig</w:t>
      </w:r>
      <w:r w:rsidR="00DA3AC5">
        <w:t>u</w:t>
      </w:r>
      <w:r>
        <w:t>átu</w:t>
      </w:r>
      <w:proofErr w:type="spellEnd"/>
      <w:r w:rsidRPr="001D3DB1">
        <w:t xml:space="preserve">, nemá klinicky významný vliv na farmakokinetiku </w:t>
      </w:r>
      <w:proofErr w:type="spellStart"/>
      <w:r>
        <w:t>vericig</w:t>
      </w:r>
      <w:r w:rsidR="00AB030B">
        <w:t>u</w:t>
      </w:r>
      <w:r>
        <w:t>átu</w:t>
      </w:r>
      <w:proofErr w:type="spellEnd"/>
      <w:r w:rsidRPr="001D3DB1">
        <w:t>.</w:t>
      </w:r>
    </w:p>
    <w:p w14:paraId="3DF4A6AF" w14:textId="53721912" w:rsidR="000627C5" w:rsidRDefault="00CF137E" w:rsidP="00B728E6">
      <w:pPr>
        <w:spacing w:line="240" w:lineRule="auto"/>
      </w:pPr>
      <w:r w:rsidRPr="001D3DB1">
        <w:t xml:space="preserve">Nebyl pozorován žádný klinicky významný účinek na expozici </w:t>
      </w:r>
      <w:proofErr w:type="spellStart"/>
      <w:r w:rsidR="003F36AA">
        <w:t>vericig</w:t>
      </w:r>
      <w:r w:rsidR="00DA3AC5">
        <w:t>u</w:t>
      </w:r>
      <w:r w:rsidR="003F36AA">
        <w:t>átu</w:t>
      </w:r>
      <w:proofErr w:type="spellEnd"/>
      <w:r w:rsidRPr="001D3DB1">
        <w:t xml:space="preserve">, jestliže byl </w:t>
      </w:r>
      <w:proofErr w:type="spellStart"/>
      <w:r w:rsidRPr="001D3DB1">
        <w:t>vericig</w:t>
      </w:r>
      <w:r w:rsidR="00DA3AC5">
        <w:t>u</w:t>
      </w:r>
      <w:r w:rsidR="00641B9E">
        <w:t>á</w:t>
      </w:r>
      <w:r w:rsidRPr="001D3DB1">
        <w:t>t</w:t>
      </w:r>
      <w:proofErr w:type="spellEnd"/>
      <w:r w:rsidRPr="001D3DB1">
        <w:t xml:space="preserve"> podáván souběžně s </w:t>
      </w:r>
      <w:proofErr w:type="spellStart"/>
      <w:r w:rsidRPr="001D3DB1">
        <w:t>ketokonazolem</w:t>
      </w:r>
      <w:proofErr w:type="spellEnd"/>
      <w:r w:rsidRPr="001D3DB1">
        <w:t xml:space="preserve"> (inhibitor ovlivňující více drah CYP a transportérů), </w:t>
      </w:r>
      <w:r w:rsidR="00F4526D" w:rsidRPr="001D3DB1">
        <w:t xml:space="preserve">nebo </w:t>
      </w:r>
      <w:proofErr w:type="spellStart"/>
      <w:r w:rsidRPr="001D3DB1">
        <w:t>rifampicinem</w:t>
      </w:r>
      <w:proofErr w:type="spellEnd"/>
      <w:r w:rsidRPr="001D3DB1">
        <w:t xml:space="preserve"> (induktor více drah u UGT, CYP a transportérů).</w:t>
      </w:r>
    </w:p>
    <w:p w14:paraId="4220B213" w14:textId="5B389A7C" w:rsidR="00D269FA" w:rsidRPr="001D3DB1" w:rsidRDefault="00D269FA" w:rsidP="00751CA7">
      <w:pPr>
        <w:keepNext/>
        <w:spacing w:line="240" w:lineRule="auto"/>
        <w:rPr>
          <w:szCs w:val="22"/>
        </w:rPr>
      </w:pPr>
      <w:r w:rsidRPr="001D3DB1">
        <w:t>Nebyl pozorován žádný klinicky významný účinek na expozici midazolamu (substrát CYP3A) nebo digoxinu (substrát P-</w:t>
      </w:r>
      <w:proofErr w:type="spellStart"/>
      <w:r w:rsidRPr="001D3DB1">
        <w:t>gp</w:t>
      </w:r>
      <w:proofErr w:type="spellEnd"/>
      <w:r w:rsidRPr="001D3DB1">
        <w:t xml:space="preserve">), pokud byl </w:t>
      </w:r>
      <w:proofErr w:type="spellStart"/>
      <w:r w:rsidRPr="001D3DB1">
        <w:t>vericig</w:t>
      </w:r>
      <w:r w:rsidR="00AB030B">
        <w:t>u</w:t>
      </w:r>
      <w:r>
        <w:t>á</w:t>
      </w:r>
      <w:r w:rsidRPr="001D3DB1">
        <w:t>t</w:t>
      </w:r>
      <w:proofErr w:type="spellEnd"/>
      <w:r w:rsidRPr="001D3DB1">
        <w:t xml:space="preserve"> podáván souběžně s těmito léčivými přípravky.</w:t>
      </w:r>
    </w:p>
    <w:p w14:paraId="611B8451" w14:textId="77777777" w:rsidR="00B728E6" w:rsidRPr="001D3DB1" w:rsidRDefault="00B728E6" w:rsidP="00204AAB">
      <w:pPr>
        <w:spacing w:line="240" w:lineRule="auto"/>
        <w:rPr>
          <w:szCs w:val="22"/>
        </w:rPr>
      </w:pPr>
    </w:p>
    <w:p w14:paraId="77B0136E" w14:textId="4C6E9963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szCs w:val="22"/>
        </w:rPr>
      </w:pPr>
      <w:r w:rsidRPr="001D3DB1">
        <w:rPr>
          <w:b/>
        </w:rPr>
        <w:t>4.6</w:t>
      </w:r>
      <w:r w:rsidRPr="001D3DB1">
        <w:rPr>
          <w:b/>
        </w:rPr>
        <w:tab/>
        <w:t>Fertilita, těhotenství a kojení</w:t>
      </w:r>
    </w:p>
    <w:p w14:paraId="38E65467" w14:textId="77777777" w:rsidR="00812D16" w:rsidRPr="001D3DB1" w:rsidRDefault="00812D16" w:rsidP="00F40ABD">
      <w:pPr>
        <w:keepNext/>
        <w:spacing w:line="240" w:lineRule="auto"/>
        <w:rPr>
          <w:szCs w:val="22"/>
        </w:rPr>
      </w:pPr>
    </w:p>
    <w:p w14:paraId="7740CD8E" w14:textId="77777777" w:rsidR="00812D16" w:rsidRPr="001D3DB1" w:rsidRDefault="00812D16" w:rsidP="00F40ABD">
      <w:pPr>
        <w:keepNext/>
        <w:spacing w:line="240" w:lineRule="auto"/>
        <w:rPr>
          <w:szCs w:val="22"/>
          <w:u w:val="single"/>
        </w:rPr>
      </w:pPr>
      <w:r w:rsidRPr="001D3DB1">
        <w:rPr>
          <w:u w:val="single"/>
        </w:rPr>
        <w:t>Těhotenství</w:t>
      </w:r>
    </w:p>
    <w:p w14:paraId="0C1AAE22" w14:textId="77777777" w:rsidR="00CA1D50" w:rsidRPr="001D3DB1" w:rsidRDefault="00CA1D50" w:rsidP="00F40ABD">
      <w:pPr>
        <w:keepNext/>
        <w:spacing w:line="240" w:lineRule="auto"/>
        <w:rPr>
          <w:szCs w:val="22"/>
        </w:rPr>
      </w:pPr>
    </w:p>
    <w:p w14:paraId="76971767" w14:textId="6F80D117" w:rsidR="00CA1D50" w:rsidRPr="001D3DB1" w:rsidRDefault="00CA1D50" w:rsidP="00F40ABD">
      <w:pPr>
        <w:keepNext/>
        <w:spacing w:line="240" w:lineRule="auto"/>
        <w:rPr>
          <w:szCs w:val="22"/>
        </w:rPr>
      </w:pPr>
      <w:r w:rsidRPr="001D3DB1">
        <w:t xml:space="preserve">Údaje o podávání </w:t>
      </w:r>
      <w:proofErr w:type="spellStart"/>
      <w:r w:rsidR="003F36AA">
        <w:t>vericig</w:t>
      </w:r>
      <w:r w:rsidR="00DA3AC5">
        <w:t>u</w:t>
      </w:r>
      <w:r w:rsidR="003F36AA">
        <w:t>átu</w:t>
      </w:r>
      <w:proofErr w:type="spellEnd"/>
      <w:r w:rsidRPr="001D3DB1">
        <w:t xml:space="preserve"> těhotným ženám nejsou k dispozici. Studie na zvířatech prokázaly reprodukční </w:t>
      </w:r>
      <w:r w:rsidRPr="004A19A0">
        <w:t>toxicitu</w:t>
      </w:r>
      <w:r w:rsidR="00ED0BA3" w:rsidRPr="004A19A0">
        <w:t xml:space="preserve"> </w:t>
      </w:r>
      <w:r w:rsidR="00ED0BA3" w:rsidRPr="00AB4643">
        <w:t xml:space="preserve">v přítomnosti </w:t>
      </w:r>
      <w:r w:rsidR="004A19A0" w:rsidRPr="00751CA7">
        <w:t xml:space="preserve">mateřské </w:t>
      </w:r>
      <w:r w:rsidR="00A67EB1" w:rsidRPr="004A19A0">
        <w:t>toxicity</w:t>
      </w:r>
      <w:r w:rsidRPr="004A19A0">
        <w:t xml:space="preserve"> (</w:t>
      </w:r>
      <w:r w:rsidRPr="001D3DB1">
        <w:t xml:space="preserve">viz bod 5.3). </w:t>
      </w:r>
      <w:r w:rsidR="005470F9">
        <w:t>Jako p</w:t>
      </w:r>
      <w:r w:rsidR="00DD03AE">
        <w:t>r</w:t>
      </w:r>
      <w:r w:rsidR="005470F9">
        <w:t>eventivní opatření</w:t>
      </w:r>
      <w:r w:rsidR="003E0893">
        <w:t xml:space="preserve"> se p</w:t>
      </w:r>
      <w:r w:rsidRPr="001D3DB1">
        <w:t xml:space="preserve">odávání </w:t>
      </w:r>
      <w:proofErr w:type="spellStart"/>
      <w:r w:rsidR="003F36AA">
        <w:t>vericig</w:t>
      </w:r>
      <w:r w:rsidR="00DA3AC5">
        <w:t>u</w:t>
      </w:r>
      <w:r w:rsidR="003F36AA">
        <w:t>átu</w:t>
      </w:r>
      <w:proofErr w:type="spellEnd"/>
      <w:r w:rsidRPr="001D3DB1">
        <w:t xml:space="preserve"> v těhotenství a u žen v reprodukčním věku, které nepoužívají antikoncepci, nedoporučuje.</w:t>
      </w:r>
    </w:p>
    <w:p w14:paraId="1D69CE72" w14:textId="77777777" w:rsidR="00FE4F07" w:rsidRPr="001D3DB1" w:rsidRDefault="00FE4F07" w:rsidP="00204AAB">
      <w:pPr>
        <w:spacing w:line="240" w:lineRule="auto"/>
        <w:rPr>
          <w:szCs w:val="22"/>
        </w:rPr>
      </w:pPr>
    </w:p>
    <w:p w14:paraId="7F21A0FC" w14:textId="77777777" w:rsidR="00812D16" w:rsidRPr="001D3DB1" w:rsidRDefault="00812D16" w:rsidP="00F40ABD">
      <w:pPr>
        <w:keepNext/>
        <w:spacing w:line="240" w:lineRule="auto"/>
        <w:rPr>
          <w:szCs w:val="22"/>
          <w:u w:val="single"/>
        </w:rPr>
      </w:pPr>
      <w:r w:rsidRPr="001D3DB1">
        <w:rPr>
          <w:u w:val="single"/>
        </w:rPr>
        <w:t>Kojení</w:t>
      </w:r>
    </w:p>
    <w:p w14:paraId="4829DEE1" w14:textId="77777777" w:rsidR="00A86CCC" w:rsidRPr="001D3DB1" w:rsidRDefault="00A86CCC" w:rsidP="00F40ABD">
      <w:pPr>
        <w:keepNext/>
        <w:spacing w:line="240" w:lineRule="auto"/>
        <w:rPr>
          <w:szCs w:val="22"/>
        </w:rPr>
      </w:pPr>
    </w:p>
    <w:p w14:paraId="6FE55CF6" w14:textId="7550AFF0" w:rsidR="005F0FA8" w:rsidRPr="001D3DB1" w:rsidRDefault="00A86CCC" w:rsidP="00F40ABD">
      <w:pPr>
        <w:keepNext/>
        <w:spacing w:line="240" w:lineRule="auto"/>
        <w:rPr>
          <w:szCs w:val="22"/>
        </w:rPr>
      </w:pPr>
      <w:r w:rsidRPr="001D3DB1">
        <w:t xml:space="preserve">Nejsou k dispozici žádné informace o přítomnosti </w:t>
      </w:r>
      <w:proofErr w:type="spellStart"/>
      <w:r w:rsidR="003F36AA">
        <w:t>vericig</w:t>
      </w:r>
      <w:r w:rsidR="00AB030B">
        <w:t>u</w:t>
      </w:r>
      <w:r w:rsidR="003F36AA">
        <w:t>átu</w:t>
      </w:r>
      <w:proofErr w:type="spellEnd"/>
      <w:r w:rsidRPr="001D3DB1">
        <w:t xml:space="preserve"> v lidském mateřském mléku, účinku na kojené děti nebo účincích na tvorbu mléka. </w:t>
      </w:r>
      <w:proofErr w:type="spellStart"/>
      <w:r w:rsidRPr="001D3DB1">
        <w:t>Vericig</w:t>
      </w:r>
      <w:r w:rsidR="00CF1706">
        <w:t>u</w:t>
      </w:r>
      <w:r w:rsidR="00FD5E25">
        <w:t>á</w:t>
      </w:r>
      <w:r w:rsidRPr="001D3DB1">
        <w:t>t</w:t>
      </w:r>
      <w:proofErr w:type="spellEnd"/>
      <w:r w:rsidRPr="001D3DB1">
        <w:t xml:space="preserve"> je přítomen v mléku kojících samic potkanů. Riziko pro kojené děti nelze vyloučit.</w:t>
      </w:r>
    </w:p>
    <w:p w14:paraId="095836FB" w14:textId="337A8C6A" w:rsidR="00A86CCC" w:rsidRPr="001D3DB1" w:rsidRDefault="00A86CCC" w:rsidP="00F40ABD">
      <w:pPr>
        <w:keepNext/>
        <w:spacing w:line="240" w:lineRule="auto"/>
        <w:rPr>
          <w:szCs w:val="22"/>
        </w:rPr>
      </w:pPr>
      <w:r w:rsidRPr="001D3DB1">
        <w:t xml:space="preserve">Na základě posouzení prospěšnosti kojení pro dítě a prospěšnosti léčby pro matku je nutno rozhodnout, zda přerušit kojení nebo ukončit/přerušit podávání </w:t>
      </w:r>
      <w:proofErr w:type="spellStart"/>
      <w:r w:rsidR="003F36AA">
        <w:t>vericig</w:t>
      </w:r>
      <w:r w:rsidR="00CF1706">
        <w:t>u</w:t>
      </w:r>
      <w:r w:rsidR="003F36AA">
        <w:t>átu</w:t>
      </w:r>
      <w:proofErr w:type="spellEnd"/>
      <w:r w:rsidRPr="001D3DB1">
        <w:t>.</w:t>
      </w:r>
    </w:p>
    <w:p w14:paraId="1841FB7A" w14:textId="77777777" w:rsidR="004A4EEB" w:rsidRPr="001D3DB1" w:rsidRDefault="004A4EEB" w:rsidP="00204AAB">
      <w:pPr>
        <w:spacing w:line="240" w:lineRule="auto"/>
        <w:rPr>
          <w:szCs w:val="22"/>
        </w:rPr>
      </w:pPr>
    </w:p>
    <w:p w14:paraId="365924F4" w14:textId="77777777" w:rsidR="00812D16" w:rsidRPr="001D3DB1" w:rsidRDefault="00812D16" w:rsidP="00F40ABD">
      <w:pPr>
        <w:keepNext/>
        <w:spacing w:line="240" w:lineRule="auto"/>
        <w:rPr>
          <w:szCs w:val="22"/>
          <w:u w:val="single"/>
        </w:rPr>
      </w:pPr>
      <w:r w:rsidRPr="001D3DB1">
        <w:rPr>
          <w:u w:val="single"/>
        </w:rPr>
        <w:t>Fertilita</w:t>
      </w:r>
    </w:p>
    <w:p w14:paraId="14EB6FDF" w14:textId="77777777" w:rsidR="002C24AA" w:rsidRPr="001D3DB1" w:rsidRDefault="002C24AA" w:rsidP="00F40ABD">
      <w:pPr>
        <w:keepNext/>
        <w:spacing w:line="240" w:lineRule="auto"/>
        <w:rPr>
          <w:szCs w:val="22"/>
        </w:rPr>
      </w:pPr>
    </w:p>
    <w:p w14:paraId="272F7F93" w14:textId="0F45F42F" w:rsidR="00F40ABD" w:rsidRPr="001D3DB1" w:rsidRDefault="002C24AA" w:rsidP="00F40ABD">
      <w:pPr>
        <w:keepNext/>
        <w:spacing w:line="240" w:lineRule="auto"/>
        <w:rPr>
          <w:szCs w:val="22"/>
        </w:rPr>
      </w:pPr>
      <w:r w:rsidRPr="001D3DB1">
        <w:t xml:space="preserve">Nejsou k dispozici žádné údaje o účinku </w:t>
      </w:r>
      <w:proofErr w:type="spellStart"/>
      <w:r w:rsidR="003F36AA">
        <w:t>vericig</w:t>
      </w:r>
      <w:r w:rsidR="00CF1706">
        <w:t>u</w:t>
      </w:r>
      <w:r w:rsidR="003F36AA">
        <w:t>átu</w:t>
      </w:r>
      <w:proofErr w:type="spellEnd"/>
      <w:r w:rsidRPr="001D3DB1">
        <w:t xml:space="preserve"> na lidskou fertilitu. Ve studii se samci a samicemi potkanů nebyly prokázány nepříznivé účinky </w:t>
      </w:r>
      <w:proofErr w:type="spellStart"/>
      <w:r w:rsidR="003F36AA">
        <w:t>vericig</w:t>
      </w:r>
      <w:r w:rsidR="00DA3AC5">
        <w:t>u</w:t>
      </w:r>
      <w:r w:rsidR="003F36AA">
        <w:t>átu</w:t>
      </w:r>
      <w:proofErr w:type="spellEnd"/>
      <w:r w:rsidRPr="001D3DB1">
        <w:t xml:space="preserve"> na fertilitu (viz bod 5.3).</w:t>
      </w:r>
    </w:p>
    <w:p w14:paraId="643E01C4" w14:textId="77777777" w:rsidR="004A4EEB" w:rsidRPr="001D3DB1" w:rsidRDefault="004A4EEB" w:rsidP="00204AAB">
      <w:pPr>
        <w:spacing w:line="240" w:lineRule="auto"/>
        <w:rPr>
          <w:i/>
          <w:szCs w:val="22"/>
        </w:rPr>
      </w:pPr>
    </w:p>
    <w:p w14:paraId="39D6B477" w14:textId="49FF4554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szCs w:val="22"/>
        </w:rPr>
      </w:pPr>
      <w:r w:rsidRPr="001D3DB1">
        <w:rPr>
          <w:b/>
        </w:rPr>
        <w:t>4.7</w:t>
      </w:r>
      <w:r w:rsidRPr="001D3DB1">
        <w:rPr>
          <w:b/>
        </w:rPr>
        <w:tab/>
        <w:t>Účinky na schopnost řídit a obsluhovat stroje</w:t>
      </w:r>
    </w:p>
    <w:p w14:paraId="7CD60129" w14:textId="77777777" w:rsidR="00812D16" w:rsidRPr="001D3DB1" w:rsidRDefault="00812D16" w:rsidP="00F40ABD">
      <w:pPr>
        <w:keepNext/>
        <w:spacing w:line="240" w:lineRule="auto"/>
        <w:rPr>
          <w:szCs w:val="22"/>
        </w:rPr>
      </w:pPr>
    </w:p>
    <w:p w14:paraId="38F76A1F" w14:textId="09B558F6" w:rsidR="003867E1" w:rsidRPr="001D3DB1" w:rsidRDefault="002A7624" w:rsidP="009E5DF5">
      <w:pPr>
        <w:keepNext/>
        <w:autoSpaceDE w:val="0"/>
        <w:autoSpaceDN w:val="0"/>
        <w:adjustRightInd w:val="0"/>
        <w:spacing w:line="240" w:lineRule="auto"/>
        <w:rPr>
          <w:rFonts w:eastAsia="SimSun"/>
          <w:szCs w:val="22"/>
        </w:rPr>
      </w:pPr>
      <w:proofErr w:type="spellStart"/>
      <w:r w:rsidRPr="001D3DB1">
        <w:t>Vericig</w:t>
      </w:r>
      <w:r w:rsidR="00CF1706">
        <w:t>u</w:t>
      </w:r>
      <w:r w:rsidR="00FD5E25">
        <w:t>á</w:t>
      </w:r>
      <w:r w:rsidRPr="001D3DB1">
        <w:t>t</w:t>
      </w:r>
      <w:proofErr w:type="spellEnd"/>
      <w:r w:rsidRPr="001D3DB1">
        <w:t xml:space="preserve"> má malý vliv na schopnost řídit nebo obsluhovat stroje.</w:t>
      </w:r>
      <w:r w:rsidRPr="001D3DB1">
        <w:rPr>
          <w:rFonts w:eastAsia="SimSun"/>
        </w:rPr>
        <w:t xml:space="preserve"> Pokud řídíte vozidla nebo obsluhujete stroje, je třeba vzít v úvahu, že se občas může objevit závrať.</w:t>
      </w:r>
    </w:p>
    <w:p w14:paraId="06AEF438" w14:textId="77777777" w:rsidR="00812D16" w:rsidRPr="001D3DB1" w:rsidRDefault="00812D16" w:rsidP="00204AAB">
      <w:pPr>
        <w:spacing w:line="240" w:lineRule="auto"/>
        <w:rPr>
          <w:szCs w:val="22"/>
        </w:rPr>
      </w:pPr>
    </w:p>
    <w:p w14:paraId="00DBAA5E" w14:textId="77777777" w:rsidR="00812D16" w:rsidRPr="001D3DB1" w:rsidRDefault="00855481" w:rsidP="005954DA">
      <w:pPr>
        <w:keepNext/>
        <w:spacing w:line="240" w:lineRule="auto"/>
        <w:outlineLvl w:val="2"/>
        <w:rPr>
          <w:b/>
          <w:szCs w:val="22"/>
        </w:rPr>
      </w:pPr>
      <w:r w:rsidRPr="001D3DB1">
        <w:rPr>
          <w:b/>
        </w:rPr>
        <w:lastRenderedPageBreak/>
        <w:t>4.8</w:t>
      </w:r>
      <w:r w:rsidRPr="001D3DB1">
        <w:rPr>
          <w:b/>
        </w:rPr>
        <w:tab/>
        <w:t>Nežádoucí účinky</w:t>
      </w:r>
    </w:p>
    <w:p w14:paraId="06237719" w14:textId="77777777" w:rsidR="00F40ABD" w:rsidRPr="001D3DB1" w:rsidRDefault="00F40ABD" w:rsidP="00DF288F">
      <w:pPr>
        <w:keepNext/>
        <w:spacing w:line="240" w:lineRule="auto"/>
        <w:rPr>
          <w:b/>
          <w:szCs w:val="22"/>
        </w:rPr>
      </w:pPr>
    </w:p>
    <w:p w14:paraId="199CAE3C" w14:textId="77777777" w:rsidR="00CA7129" w:rsidRPr="001D3DB1" w:rsidRDefault="00CA7129" w:rsidP="00D76F44">
      <w:pPr>
        <w:keepNext/>
        <w:spacing w:line="240" w:lineRule="auto"/>
        <w:rPr>
          <w:szCs w:val="22"/>
          <w:u w:val="single"/>
        </w:rPr>
      </w:pPr>
      <w:r w:rsidRPr="001D3DB1">
        <w:rPr>
          <w:u w:val="single"/>
        </w:rPr>
        <w:t>Souhrn bezpečnostního profilu</w:t>
      </w:r>
    </w:p>
    <w:p w14:paraId="34B46ED4" w14:textId="77777777" w:rsidR="00416E3A" w:rsidRPr="001D3DB1" w:rsidRDefault="00416E3A" w:rsidP="008A7053">
      <w:pPr>
        <w:keepNext/>
        <w:spacing w:line="240" w:lineRule="auto"/>
        <w:rPr>
          <w:szCs w:val="22"/>
        </w:rPr>
      </w:pPr>
    </w:p>
    <w:p w14:paraId="090C8C77" w14:textId="0D229D74" w:rsidR="006849DB" w:rsidRPr="001D3DB1" w:rsidRDefault="007A6307" w:rsidP="00D76F44">
      <w:pPr>
        <w:keepNext/>
        <w:spacing w:line="240" w:lineRule="auto"/>
        <w:rPr>
          <w:szCs w:val="22"/>
        </w:rPr>
      </w:pPr>
      <w:r w:rsidRPr="001D3DB1">
        <w:t>Nejčastěj</w:t>
      </w:r>
      <w:r w:rsidR="004F1349">
        <w:t>i</w:t>
      </w:r>
      <w:r w:rsidRPr="001D3DB1">
        <w:t xml:space="preserve"> hlášeným nežádoucím účinkem během léčby </w:t>
      </w:r>
      <w:proofErr w:type="spellStart"/>
      <w:r w:rsidR="005C2A55">
        <w:t>vericig</w:t>
      </w:r>
      <w:r w:rsidR="00DA3AC5">
        <w:t>u</w:t>
      </w:r>
      <w:r w:rsidR="005C2A55">
        <w:t>átem</w:t>
      </w:r>
      <w:proofErr w:type="spellEnd"/>
      <w:r w:rsidRPr="001D3DB1">
        <w:t xml:space="preserve"> byla hypotenze (16,4 %).</w:t>
      </w:r>
    </w:p>
    <w:p w14:paraId="417575B7" w14:textId="77777777" w:rsidR="006849DB" w:rsidRPr="001D3DB1" w:rsidRDefault="006849DB" w:rsidP="003853C3">
      <w:pPr>
        <w:spacing w:line="240" w:lineRule="auto"/>
        <w:rPr>
          <w:szCs w:val="22"/>
        </w:rPr>
      </w:pPr>
    </w:p>
    <w:p w14:paraId="5231C811" w14:textId="77777777" w:rsidR="003853C3" w:rsidRPr="001D3DB1" w:rsidRDefault="003853C3" w:rsidP="00D76F44">
      <w:pPr>
        <w:keepNext/>
        <w:spacing w:line="240" w:lineRule="auto"/>
        <w:rPr>
          <w:szCs w:val="22"/>
          <w:u w:val="single"/>
        </w:rPr>
      </w:pPr>
      <w:r w:rsidRPr="001D3DB1">
        <w:rPr>
          <w:u w:val="single"/>
        </w:rPr>
        <w:t>Tabulkový seznam nežádoucích účinků</w:t>
      </w:r>
    </w:p>
    <w:p w14:paraId="309FA1B6" w14:textId="77777777" w:rsidR="00AE4397" w:rsidRPr="001D3DB1" w:rsidRDefault="00AE4397" w:rsidP="00AE4397">
      <w:pPr>
        <w:keepNext/>
        <w:spacing w:line="240" w:lineRule="auto"/>
        <w:rPr>
          <w:szCs w:val="22"/>
        </w:rPr>
      </w:pPr>
    </w:p>
    <w:p w14:paraId="45418587" w14:textId="07C4CF95" w:rsidR="00AE4397" w:rsidRPr="001D3DB1" w:rsidRDefault="00AE4397" w:rsidP="00AE4397">
      <w:pPr>
        <w:keepNext/>
        <w:spacing w:line="240" w:lineRule="auto"/>
        <w:rPr>
          <w:szCs w:val="22"/>
        </w:rPr>
      </w:pPr>
      <w:r w:rsidRPr="001D3DB1">
        <w:t xml:space="preserve">Bezpečnost </w:t>
      </w:r>
      <w:proofErr w:type="spellStart"/>
      <w:r w:rsidR="003F36AA">
        <w:t>vericig</w:t>
      </w:r>
      <w:r w:rsidR="00CF1706">
        <w:t>u</w:t>
      </w:r>
      <w:r w:rsidR="003F36AA">
        <w:t>átu</w:t>
      </w:r>
      <w:proofErr w:type="spellEnd"/>
      <w:r w:rsidRPr="001D3DB1">
        <w:t xml:space="preserve"> byla vyhodnocena ve studii fáze III (studie VICTORIA), která zahrnovala celkem 2 519 pacientů léčených </w:t>
      </w:r>
      <w:proofErr w:type="spellStart"/>
      <w:r w:rsidR="005C2A55">
        <w:t>vericig</w:t>
      </w:r>
      <w:r w:rsidR="005B4BFC">
        <w:t>u</w:t>
      </w:r>
      <w:r w:rsidR="005C2A55">
        <w:t>átem</w:t>
      </w:r>
      <w:proofErr w:type="spellEnd"/>
      <w:r w:rsidRPr="001D3DB1">
        <w:t xml:space="preserve"> (dávkou do 10 mg jednou denně) (viz bod 5.1). Střední doba trvání expozice </w:t>
      </w:r>
      <w:proofErr w:type="spellStart"/>
      <w:r w:rsidR="003F36AA">
        <w:t>vericig</w:t>
      </w:r>
      <w:r w:rsidR="00C16C4E">
        <w:t>u</w:t>
      </w:r>
      <w:r w:rsidR="003F36AA">
        <w:t>átu</w:t>
      </w:r>
      <w:proofErr w:type="spellEnd"/>
      <w:r w:rsidRPr="001D3DB1">
        <w:t xml:space="preserve"> byla 1 rok a maximální doba trvání byla 2,6 roku.</w:t>
      </w:r>
    </w:p>
    <w:p w14:paraId="5AD5252B" w14:textId="77777777" w:rsidR="003853C3" w:rsidRPr="001D3DB1" w:rsidRDefault="003853C3" w:rsidP="008A7053">
      <w:pPr>
        <w:spacing w:line="240" w:lineRule="auto"/>
        <w:rPr>
          <w:b/>
          <w:szCs w:val="22"/>
        </w:rPr>
      </w:pPr>
    </w:p>
    <w:p w14:paraId="3DFFB92A" w14:textId="245C4998" w:rsidR="008971E2" w:rsidRPr="001D3DB1" w:rsidRDefault="008971E2" w:rsidP="00D76F44">
      <w:pPr>
        <w:keepNext/>
      </w:pPr>
      <w:r w:rsidRPr="001D3DB1">
        <w:t xml:space="preserve">Nežádoucí účinky hlášené při podávání </w:t>
      </w:r>
      <w:proofErr w:type="spellStart"/>
      <w:r w:rsidR="003F36AA">
        <w:t>vericig</w:t>
      </w:r>
      <w:r w:rsidR="005B4BFC">
        <w:t>u</w:t>
      </w:r>
      <w:r w:rsidR="003F36AA">
        <w:t>átu</w:t>
      </w:r>
      <w:proofErr w:type="spellEnd"/>
      <w:r w:rsidRPr="001D3DB1">
        <w:t xml:space="preserve"> získané z klinických studií jsou uvedeny v tabulce níže a seřazeny podle tříd orgánových systémů </w:t>
      </w:r>
      <w:proofErr w:type="spellStart"/>
      <w:r w:rsidRPr="001D3DB1">
        <w:t>MedDRA</w:t>
      </w:r>
      <w:proofErr w:type="spellEnd"/>
      <w:r w:rsidRPr="001D3DB1">
        <w:t xml:space="preserve"> a dále podle četnosti. Četnosti jsou definovány jako velmi časté (≥1/10), časté (≥1/100 až &lt;1/10), méně časté (≥1/1 000 až &lt;1/100), vzácné (≥1/10 000 až &lt;1/1 000) a velmi vzácné (&lt;1/10 000).</w:t>
      </w:r>
    </w:p>
    <w:p w14:paraId="166F523B" w14:textId="77777777" w:rsidR="007D78E5" w:rsidRPr="001D3DB1" w:rsidRDefault="007D78E5" w:rsidP="007D78E5"/>
    <w:p w14:paraId="47B27055" w14:textId="34D58031" w:rsidR="00D62622" w:rsidRPr="001D3DB1" w:rsidRDefault="00D62622" w:rsidP="007D78E5">
      <w:pPr>
        <w:keepNext/>
        <w:keepLines/>
        <w:spacing w:line="240" w:lineRule="auto"/>
        <w:rPr>
          <w:b/>
          <w:szCs w:val="22"/>
        </w:rPr>
      </w:pPr>
      <w:r w:rsidRPr="001D3DB1">
        <w:rPr>
          <w:b/>
        </w:rPr>
        <w:t>Tabulka 1: Nežádoucí účinky</w:t>
      </w:r>
    </w:p>
    <w:tbl>
      <w:tblPr>
        <w:tblpPr w:leftFromText="180" w:rightFromText="180" w:vertAnchor="text" w:horzAnchor="margin" w:tblpY="30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89"/>
        <w:gridCol w:w="3615"/>
      </w:tblGrid>
      <w:tr w:rsidR="00D13D46" w:rsidRPr="001D3DB1" w14:paraId="15615479" w14:textId="77777777" w:rsidTr="00075FFC">
        <w:tc>
          <w:tcPr>
            <w:tcW w:w="2518" w:type="dxa"/>
          </w:tcPr>
          <w:p w14:paraId="238C50FC" w14:textId="7DA3AA85" w:rsidR="00401052" w:rsidRPr="001D3DB1" w:rsidRDefault="00D13D46" w:rsidP="007D78E5">
            <w:pPr>
              <w:keepNext/>
              <w:keepLines/>
              <w:rPr>
                <w:b/>
              </w:rPr>
            </w:pPr>
            <w:proofErr w:type="spellStart"/>
            <w:r w:rsidRPr="001D3DB1">
              <w:rPr>
                <w:b/>
              </w:rPr>
              <w:t>MedDRA</w:t>
            </w:r>
            <w:proofErr w:type="spellEnd"/>
            <w:r w:rsidRPr="001D3DB1">
              <w:rPr>
                <w:b/>
              </w:rPr>
              <w:t xml:space="preserve"> –</w:t>
            </w:r>
          </w:p>
          <w:p w14:paraId="590BA0CC" w14:textId="77777777" w:rsidR="00D13D46" w:rsidRPr="001D3DB1" w:rsidRDefault="00D13D46" w:rsidP="007D78E5">
            <w:pPr>
              <w:keepNext/>
              <w:keepLines/>
              <w:rPr>
                <w:b/>
                <w:highlight w:val="yellow"/>
              </w:rPr>
            </w:pPr>
            <w:r w:rsidRPr="001D3DB1">
              <w:rPr>
                <w:b/>
              </w:rPr>
              <w:t>třída orgánových systémů</w:t>
            </w:r>
          </w:p>
        </w:tc>
        <w:tc>
          <w:tcPr>
            <w:tcW w:w="3189" w:type="dxa"/>
          </w:tcPr>
          <w:p w14:paraId="2E24965D" w14:textId="77777777" w:rsidR="00D13D46" w:rsidRPr="001D3DB1" w:rsidRDefault="00D13D46" w:rsidP="007D78E5">
            <w:pPr>
              <w:keepNext/>
              <w:keepLines/>
              <w:rPr>
                <w:b/>
                <w:highlight w:val="yellow"/>
              </w:rPr>
            </w:pPr>
            <w:r w:rsidRPr="001D3DB1">
              <w:rPr>
                <w:b/>
              </w:rPr>
              <w:t>Velmi časté</w:t>
            </w:r>
          </w:p>
        </w:tc>
        <w:tc>
          <w:tcPr>
            <w:tcW w:w="3615" w:type="dxa"/>
          </w:tcPr>
          <w:p w14:paraId="4CA948F9" w14:textId="77777777" w:rsidR="00D13D46" w:rsidRPr="001D3DB1" w:rsidRDefault="00D13D46" w:rsidP="007D78E5">
            <w:pPr>
              <w:keepNext/>
              <w:keepLines/>
              <w:rPr>
                <w:b/>
              </w:rPr>
            </w:pPr>
            <w:r w:rsidRPr="001D3DB1">
              <w:rPr>
                <w:b/>
              </w:rPr>
              <w:t>Časté</w:t>
            </w:r>
          </w:p>
        </w:tc>
      </w:tr>
      <w:tr w:rsidR="00D13D46" w:rsidRPr="001D3DB1" w14:paraId="0C9D7873" w14:textId="77777777" w:rsidTr="00075FFC">
        <w:tc>
          <w:tcPr>
            <w:tcW w:w="2518" w:type="dxa"/>
          </w:tcPr>
          <w:p w14:paraId="51F25B88" w14:textId="77777777" w:rsidR="00D13D46" w:rsidRPr="001D3DB1" w:rsidRDefault="00D13D46" w:rsidP="007D78E5">
            <w:pPr>
              <w:keepNext/>
              <w:keepLines/>
              <w:rPr>
                <w:b/>
              </w:rPr>
            </w:pPr>
            <w:r w:rsidRPr="001D3DB1">
              <w:rPr>
                <w:b/>
              </w:rPr>
              <w:t>Poruchy krve a lymfatického systému</w:t>
            </w:r>
          </w:p>
        </w:tc>
        <w:tc>
          <w:tcPr>
            <w:tcW w:w="3189" w:type="dxa"/>
          </w:tcPr>
          <w:p w14:paraId="59AE4560" w14:textId="77777777" w:rsidR="00D13D46" w:rsidRPr="001D3DB1" w:rsidRDefault="00D13D46" w:rsidP="007D78E5">
            <w:pPr>
              <w:keepNext/>
              <w:keepLines/>
            </w:pPr>
          </w:p>
        </w:tc>
        <w:tc>
          <w:tcPr>
            <w:tcW w:w="3615" w:type="dxa"/>
          </w:tcPr>
          <w:p w14:paraId="0DA84CF8" w14:textId="306A8F46" w:rsidR="00D13D46" w:rsidRPr="001D3DB1" w:rsidRDefault="00D13D46" w:rsidP="007D78E5">
            <w:pPr>
              <w:keepNext/>
              <w:keepLines/>
            </w:pPr>
            <w:r w:rsidRPr="001D3DB1">
              <w:t>Anemie</w:t>
            </w:r>
          </w:p>
        </w:tc>
      </w:tr>
      <w:tr w:rsidR="00D13D46" w:rsidRPr="001D3DB1" w14:paraId="25AACD93" w14:textId="77777777" w:rsidTr="00075FFC">
        <w:tc>
          <w:tcPr>
            <w:tcW w:w="2518" w:type="dxa"/>
          </w:tcPr>
          <w:p w14:paraId="102289A7" w14:textId="77777777" w:rsidR="00D13D46" w:rsidRPr="001D3DB1" w:rsidRDefault="00D13D46" w:rsidP="007D78E5">
            <w:pPr>
              <w:keepNext/>
              <w:keepLines/>
              <w:rPr>
                <w:b/>
              </w:rPr>
            </w:pPr>
            <w:r w:rsidRPr="001D3DB1">
              <w:rPr>
                <w:b/>
              </w:rPr>
              <w:t xml:space="preserve">Poruchy nervového systému </w:t>
            </w:r>
          </w:p>
        </w:tc>
        <w:tc>
          <w:tcPr>
            <w:tcW w:w="3189" w:type="dxa"/>
          </w:tcPr>
          <w:p w14:paraId="18079626" w14:textId="77777777" w:rsidR="00D13D46" w:rsidRPr="001D3DB1" w:rsidRDefault="00D13D46" w:rsidP="007D78E5">
            <w:pPr>
              <w:keepNext/>
              <w:keepLines/>
            </w:pPr>
          </w:p>
        </w:tc>
        <w:tc>
          <w:tcPr>
            <w:tcW w:w="3615" w:type="dxa"/>
          </w:tcPr>
          <w:p w14:paraId="7617F868" w14:textId="77777777" w:rsidR="00D13D46" w:rsidRPr="001D3DB1" w:rsidRDefault="00D13D46" w:rsidP="007D78E5">
            <w:pPr>
              <w:keepNext/>
              <w:keepLines/>
            </w:pPr>
            <w:r w:rsidRPr="001D3DB1">
              <w:t>Závrať</w:t>
            </w:r>
          </w:p>
          <w:p w14:paraId="10A1AE5D" w14:textId="77777777" w:rsidR="00D13D46" w:rsidRPr="001D3DB1" w:rsidRDefault="00D13D46" w:rsidP="007D78E5">
            <w:pPr>
              <w:keepNext/>
              <w:keepLines/>
            </w:pPr>
            <w:r w:rsidRPr="001D3DB1">
              <w:t>Bolesti hlavy</w:t>
            </w:r>
          </w:p>
        </w:tc>
      </w:tr>
      <w:tr w:rsidR="00D13D46" w:rsidRPr="001D3DB1" w14:paraId="261665D6" w14:textId="77777777" w:rsidTr="00075FFC">
        <w:tc>
          <w:tcPr>
            <w:tcW w:w="2518" w:type="dxa"/>
          </w:tcPr>
          <w:p w14:paraId="249D4530" w14:textId="77777777" w:rsidR="00D13D46" w:rsidRPr="001D3DB1" w:rsidRDefault="00D13D46" w:rsidP="007D78E5">
            <w:pPr>
              <w:keepNext/>
              <w:keepLines/>
              <w:rPr>
                <w:b/>
              </w:rPr>
            </w:pPr>
            <w:r w:rsidRPr="001D3DB1">
              <w:rPr>
                <w:b/>
              </w:rPr>
              <w:t>Cévní poruchy</w:t>
            </w:r>
          </w:p>
        </w:tc>
        <w:tc>
          <w:tcPr>
            <w:tcW w:w="3189" w:type="dxa"/>
          </w:tcPr>
          <w:p w14:paraId="40741289" w14:textId="2D4C2B27" w:rsidR="00D13D46" w:rsidRPr="001D3DB1" w:rsidRDefault="00D13D46" w:rsidP="007D78E5">
            <w:pPr>
              <w:keepNext/>
              <w:keepLines/>
            </w:pPr>
            <w:r w:rsidRPr="001D3DB1">
              <w:t>Hypotenze</w:t>
            </w:r>
          </w:p>
        </w:tc>
        <w:tc>
          <w:tcPr>
            <w:tcW w:w="3615" w:type="dxa"/>
          </w:tcPr>
          <w:p w14:paraId="3FF7F247" w14:textId="77777777" w:rsidR="00D13D46" w:rsidRPr="001D3DB1" w:rsidRDefault="00D13D46" w:rsidP="007D78E5">
            <w:pPr>
              <w:keepNext/>
              <w:keepLines/>
            </w:pPr>
          </w:p>
        </w:tc>
      </w:tr>
      <w:tr w:rsidR="00D13D46" w:rsidRPr="001D3DB1" w14:paraId="1D49758B" w14:textId="77777777" w:rsidTr="00075FFC">
        <w:tc>
          <w:tcPr>
            <w:tcW w:w="2518" w:type="dxa"/>
          </w:tcPr>
          <w:p w14:paraId="444D86A1" w14:textId="77777777" w:rsidR="00D13D46" w:rsidRPr="001D3DB1" w:rsidRDefault="00D13D46" w:rsidP="007D78E5">
            <w:pPr>
              <w:keepNext/>
              <w:keepLines/>
              <w:rPr>
                <w:b/>
              </w:rPr>
            </w:pPr>
            <w:r w:rsidRPr="001D3DB1">
              <w:rPr>
                <w:b/>
              </w:rPr>
              <w:t>Gastrointestinální poruchy</w:t>
            </w:r>
          </w:p>
        </w:tc>
        <w:tc>
          <w:tcPr>
            <w:tcW w:w="3189" w:type="dxa"/>
          </w:tcPr>
          <w:p w14:paraId="6D3297B1" w14:textId="77777777" w:rsidR="00D13D46" w:rsidRPr="001D3DB1" w:rsidRDefault="00D13D46" w:rsidP="007D78E5">
            <w:pPr>
              <w:keepNext/>
              <w:keepLines/>
            </w:pPr>
          </w:p>
        </w:tc>
        <w:tc>
          <w:tcPr>
            <w:tcW w:w="3615" w:type="dxa"/>
          </w:tcPr>
          <w:p w14:paraId="48F24CE6" w14:textId="02367D44" w:rsidR="00D13D46" w:rsidRPr="001D3DB1" w:rsidRDefault="00D13D46" w:rsidP="007D78E5">
            <w:pPr>
              <w:keepNext/>
              <w:keepLines/>
            </w:pPr>
            <w:r w:rsidRPr="001D3DB1">
              <w:t>N</w:t>
            </w:r>
            <w:r w:rsidR="008B7779">
              <w:t>auzea</w:t>
            </w:r>
          </w:p>
          <w:p w14:paraId="127CE71A" w14:textId="77777777" w:rsidR="00D13D46" w:rsidRPr="001D3DB1" w:rsidRDefault="00D13D46" w:rsidP="007D78E5">
            <w:pPr>
              <w:keepNext/>
              <w:keepLines/>
            </w:pPr>
            <w:r w:rsidRPr="001D3DB1">
              <w:t>Dyspepsie</w:t>
            </w:r>
          </w:p>
          <w:p w14:paraId="5CBA983A" w14:textId="77777777" w:rsidR="00D13D46" w:rsidRPr="001D3DB1" w:rsidRDefault="00D13D46" w:rsidP="007D78E5">
            <w:pPr>
              <w:keepNext/>
              <w:keepLines/>
              <w:ind w:left="160" w:hanging="160"/>
            </w:pPr>
            <w:r w:rsidRPr="001D3DB1">
              <w:t>Zvracení</w:t>
            </w:r>
          </w:p>
          <w:p w14:paraId="7D6EC35B" w14:textId="5DEDE2E2" w:rsidR="00D13D46" w:rsidRPr="001D3DB1" w:rsidRDefault="00DE5BF6" w:rsidP="007D78E5">
            <w:pPr>
              <w:keepNext/>
              <w:keepLines/>
            </w:pPr>
            <w:proofErr w:type="spellStart"/>
            <w:r>
              <w:t>G</w:t>
            </w:r>
            <w:r w:rsidR="00D13D46" w:rsidRPr="001D3DB1">
              <w:t>astroezofageální</w:t>
            </w:r>
            <w:proofErr w:type="spellEnd"/>
            <w:r w:rsidR="00D13D46" w:rsidRPr="001D3DB1">
              <w:t xml:space="preserve"> reflux</w:t>
            </w:r>
          </w:p>
        </w:tc>
      </w:tr>
    </w:tbl>
    <w:p w14:paraId="262F1629" w14:textId="77777777" w:rsidR="007D78E5" w:rsidRPr="001D3DB1" w:rsidRDefault="007D78E5" w:rsidP="007D78E5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</w:p>
    <w:p w14:paraId="7771F35D" w14:textId="0FD4B6DB" w:rsidR="007D78E5" w:rsidRPr="001D3DB1" w:rsidRDefault="007D78E5" w:rsidP="007D78E5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</w:p>
    <w:p w14:paraId="69923A22" w14:textId="77777777" w:rsidR="007D78E5" w:rsidRPr="001D3DB1" w:rsidRDefault="007D78E5" w:rsidP="007D78E5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1D3DB1">
        <w:rPr>
          <w:u w:val="single"/>
        </w:rPr>
        <w:t>Popis vybraných nežádoucích účinků</w:t>
      </w:r>
    </w:p>
    <w:p w14:paraId="29CD143A" w14:textId="77777777" w:rsidR="007D78E5" w:rsidRPr="001D3DB1" w:rsidRDefault="007D78E5" w:rsidP="008D2276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74CFBF88" w14:textId="3C2AC499" w:rsidR="00F816B7" w:rsidRPr="001D3DB1" w:rsidRDefault="00F816B7" w:rsidP="008D2276">
      <w:pPr>
        <w:keepNext/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1D3DB1">
        <w:rPr>
          <w:i/>
        </w:rPr>
        <w:t>Hypotenze</w:t>
      </w:r>
    </w:p>
    <w:p w14:paraId="3B8DC1CC" w14:textId="02064FCB" w:rsidR="00826266" w:rsidRPr="001D3DB1" w:rsidRDefault="00AD560C" w:rsidP="008D2276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>V průběhu studie VICTORIA bylo průměrné snížení systolického tlaku přibližně o 1 až 2 </w:t>
      </w:r>
      <w:proofErr w:type="spellStart"/>
      <w:r w:rsidRPr="001D3DB1">
        <w:t>mmHg</w:t>
      </w:r>
      <w:proofErr w:type="spellEnd"/>
      <w:r w:rsidRPr="001D3DB1">
        <w:t xml:space="preserve"> větší u pacientů, kteří dostávali </w:t>
      </w:r>
      <w:proofErr w:type="spellStart"/>
      <w:r w:rsidRPr="001D3DB1">
        <w:t>vericig</w:t>
      </w:r>
      <w:r w:rsidR="00DA3AC5">
        <w:t>u</w:t>
      </w:r>
      <w:r w:rsidR="00FD5E25">
        <w:t>á</w:t>
      </w:r>
      <w:r w:rsidRPr="001D3DB1">
        <w:t>t</w:t>
      </w:r>
      <w:proofErr w:type="spellEnd"/>
      <w:r w:rsidRPr="001D3DB1">
        <w:t xml:space="preserve">, ve srovnání s pacienty, kteří dostávali placebo. Ve studii VICTORIA byla hypotenze hlášena u 16,4 % pacientů léčených </w:t>
      </w:r>
      <w:proofErr w:type="spellStart"/>
      <w:r w:rsidR="005C2A55">
        <w:t>vericig</w:t>
      </w:r>
      <w:r w:rsidR="005B4BFC">
        <w:t>u</w:t>
      </w:r>
      <w:r w:rsidR="005C2A55">
        <w:t>átem</w:t>
      </w:r>
      <w:proofErr w:type="spellEnd"/>
      <w:r w:rsidRPr="001D3DB1">
        <w:t xml:space="preserve"> ve srovnání se 14,9 % u pacientů léčených placebem. Tyto údaje se týkají také ortostatické hypotenze, která byla hlášena u 1,3 % pacientů léčených </w:t>
      </w:r>
      <w:proofErr w:type="spellStart"/>
      <w:r w:rsidR="005C2A55">
        <w:t>vericig</w:t>
      </w:r>
      <w:r w:rsidR="005B4BFC">
        <w:t>u</w:t>
      </w:r>
      <w:r w:rsidR="005C2A55">
        <w:t>átem</w:t>
      </w:r>
      <w:proofErr w:type="spellEnd"/>
      <w:r w:rsidRPr="001D3DB1">
        <w:t xml:space="preserve"> ve srovnání s 1,0 % u pacientů léčených placebem. Symptomatická hypotenze byla hlášena u 9,1 % pacientů léčených </w:t>
      </w:r>
      <w:proofErr w:type="spellStart"/>
      <w:r w:rsidR="005C2A55">
        <w:t>vericig</w:t>
      </w:r>
      <w:r w:rsidR="005B4BFC">
        <w:t>u</w:t>
      </w:r>
      <w:r w:rsidR="005C2A55">
        <w:t>átem</w:t>
      </w:r>
      <w:proofErr w:type="spellEnd"/>
      <w:r w:rsidRPr="001D3DB1">
        <w:t xml:space="preserve"> a u 7,9 % pacientů léčených placebem a byla považována za závažnou nežádoucí příhodu u 1,2 % pacientů léčených </w:t>
      </w:r>
      <w:proofErr w:type="spellStart"/>
      <w:r w:rsidR="005C2A55">
        <w:t>vericig</w:t>
      </w:r>
      <w:r w:rsidR="005B4BFC">
        <w:t>u</w:t>
      </w:r>
      <w:r w:rsidR="005C2A55">
        <w:t>átem</w:t>
      </w:r>
      <w:proofErr w:type="spellEnd"/>
      <w:r w:rsidRPr="001D3DB1">
        <w:t xml:space="preserve"> a 1,5 % pacientů léčených placebem (viz bod 4.4).</w:t>
      </w:r>
    </w:p>
    <w:p w14:paraId="485088F3" w14:textId="77777777" w:rsidR="00327308" w:rsidRPr="001D3DB1" w:rsidRDefault="00327308" w:rsidP="00327308">
      <w:pPr>
        <w:widowControl w:val="0"/>
        <w:autoSpaceDE w:val="0"/>
        <w:autoSpaceDN w:val="0"/>
        <w:adjustRightInd w:val="0"/>
        <w:spacing w:line="240" w:lineRule="auto"/>
        <w:rPr>
          <w:szCs w:val="22"/>
        </w:rPr>
      </w:pPr>
    </w:p>
    <w:p w14:paraId="54A2A3F3" w14:textId="77777777" w:rsidR="00033D26" w:rsidRPr="001D3DB1" w:rsidRDefault="00033D26" w:rsidP="00F40ABD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D3DB1">
        <w:rPr>
          <w:u w:val="single"/>
        </w:rPr>
        <w:lastRenderedPageBreak/>
        <w:t>Hlášení podezření na nežádoucí účinky</w:t>
      </w:r>
    </w:p>
    <w:p w14:paraId="7E787AAA" w14:textId="77777777" w:rsidR="00092975" w:rsidRPr="001D3DB1" w:rsidRDefault="00092975" w:rsidP="00460E66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0C70340F" w14:textId="77777777" w:rsidR="003606AA" w:rsidRPr="00FE5CB3" w:rsidRDefault="00033D26" w:rsidP="003606AA">
      <w:pPr>
        <w:keepNext/>
        <w:keepLines/>
        <w:autoSpaceDE w:val="0"/>
        <w:autoSpaceDN w:val="0"/>
        <w:adjustRightInd w:val="0"/>
        <w:rPr>
          <w:lang w:val="en-US"/>
        </w:rPr>
      </w:pPr>
      <w:r w:rsidRPr="001D3DB1">
        <w:t>Hlášení podezření na nežádoucí účinky po registraci léčivého přípravku je důležité. Umožňuje to pokračovat ve sledování poměru přínosů a</w:t>
      </w:r>
      <w:r w:rsidR="006D5B97" w:rsidRPr="001D3DB1">
        <w:t> </w:t>
      </w:r>
      <w:r w:rsidRPr="001D3DB1">
        <w:t xml:space="preserve">rizik léčivého přípravku. Žádáme zdravotnické pracovníky, aby hlásili podezření na nežádoucí účinky </w:t>
      </w:r>
      <w:r w:rsidRPr="00F914ED">
        <w:t xml:space="preserve">prostřednictvím </w:t>
      </w:r>
      <w:proofErr w:type="spellStart"/>
      <w:r w:rsidR="003606AA" w:rsidRPr="00FE5CB3">
        <w:rPr>
          <w:lang w:val="en-US"/>
        </w:rPr>
        <w:t>webového</w:t>
      </w:r>
      <w:proofErr w:type="spellEnd"/>
      <w:r w:rsidR="003606AA" w:rsidRPr="00FE5CB3">
        <w:rPr>
          <w:lang w:val="en-US"/>
        </w:rPr>
        <w:t xml:space="preserve"> </w:t>
      </w:r>
      <w:proofErr w:type="spellStart"/>
      <w:r w:rsidR="003606AA" w:rsidRPr="00FE5CB3">
        <w:rPr>
          <w:lang w:val="en-US"/>
        </w:rPr>
        <w:t>formuláře</w:t>
      </w:r>
      <w:proofErr w:type="spellEnd"/>
      <w:r w:rsidR="003606AA" w:rsidRPr="00FE5CB3">
        <w:rPr>
          <w:lang w:val="en-US"/>
        </w:rPr>
        <w:t> </w:t>
      </w:r>
      <w:hyperlink r:id="rId15" w:history="1">
        <w:r w:rsidR="003606AA" w:rsidRPr="00FE5CB3">
          <w:rPr>
            <w:rStyle w:val="Hypertextovodkaz"/>
            <w:lang w:val="en-US"/>
          </w:rPr>
          <w:t>sukl.gov.cz/</w:t>
        </w:r>
        <w:proofErr w:type="spellStart"/>
        <w:r w:rsidR="003606AA" w:rsidRPr="00FE5CB3">
          <w:rPr>
            <w:rStyle w:val="Hypertextovodkaz"/>
            <w:lang w:val="en-US"/>
          </w:rPr>
          <w:t>nezadouciucinky</w:t>
        </w:r>
        <w:proofErr w:type="spellEnd"/>
      </w:hyperlink>
    </w:p>
    <w:p w14:paraId="4789E05E" w14:textId="77777777" w:rsidR="003606AA" w:rsidRPr="00FE5CB3" w:rsidRDefault="003606AA" w:rsidP="003606AA">
      <w:pPr>
        <w:keepNext/>
        <w:keepLines/>
        <w:autoSpaceDE w:val="0"/>
        <w:autoSpaceDN w:val="0"/>
        <w:adjustRightInd w:val="0"/>
        <w:spacing w:line="240" w:lineRule="auto"/>
        <w:rPr>
          <w:lang w:val="en-US"/>
        </w:rPr>
      </w:pPr>
      <w:proofErr w:type="spellStart"/>
      <w:r w:rsidRPr="00FE5CB3">
        <w:rPr>
          <w:lang w:val="en-US"/>
        </w:rPr>
        <w:t>případně</w:t>
      </w:r>
      <w:proofErr w:type="spellEnd"/>
      <w:r w:rsidRPr="00FE5CB3">
        <w:rPr>
          <w:lang w:val="en-US"/>
        </w:rPr>
        <w:t xml:space="preserve"> </w:t>
      </w:r>
      <w:proofErr w:type="spellStart"/>
      <w:r w:rsidRPr="00FE5CB3">
        <w:rPr>
          <w:lang w:val="en-US"/>
        </w:rPr>
        <w:t>na</w:t>
      </w:r>
      <w:proofErr w:type="spellEnd"/>
      <w:r w:rsidRPr="00FE5CB3">
        <w:rPr>
          <w:lang w:val="en-US"/>
        </w:rPr>
        <w:t xml:space="preserve"> </w:t>
      </w:r>
      <w:proofErr w:type="spellStart"/>
      <w:r w:rsidRPr="00FE5CB3">
        <w:rPr>
          <w:lang w:val="en-US"/>
        </w:rPr>
        <w:t>adresu</w:t>
      </w:r>
      <w:proofErr w:type="spellEnd"/>
      <w:r w:rsidRPr="00FE5CB3">
        <w:rPr>
          <w:lang w:val="en-US"/>
        </w:rPr>
        <w:t>:</w:t>
      </w:r>
    </w:p>
    <w:p w14:paraId="0C38F879" w14:textId="77777777" w:rsidR="00F914ED" w:rsidRDefault="003606AA" w:rsidP="003606AA">
      <w:pPr>
        <w:keepNext/>
        <w:keepLines/>
        <w:autoSpaceDE w:val="0"/>
        <w:autoSpaceDN w:val="0"/>
        <w:adjustRightInd w:val="0"/>
        <w:spacing w:line="240" w:lineRule="auto"/>
        <w:rPr>
          <w:lang w:val="en-US"/>
        </w:rPr>
      </w:pPr>
      <w:proofErr w:type="spellStart"/>
      <w:r w:rsidRPr="00FE5CB3">
        <w:rPr>
          <w:lang w:val="en-US"/>
        </w:rPr>
        <w:t>Státní</w:t>
      </w:r>
      <w:proofErr w:type="spellEnd"/>
      <w:r w:rsidRPr="00FE5CB3">
        <w:rPr>
          <w:lang w:val="en-US"/>
        </w:rPr>
        <w:t xml:space="preserve"> </w:t>
      </w:r>
      <w:proofErr w:type="spellStart"/>
      <w:r w:rsidRPr="00FE5CB3">
        <w:rPr>
          <w:lang w:val="en-US"/>
        </w:rPr>
        <w:t>ústav</w:t>
      </w:r>
      <w:proofErr w:type="spellEnd"/>
      <w:r w:rsidRPr="00FE5CB3">
        <w:rPr>
          <w:lang w:val="en-US"/>
        </w:rPr>
        <w:t xml:space="preserve"> pro </w:t>
      </w:r>
      <w:proofErr w:type="spellStart"/>
      <w:r w:rsidRPr="00FE5CB3">
        <w:rPr>
          <w:lang w:val="en-US"/>
        </w:rPr>
        <w:t>kontrolu</w:t>
      </w:r>
      <w:proofErr w:type="spellEnd"/>
      <w:r w:rsidRPr="00FE5CB3">
        <w:rPr>
          <w:lang w:val="en-US"/>
        </w:rPr>
        <w:t xml:space="preserve"> </w:t>
      </w:r>
      <w:proofErr w:type="spellStart"/>
      <w:r w:rsidRPr="00FE5CB3">
        <w:rPr>
          <w:lang w:val="en-US"/>
        </w:rPr>
        <w:t>léčiv</w:t>
      </w:r>
      <w:proofErr w:type="spellEnd"/>
      <w:r w:rsidRPr="00FE5CB3">
        <w:rPr>
          <w:lang w:val="en-US"/>
        </w:rPr>
        <w:br/>
      </w:r>
      <w:proofErr w:type="spellStart"/>
      <w:r w:rsidRPr="00FE5CB3">
        <w:rPr>
          <w:lang w:val="en-US"/>
        </w:rPr>
        <w:t>Šrobárova</w:t>
      </w:r>
      <w:proofErr w:type="spellEnd"/>
      <w:r w:rsidRPr="00FE5CB3">
        <w:rPr>
          <w:lang w:val="en-US"/>
        </w:rPr>
        <w:t xml:space="preserve"> 49/48</w:t>
      </w:r>
      <w:r w:rsidRPr="00FE5CB3">
        <w:rPr>
          <w:lang w:val="en-US"/>
        </w:rPr>
        <w:br/>
        <w:t>100 00 Praha 10</w:t>
      </w:r>
    </w:p>
    <w:p w14:paraId="0F71437A" w14:textId="2B3786BE" w:rsidR="003606AA" w:rsidRPr="00FE5CB3" w:rsidRDefault="003606AA" w:rsidP="003606AA">
      <w:pPr>
        <w:keepNext/>
        <w:keepLines/>
        <w:autoSpaceDE w:val="0"/>
        <w:autoSpaceDN w:val="0"/>
        <w:adjustRightInd w:val="0"/>
        <w:spacing w:line="240" w:lineRule="auto"/>
        <w:rPr>
          <w:lang w:val="en-US"/>
        </w:rPr>
      </w:pPr>
      <w:r w:rsidRPr="00FE5CB3">
        <w:rPr>
          <w:lang w:val="en-US"/>
        </w:rPr>
        <w:br/>
        <w:t>e-mail: </w:t>
      </w:r>
      <w:hyperlink r:id="rId16" w:tgtFrame="_blank" w:history="1">
        <w:r w:rsidRPr="00FE5CB3">
          <w:rPr>
            <w:rStyle w:val="Hypertextovodkaz"/>
            <w:lang w:val="en-US"/>
          </w:rPr>
          <w:t>farmakovigilance@sukl.gov.cz</w:t>
        </w:r>
      </w:hyperlink>
    </w:p>
    <w:p w14:paraId="6F06C058" w14:textId="4AF50679" w:rsidR="008D35AD" w:rsidRPr="001D3DB1" w:rsidRDefault="008D35AD" w:rsidP="00BF26D2">
      <w:pPr>
        <w:keepNext/>
        <w:keepLines/>
        <w:autoSpaceDE w:val="0"/>
        <w:autoSpaceDN w:val="0"/>
        <w:adjustRightInd w:val="0"/>
        <w:spacing w:line="240" w:lineRule="auto"/>
      </w:pPr>
    </w:p>
    <w:p w14:paraId="710DE215" w14:textId="77777777" w:rsidR="00DD3024" w:rsidRPr="001D3DB1" w:rsidRDefault="00DD3024" w:rsidP="00DF288F">
      <w:pPr>
        <w:autoSpaceDE w:val="0"/>
        <w:autoSpaceDN w:val="0"/>
        <w:adjustRightInd w:val="0"/>
        <w:spacing w:line="240" w:lineRule="auto"/>
      </w:pPr>
    </w:p>
    <w:p w14:paraId="3CA7320C" w14:textId="77777777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b/>
          <w:szCs w:val="22"/>
        </w:rPr>
      </w:pPr>
      <w:r w:rsidRPr="001D3DB1">
        <w:rPr>
          <w:b/>
        </w:rPr>
        <w:t>4.9</w:t>
      </w:r>
      <w:r w:rsidRPr="001D3DB1">
        <w:rPr>
          <w:b/>
        </w:rPr>
        <w:tab/>
        <w:t>Předávkování</w:t>
      </w:r>
    </w:p>
    <w:p w14:paraId="7537B7EB" w14:textId="77777777" w:rsidR="00A14126" w:rsidRPr="001D3DB1" w:rsidRDefault="00A14126" w:rsidP="005C20AF">
      <w:pPr>
        <w:keepNext/>
        <w:rPr>
          <w:rFonts w:cs="Arial"/>
          <w:szCs w:val="22"/>
        </w:rPr>
      </w:pPr>
    </w:p>
    <w:p w14:paraId="7597B019" w14:textId="350631BD" w:rsidR="008779CE" w:rsidRPr="001D3DB1" w:rsidRDefault="008B7E81" w:rsidP="005C20AF">
      <w:pPr>
        <w:keepNext/>
        <w:rPr>
          <w:rFonts w:cs="Arial"/>
          <w:szCs w:val="22"/>
        </w:rPr>
      </w:pPr>
      <w:r w:rsidRPr="001D3DB1">
        <w:rPr>
          <w:rFonts w:eastAsia="SimSun"/>
        </w:rPr>
        <w:t xml:space="preserve">Předávkování </w:t>
      </w:r>
      <w:proofErr w:type="spellStart"/>
      <w:r w:rsidR="005C2A55">
        <w:rPr>
          <w:rFonts w:eastAsia="SimSun"/>
        </w:rPr>
        <w:t>vericig</w:t>
      </w:r>
      <w:r w:rsidR="008013E7">
        <w:rPr>
          <w:rFonts w:eastAsia="SimSun"/>
        </w:rPr>
        <w:t>u</w:t>
      </w:r>
      <w:r w:rsidR="005C2A55">
        <w:rPr>
          <w:rFonts w:eastAsia="SimSun"/>
        </w:rPr>
        <w:t>átem</w:t>
      </w:r>
      <w:proofErr w:type="spellEnd"/>
      <w:r w:rsidRPr="001D3DB1">
        <w:rPr>
          <w:rFonts w:eastAsia="SimSun"/>
        </w:rPr>
        <w:t xml:space="preserve"> může vést k hypotenzi. Pokud to bude nezbytné, je třeba podávat symptomatickou léčbu. Vzhledem k tomu, že tento léčivý přípravek je vysoce vázán na proteiny, je nepravděpodobné, že by mohl být odstraněn dialýzou.</w:t>
      </w:r>
    </w:p>
    <w:p w14:paraId="574BA77E" w14:textId="77777777" w:rsidR="00812D16" w:rsidRPr="001D3DB1" w:rsidRDefault="00812D16" w:rsidP="00D6067C">
      <w:pPr>
        <w:keepNext/>
        <w:spacing w:line="240" w:lineRule="auto"/>
        <w:rPr>
          <w:szCs w:val="22"/>
        </w:rPr>
      </w:pPr>
    </w:p>
    <w:p w14:paraId="0C6562B8" w14:textId="77777777" w:rsidR="00812D16" w:rsidRPr="001D3DB1" w:rsidRDefault="00812D16" w:rsidP="00204AAB">
      <w:pPr>
        <w:spacing w:line="240" w:lineRule="auto"/>
      </w:pPr>
    </w:p>
    <w:p w14:paraId="2888ED6F" w14:textId="77777777" w:rsidR="00812D16" w:rsidRPr="001D3DB1" w:rsidRDefault="00812D16" w:rsidP="005954DA">
      <w:pPr>
        <w:keepNext/>
        <w:suppressAutoHyphens/>
        <w:spacing w:line="240" w:lineRule="auto"/>
        <w:ind w:left="567" w:hanging="567"/>
        <w:outlineLvl w:val="1"/>
      </w:pPr>
      <w:r w:rsidRPr="001D3DB1">
        <w:rPr>
          <w:b/>
        </w:rPr>
        <w:t>5.</w:t>
      </w:r>
      <w:r w:rsidRPr="001D3DB1">
        <w:rPr>
          <w:b/>
        </w:rPr>
        <w:tab/>
        <w:t>FARMAKOLOGICKÉ VLASTNOSTI</w:t>
      </w:r>
    </w:p>
    <w:p w14:paraId="280984D5" w14:textId="77777777" w:rsidR="00812D16" w:rsidRPr="001D3DB1" w:rsidRDefault="00812D16" w:rsidP="00F40ABD">
      <w:pPr>
        <w:keepNext/>
        <w:spacing w:line="240" w:lineRule="auto"/>
      </w:pPr>
    </w:p>
    <w:p w14:paraId="10399A20" w14:textId="5F8D28F4" w:rsidR="00812D16" w:rsidRPr="001D3DB1" w:rsidRDefault="00812D16" w:rsidP="005954DA">
      <w:pPr>
        <w:keepNext/>
        <w:spacing w:line="240" w:lineRule="auto"/>
        <w:ind w:left="567" w:hanging="567"/>
        <w:outlineLvl w:val="2"/>
      </w:pPr>
      <w:r w:rsidRPr="001D3DB1">
        <w:rPr>
          <w:b/>
        </w:rPr>
        <w:t>5.1</w:t>
      </w:r>
      <w:r w:rsidRPr="001D3DB1">
        <w:rPr>
          <w:b/>
        </w:rPr>
        <w:tab/>
        <w:t>Farmakodynamické vlastnosti</w:t>
      </w:r>
    </w:p>
    <w:p w14:paraId="0CDA80B0" w14:textId="77777777" w:rsidR="00812D16" w:rsidRPr="001D3DB1" w:rsidRDefault="00812D16" w:rsidP="00F40ABD">
      <w:pPr>
        <w:keepNext/>
        <w:spacing w:line="240" w:lineRule="auto"/>
      </w:pPr>
    </w:p>
    <w:p w14:paraId="3587A938" w14:textId="468AC4E3" w:rsidR="00812D16" w:rsidRPr="001D3DB1" w:rsidRDefault="00812D16" w:rsidP="00DF288F">
      <w:pPr>
        <w:keepNext/>
        <w:spacing w:line="240" w:lineRule="auto"/>
        <w:rPr>
          <w:szCs w:val="22"/>
        </w:rPr>
      </w:pPr>
      <w:r w:rsidRPr="001D3DB1">
        <w:t xml:space="preserve">Farmakoterapeutická skupina: Kardiaka, jiná </w:t>
      </w:r>
      <w:proofErr w:type="spellStart"/>
      <w:r w:rsidRPr="001D3DB1">
        <w:t>vazodilatancia</w:t>
      </w:r>
      <w:proofErr w:type="spellEnd"/>
      <w:r w:rsidRPr="001D3DB1">
        <w:t xml:space="preserve"> používaná u onemocnění srdce, ATC kód: C01DX22</w:t>
      </w:r>
    </w:p>
    <w:p w14:paraId="3073958C" w14:textId="77777777" w:rsidR="00812D16" w:rsidRPr="001D3DB1" w:rsidRDefault="00812D16" w:rsidP="00D6067C">
      <w:pPr>
        <w:autoSpaceDE w:val="0"/>
        <w:autoSpaceDN w:val="0"/>
        <w:adjustRightInd w:val="0"/>
        <w:spacing w:line="240" w:lineRule="auto"/>
        <w:rPr>
          <w:b/>
          <w:szCs w:val="22"/>
        </w:rPr>
      </w:pPr>
    </w:p>
    <w:p w14:paraId="5D3CEB48" w14:textId="77777777" w:rsidR="00812D16" w:rsidRPr="001D3DB1" w:rsidRDefault="00812D16" w:rsidP="00F40ABD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D3DB1">
        <w:rPr>
          <w:u w:val="single"/>
        </w:rPr>
        <w:t>Mechanismus účinku</w:t>
      </w:r>
    </w:p>
    <w:p w14:paraId="051B17AE" w14:textId="77777777" w:rsidR="00F40ABD" w:rsidRPr="001D3DB1" w:rsidRDefault="00F40ABD" w:rsidP="00F40ABD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7B681E9C" w14:textId="58E2D274" w:rsidR="002A2E06" w:rsidRPr="001D3DB1" w:rsidRDefault="002A2E06" w:rsidP="00F40ABD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1D3DB1">
        <w:t>Vericig</w:t>
      </w:r>
      <w:r w:rsidR="008013E7">
        <w:t>u</w:t>
      </w:r>
      <w:r w:rsidR="00FD5E25">
        <w:t>á</w:t>
      </w:r>
      <w:r w:rsidRPr="001D3DB1">
        <w:t>t</w:t>
      </w:r>
      <w:proofErr w:type="spellEnd"/>
      <w:r w:rsidRPr="001D3DB1">
        <w:t xml:space="preserve"> je stimulátor solubilní </w:t>
      </w:r>
      <w:proofErr w:type="spellStart"/>
      <w:r w:rsidRPr="001D3DB1">
        <w:t>guanylátcyklázy</w:t>
      </w:r>
      <w:proofErr w:type="spellEnd"/>
      <w:r w:rsidRPr="001D3DB1">
        <w:t xml:space="preserve"> (</w:t>
      </w:r>
      <w:proofErr w:type="spellStart"/>
      <w:r w:rsidRPr="001D3DB1">
        <w:t>sGC</w:t>
      </w:r>
      <w:proofErr w:type="spellEnd"/>
      <w:r w:rsidRPr="001D3DB1">
        <w:t xml:space="preserve">). Srdeční selhání je spojeno s narušenou syntézou oxidu dusnatého (NO) a sníženou aktivitou jeho receptoru, kterým je </w:t>
      </w:r>
      <w:proofErr w:type="spellStart"/>
      <w:r w:rsidRPr="001D3DB1">
        <w:t>sGC</w:t>
      </w:r>
      <w:proofErr w:type="spellEnd"/>
      <w:r w:rsidRPr="001D3DB1">
        <w:t>. Deficit cyklického guanosin-</w:t>
      </w:r>
      <w:proofErr w:type="spellStart"/>
      <w:r w:rsidRPr="001D3DB1">
        <w:t>monofosfátu</w:t>
      </w:r>
      <w:proofErr w:type="spellEnd"/>
      <w:r w:rsidRPr="001D3DB1">
        <w:t xml:space="preserve"> (</w:t>
      </w:r>
      <w:proofErr w:type="spellStart"/>
      <w:r w:rsidRPr="001D3DB1">
        <w:t>cGMP</w:t>
      </w:r>
      <w:proofErr w:type="spellEnd"/>
      <w:r w:rsidRPr="001D3DB1">
        <w:t xml:space="preserve">), jehož vznik je katalyzován </w:t>
      </w:r>
      <w:proofErr w:type="spellStart"/>
      <w:r w:rsidRPr="001D3DB1">
        <w:t>sGC</w:t>
      </w:r>
      <w:proofErr w:type="spellEnd"/>
      <w:r w:rsidRPr="001D3DB1">
        <w:t xml:space="preserve">, přispívá k dysfunkci myokardu a cévní dysfunkci. </w:t>
      </w:r>
      <w:proofErr w:type="spellStart"/>
      <w:r w:rsidRPr="001D3DB1">
        <w:t>Vericig</w:t>
      </w:r>
      <w:r w:rsidR="00DA3AC5">
        <w:t>u</w:t>
      </w:r>
      <w:r w:rsidR="00FD5E25">
        <w:t>á</w:t>
      </w:r>
      <w:r w:rsidRPr="001D3DB1">
        <w:t>t</w:t>
      </w:r>
      <w:proofErr w:type="spellEnd"/>
      <w:r w:rsidRPr="001D3DB1">
        <w:t xml:space="preserve"> obnovuje poměry (kompenzuje deficit) v signální cestě NO-</w:t>
      </w:r>
      <w:proofErr w:type="spellStart"/>
      <w:r w:rsidRPr="001D3DB1">
        <w:t>sGC</w:t>
      </w:r>
      <w:proofErr w:type="spellEnd"/>
      <w:r w:rsidRPr="001D3DB1">
        <w:t>-</w:t>
      </w:r>
      <w:proofErr w:type="spellStart"/>
      <w:r w:rsidRPr="001D3DB1">
        <w:t>cGMP</w:t>
      </w:r>
      <w:proofErr w:type="spellEnd"/>
      <w:r w:rsidRPr="001D3DB1">
        <w:t xml:space="preserve"> tím, že přímo stimuluje </w:t>
      </w:r>
      <w:proofErr w:type="spellStart"/>
      <w:r w:rsidRPr="001D3DB1">
        <w:t>sGC</w:t>
      </w:r>
      <w:proofErr w:type="spellEnd"/>
      <w:r w:rsidRPr="001D3DB1">
        <w:t xml:space="preserve">, nezávisle na NO a synergicky s NO, čímž se zvyšují hladiny intracelulárního </w:t>
      </w:r>
      <w:proofErr w:type="spellStart"/>
      <w:r w:rsidRPr="001D3DB1">
        <w:t>cGMP</w:t>
      </w:r>
      <w:proofErr w:type="spellEnd"/>
      <w:r w:rsidRPr="001D3DB1">
        <w:t>, což může zlepšovat jak funkci myokardu, tak cév.</w:t>
      </w:r>
    </w:p>
    <w:p w14:paraId="646B53E9" w14:textId="77777777" w:rsidR="002F4F20" w:rsidRPr="001D3DB1" w:rsidRDefault="002F4F20" w:rsidP="00C24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ko-KR"/>
        </w:rPr>
      </w:pPr>
    </w:p>
    <w:p w14:paraId="047EFA9F" w14:textId="77777777" w:rsidR="00812D16" w:rsidRPr="001D3DB1" w:rsidRDefault="00812D16" w:rsidP="00F40ABD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D3DB1">
        <w:rPr>
          <w:u w:val="single"/>
        </w:rPr>
        <w:t>Farmakodynamické účinky</w:t>
      </w:r>
    </w:p>
    <w:p w14:paraId="16616B99" w14:textId="77777777" w:rsidR="00D84FD1" w:rsidRPr="001D3DB1" w:rsidRDefault="00D84FD1" w:rsidP="00D84FD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32698B26" w14:textId="10B0A215" w:rsidR="00D84FD1" w:rsidRPr="001D3DB1" w:rsidRDefault="00D84FD1" w:rsidP="00D84FD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 xml:space="preserve">Farmakodynamické účinky </w:t>
      </w:r>
      <w:proofErr w:type="spellStart"/>
      <w:r w:rsidR="003F36AA">
        <w:t>vericig</w:t>
      </w:r>
      <w:r w:rsidR="008013E7">
        <w:t>u</w:t>
      </w:r>
      <w:r w:rsidR="003F36AA">
        <w:t>átu</w:t>
      </w:r>
      <w:proofErr w:type="spellEnd"/>
      <w:r w:rsidRPr="001D3DB1">
        <w:t xml:space="preserve"> odpovídají mechanismu účinku stimulátoru </w:t>
      </w:r>
      <w:proofErr w:type="spellStart"/>
      <w:r w:rsidRPr="001D3DB1">
        <w:t>sGC</w:t>
      </w:r>
      <w:proofErr w:type="spellEnd"/>
      <w:r w:rsidRPr="001D3DB1">
        <w:t>, což ved</w:t>
      </w:r>
      <w:r w:rsidR="00990D84">
        <w:t>e</w:t>
      </w:r>
      <w:r w:rsidRPr="001D3DB1">
        <w:t xml:space="preserve"> k relaxaci hladkého svalstva a vazodilataci.</w:t>
      </w:r>
    </w:p>
    <w:p w14:paraId="160BFDFC" w14:textId="77777777" w:rsidR="00D84FD1" w:rsidRPr="001D3DB1" w:rsidRDefault="00D84FD1" w:rsidP="00C70EEE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651B6378" w14:textId="29C22AF3" w:rsidR="00D84FD1" w:rsidRPr="001D3DB1" w:rsidRDefault="00D84FD1" w:rsidP="00D84FD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 xml:space="preserve">Ve 12týdenní placebem kontrolované studii pro stanovení dávek (SOCRATES-REDUCED) u pacientů se srdečním selháním vedlo podávání </w:t>
      </w:r>
      <w:proofErr w:type="spellStart"/>
      <w:r w:rsidR="003F36AA">
        <w:t>vericig</w:t>
      </w:r>
      <w:r w:rsidR="008013E7">
        <w:t>u</w:t>
      </w:r>
      <w:r w:rsidR="003F36AA">
        <w:t>átu</w:t>
      </w:r>
      <w:proofErr w:type="spellEnd"/>
      <w:r w:rsidRPr="001D3DB1">
        <w:t xml:space="preserve"> přidaného ke standardní </w:t>
      </w:r>
      <w:r w:rsidR="00756F18">
        <w:t>léčbě k</w:t>
      </w:r>
      <w:r w:rsidR="00B53573">
        <w:t xml:space="preserve"> na </w:t>
      </w:r>
      <w:r w:rsidR="00743BED">
        <w:t>dávce</w:t>
      </w:r>
      <w:r w:rsidR="00756F18">
        <w:t xml:space="preserve"> závislému snížení hladiny biomarkeru srdečního selhání NT-</w:t>
      </w:r>
      <w:proofErr w:type="spellStart"/>
      <w:r w:rsidR="00756F18">
        <w:t>proBNP</w:t>
      </w:r>
      <w:proofErr w:type="spellEnd"/>
      <w:r w:rsidR="00756F18">
        <w:t>, v porovnání s placebem.</w:t>
      </w:r>
      <w:r w:rsidRPr="001D3DB1">
        <w:t xml:space="preserve"> Ve studii VICTORIA bylo odhadované snížení NT-</w:t>
      </w:r>
      <w:proofErr w:type="spellStart"/>
      <w:r w:rsidRPr="001D3DB1">
        <w:t>proBNP</w:t>
      </w:r>
      <w:proofErr w:type="spellEnd"/>
      <w:r w:rsidRPr="001D3DB1">
        <w:t xml:space="preserve"> oproti výchozí hodnotě ve 32. týdnu větší u pacientů, kteří dostávali </w:t>
      </w:r>
      <w:proofErr w:type="spellStart"/>
      <w:r w:rsidRPr="001D3DB1">
        <w:t>vericig</w:t>
      </w:r>
      <w:r w:rsidR="00607F1F">
        <w:t>u</w:t>
      </w:r>
      <w:r w:rsidR="00756F18">
        <w:t>á</w:t>
      </w:r>
      <w:r w:rsidRPr="001D3DB1">
        <w:t>t</w:t>
      </w:r>
      <w:proofErr w:type="spellEnd"/>
      <w:r w:rsidRPr="001D3DB1">
        <w:t>, ve srovnání s pacienty, kteří dostávali placebo (viz klinická účinnost a bezpečnost).</w:t>
      </w:r>
    </w:p>
    <w:p w14:paraId="66C3D1E7" w14:textId="77777777" w:rsidR="00D84FD1" w:rsidRPr="001D3DB1" w:rsidRDefault="00D84FD1" w:rsidP="009D37A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0158668F" w14:textId="0119CF71" w:rsidR="00D84FD1" w:rsidRPr="001D3DB1" w:rsidRDefault="00D84FD1" w:rsidP="00D84FD1">
      <w:pPr>
        <w:keepNext/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1D3DB1">
        <w:rPr>
          <w:i/>
        </w:rPr>
        <w:t>Srdeční elektrofyziologie</w:t>
      </w:r>
    </w:p>
    <w:p w14:paraId="3763350C" w14:textId="18F66D8B" w:rsidR="00F40ABD" w:rsidRPr="001D3DB1" w:rsidRDefault="00A227C9" w:rsidP="00D84FD1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>Ve speciální studii zaměřené na QT</w:t>
      </w:r>
      <w:r w:rsidR="00756F18">
        <w:t xml:space="preserve"> interval</w:t>
      </w:r>
      <w:r w:rsidRPr="001D3DB1">
        <w:t xml:space="preserve"> u pacientů se stabilní ischemickou chorobou srdeční nevedlo podávání 10 mg </w:t>
      </w:r>
      <w:proofErr w:type="spellStart"/>
      <w:r w:rsidR="003F36AA">
        <w:t>vericig</w:t>
      </w:r>
      <w:r w:rsidR="00DA3AC5">
        <w:t>u</w:t>
      </w:r>
      <w:r w:rsidR="003F36AA">
        <w:t>átu</w:t>
      </w:r>
      <w:proofErr w:type="spellEnd"/>
      <w:r w:rsidRPr="001D3DB1">
        <w:t xml:space="preserve"> v ustáleném stavu k prodloužení QT </w:t>
      </w:r>
      <w:r w:rsidR="00756F18">
        <w:t xml:space="preserve">intervalu </w:t>
      </w:r>
      <w:r w:rsidRPr="001D3DB1">
        <w:t xml:space="preserve">v klinicky významné míře, tj. maximální průměrné prodloužení </w:t>
      </w:r>
      <w:proofErr w:type="spellStart"/>
      <w:r w:rsidRPr="001D3DB1">
        <w:t>QTcF</w:t>
      </w:r>
      <w:proofErr w:type="spellEnd"/>
      <w:r w:rsidR="00756F18">
        <w:t xml:space="preserve"> intervalu</w:t>
      </w:r>
      <w:r w:rsidRPr="001D3DB1">
        <w:t> nepřekročilo 6 </w:t>
      </w:r>
      <w:proofErr w:type="spellStart"/>
      <w:r w:rsidRPr="001D3DB1">
        <w:t>ms</w:t>
      </w:r>
      <w:proofErr w:type="spellEnd"/>
      <w:r w:rsidRPr="001D3DB1">
        <w:t xml:space="preserve"> (horní hranice </w:t>
      </w:r>
      <w:proofErr w:type="gramStart"/>
      <w:r w:rsidRPr="001D3DB1">
        <w:t>90%</w:t>
      </w:r>
      <w:proofErr w:type="gramEnd"/>
      <w:r w:rsidRPr="001D3DB1">
        <w:t> intervalu spolehlivosti [CI] &lt;10 </w:t>
      </w:r>
      <w:proofErr w:type="spellStart"/>
      <w:r w:rsidRPr="001D3DB1">
        <w:t>ms</w:t>
      </w:r>
      <w:proofErr w:type="spellEnd"/>
      <w:r w:rsidRPr="001D3DB1">
        <w:t>).</w:t>
      </w:r>
    </w:p>
    <w:p w14:paraId="73F6D092" w14:textId="77777777" w:rsidR="00D84FD1" w:rsidRPr="001D3DB1" w:rsidRDefault="00D84FD1" w:rsidP="00F05E42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EAC53B8" w14:textId="248A1EC5" w:rsidR="00812D16" w:rsidRPr="001D3DB1" w:rsidRDefault="00812D16" w:rsidP="00F05E42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1D3DB1">
        <w:rPr>
          <w:u w:val="single"/>
        </w:rPr>
        <w:lastRenderedPageBreak/>
        <w:t>Klinická účinnost a</w:t>
      </w:r>
      <w:r w:rsidR="006D5B97" w:rsidRPr="001D3DB1">
        <w:rPr>
          <w:u w:val="single"/>
        </w:rPr>
        <w:t> </w:t>
      </w:r>
      <w:r w:rsidRPr="001D3DB1">
        <w:rPr>
          <w:u w:val="single"/>
        </w:rPr>
        <w:t>bezpečnost</w:t>
      </w:r>
    </w:p>
    <w:p w14:paraId="14149C3A" w14:textId="77777777" w:rsidR="00F40ABD" w:rsidRPr="001D3DB1" w:rsidRDefault="00F40ABD" w:rsidP="00F05E42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75BA2380" w14:textId="4C92544A" w:rsidR="00F05E42" w:rsidRPr="001D3DB1" w:rsidRDefault="007D1E36" w:rsidP="00191B7F">
      <w:pPr>
        <w:pStyle w:val="Default"/>
        <w:keepNext/>
        <w:keepLines/>
        <w:rPr>
          <w:color w:val="auto"/>
          <w:sz w:val="22"/>
          <w:szCs w:val="22"/>
        </w:rPr>
      </w:pPr>
      <w:r w:rsidRPr="001D3DB1">
        <w:rPr>
          <w:sz w:val="22"/>
        </w:rPr>
        <w:t xml:space="preserve">Bezpečnost a účinnost </w:t>
      </w:r>
      <w:proofErr w:type="spellStart"/>
      <w:r w:rsidR="003F36AA">
        <w:rPr>
          <w:sz w:val="22"/>
        </w:rPr>
        <w:t>vericig</w:t>
      </w:r>
      <w:r w:rsidR="00DA3AC5">
        <w:rPr>
          <w:sz w:val="22"/>
        </w:rPr>
        <w:t>u</w:t>
      </w:r>
      <w:r w:rsidR="003F36AA">
        <w:rPr>
          <w:sz w:val="22"/>
        </w:rPr>
        <w:t>átu</w:t>
      </w:r>
      <w:proofErr w:type="spellEnd"/>
      <w:r w:rsidRPr="001D3DB1">
        <w:rPr>
          <w:sz w:val="22"/>
        </w:rPr>
        <w:t xml:space="preserve"> byly vyhodnoceny v randomizované, placebem kontrolované, dvojitě zaslepené, multicentrické </w:t>
      </w:r>
      <w:r w:rsidR="00515EEB">
        <w:rPr>
          <w:sz w:val="22"/>
        </w:rPr>
        <w:t>studii</w:t>
      </w:r>
      <w:r w:rsidRPr="001D3DB1">
        <w:rPr>
          <w:sz w:val="22"/>
        </w:rPr>
        <w:t xml:space="preserve"> typu event-</w:t>
      </w:r>
      <w:proofErr w:type="spellStart"/>
      <w:r w:rsidRPr="001D3DB1">
        <w:rPr>
          <w:sz w:val="22"/>
        </w:rPr>
        <w:t>driven</w:t>
      </w:r>
      <w:proofErr w:type="spellEnd"/>
      <w:r w:rsidRPr="001D3DB1">
        <w:rPr>
          <w:sz w:val="22"/>
        </w:rPr>
        <w:t xml:space="preserve"> s paralelními skupinami (VICTORIA), které porovnávalo </w:t>
      </w:r>
      <w:proofErr w:type="spellStart"/>
      <w:r w:rsidRPr="001D3DB1">
        <w:rPr>
          <w:sz w:val="22"/>
        </w:rPr>
        <w:t>vericig</w:t>
      </w:r>
      <w:r w:rsidR="00DA3AC5">
        <w:rPr>
          <w:sz w:val="22"/>
        </w:rPr>
        <w:t>u</w:t>
      </w:r>
      <w:r w:rsidR="00BB357F">
        <w:rPr>
          <w:sz w:val="22"/>
        </w:rPr>
        <w:t>á</w:t>
      </w:r>
      <w:r w:rsidRPr="001D3DB1">
        <w:rPr>
          <w:sz w:val="22"/>
        </w:rPr>
        <w:t>t</w:t>
      </w:r>
      <w:proofErr w:type="spellEnd"/>
      <w:r w:rsidRPr="001D3DB1">
        <w:rPr>
          <w:sz w:val="22"/>
        </w:rPr>
        <w:t xml:space="preserve"> a placebo u 5 050 dospělých pacientů se symptomatickým chronickým srdečním selháním (NYHA třída II–IV) a s ejekční frakcí levé srdeční komory (LVEF) nižší než 45 % po události zhoršeného srdečního selhání (HF).</w:t>
      </w:r>
      <w:r w:rsidRPr="001D3DB1">
        <w:rPr>
          <w:color w:val="auto"/>
          <w:sz w:val="22"/>
        </w:rPr>
        <w:t xml:space="preserve"> Událost zhoršeného chronického HF byla definována jako hospitalizace pro srdeční selhání během 6 měsíců před randomizací nebo užívání </w:t>
      </w:r>
      <w:proofErr w:type="spellStart"/>
      <w:r w:rsidRPr="001D3DB1">
        <w:rPr>
          <w:color w:val="auto"/>
          <w:sz w:val="22"/>
        </w:rPr>
        <w:t>i.v</w:t>
      </w:r>
      <w:proofErr w:type="spellEnd"/>
      <w:r w:rsidRPr="001D3DB1">
        <w:rPr>
          <w:color w:val="auto"/>
          <w:sz w:val="22"/>
        </w:rPr>
        <w:t>. diuretik ambulantními pacienty pro srdeční selhání během 3 měsíců před randomizací.</w:t>
      </w:r>
    </w:p>
    <w:p w14:paraId="00F0DBD1" w14:textId="77777777" w:rsidR="00F05E42" w:rsidRPr="001D3DB1" w:rsidRDefault="00F05E42" w:rsidP="00F05E42">
      <w:pPr>
        <w:pStyle w:val="Default"/>
        <w:rPr>
          <w:color w:val="auto"/>
          <w:sz w:val="22"/>
          <w:szCs w:val="22"/>
          <w:lang w:eastAsia="ja-JP"/>
        </w:rPr>
      </w:pPr>
    </w:p>
    <w:p w14:paraId="332D8D36" w14:textId="07726D78" w:rsidR="005E40C3" w:rsidRPr="001D3DB1" w:rsidRDefault="00F05E42" w:rsidP="002A5112">
      <w:pPr>
        <w:pStyle w:val="Default"/>
        <w:keepNext/>
        <w:rPr>
          <w:color w:val="auto"/>
          <w:sz w:val="22"/>
          <w:szCs w:val="22"/>
        </w:rPr>
      </w:pPr>
      <w:r w:rsidRPr="001D3DB1">
        <w:rPr>
          <w:color w:val="auto"/>
          <w:sz w:val="22"/>
        </w:rPr>
        <w:t xml:space="preserve">Pacienti byli léčeni dávkami až do cílové udržovací dávky </w:t>
      </w:r>
      <w:proofErr w:type="spellStart"/>
      <w:r w:rsidR="003F36AA">
        <w:rPr>
          <w:color w:val="auto"/>
          <w:sz w:val="22"/>
        </w:rPr>
        <w:t>vericig</w:t>
      </w:r>
      <w:r w:rsidR="00607F1F">
        <w:rPr>
          <w:color w:val="auto"/>
          <w:sz w:val="22"/>
        </w:rPr>
        <w:t>u</w:t>
      </w:r>
      <w:r w:rsidR="003F36AA">
        <w:rPr>
          <w:color w:val="auto"/>
          <w:sz w:val="22"/>
        </w:rPr>
        <w:t>átu</w:t>
      </w:r>
      <w:proofErr w:type="spellEnd"/>
      <w:r w:rsidRPr="001D3DB1">
        <w:rPr>
          <w:color w:val="auto"/>
          <w:sz w:val="22"/>
        </w:rPr>
        <w:t xml:space="preserve"> 10 mg jednou denně nebo odpovídajícím placebem v kombinaci s jinými terapiemi HF. Léčba byla zahájena dávkou 2,5 mg </w:t>
      </w:r>
      <w:proofErr w:type="spellStart"/>
      <w:r w:rsidR="003F36AA">
        <w:rPr>
          <w:color w:val="auto"/>
          <w:sz w:val="22"/>
        </w:rPr>
        <w:t>vericig</w:t>
      </w:r>
      <w:r w:rsidR="00DA3AC5">
        <w:rPr>
          <w:color w:val="auto"/>
          <w:sz w:val="22"/>
        </w:rPr>
        <w:t>u</w:t>
      </w:r>
      <w:r w:rsidR="003F36AA">
        <w:rPr>
          <w:color w:val="auto"/>
          <w:sz w:val="22"/>
        </w:rPr>
        <w:t>átu</w:t>
      </w:r>
      <w:proofErr w:type="spellEnd"/>
      <w:r w:rsidRPr="001D3DB1">
        <w:rPr>
          <w:color w:val="auto"/>
          <w:sz w:val="22"/>
        </w:rPr>
        <w:t xml:space="preserve"> jednou denně a zvyšována v </w:t>
      </w:r>
      <w:r w:rsidR="006A0F7D">
        <w:rPr>
          <w:color w:val="auto"/>
          <w:sz w:val="22"/>
        </w:rPr>
        <w:t xml:space="preserve">přibližně </w:t>
      </w:r>
      <w:r w:rsidRPr="001D3DB1">
        <w:rPr>
          <w:color w:val="auto"/>
          <w:sz w:val="22"/>
        </w:rPr>
        <w:t xml:space="preserve">2týdenních intervalech na 5 mg jednou denně a poté na 10 mg jednou denně, podle tolerance. Přibližně po 1 roce 89 % pacientů léčených </w:t>
      </w:r>
      <w:proofErr w:type="spellStart"/>
      <w:r w:rsidR="005C2A55">
        <w:rPr>
          <w:color w:val="auto"/>
          <w:sz w:val="22"/>
        </w:rPr>
        <w:t>vericig</w:t>
      </w:r>
      <w:r w:rsidR="00607F1F">
        <w:rPr>
          <w:color w:val="auto"/>
          <w:sz w:val="22"/>
        </w:rPr>
        <w:t>u</w:t>
      </w:r>
      <w:r w:rsidR="005C2A55">
        <w:rPr>
          <w:color w:val="auto"/>
          <w:sz w:val="22"/>
        </w:rPr>
        <w:t>átem</w:t>
      </w:r>
      <w:proofErr w:type="spellEnd"/>
      <w:r w:rsidRPr="001D3DB1">
        <w:rPr>
          <w:color w:val="auto"/>
          <w:sz w:val="22"/>
        </w:rPr>
        <w:t xml:space="preserve"> a 91 % pacientů léčených placebem dostávalo kromě jiných terapií na HF cílovou dávku 10 mg.</w:t>
      </w:r>
    </w:p>
    <w:p w14:paraId="758F1181" w14:textId="77777777" w:rsidR="005E40C3" w:rsidRPr="001D3DB1" w:rsidRDefault="005E40C3" w:rsidP="005E40C3">
      <w:pPr>
        <w:pStyle w:val="Default"/>
        <w:rPr>
          <w:sz w:val="22"/>
          <w:szCs w:val="22"/>
        </w:rPr>
      </w:pPr>
    </w:p>
    <w:p w14:paraId="0C9F72BF" w14:textId="4BDE4E83" w:rsidR="00F05E42" w:rsidRPr="001D3DB1" w:rsidRDefault="00F05E42" w:rsidP="002A5112">
      <w:pPr>
        <w:pStyle w:val="Default"/>
        <w:keepNext/>
        <w:rPr>
          <w:color w:val="auto"/>
          <w:sz w:val="22"/>
          <w:szCs w:val="22"/>
        </w:rPr>
      </w:pPr>
      <w:r w:rsidRPr="001D3DB1">
        <w:rPr>
          <w:color w:val="auto"/>
          <w:sz w:val="22"/>
        </w:rPr>
        <w:t xml:space="preserve">Primární cílový parametr byl složen z doby do první události úmrtí z kardiovaskulární příčiny (CV) nebo hospitalizace pro srdeční selhání (HF). Medián doby následného sledování kvůli primárnímu cílovému parametru byl 11 měsíců. Pacienti užívající </w:t>
      </w:r>
      <w:proofErr w:type="spellStart"/>
      <w:r w:rsidRPr="001D3DB1">
        <w:rPr>
          <w:color w:val="auto"/>
          <w:sz w:val="22"/>
        </w:rPr>
        <w:t>vericig</w:t>
      </w:r>
      <w:r w:rsidR="008F3606">
        <w:rPr>
          <w:color w:val="auto"/>
          <w:sz w:val="22"/>
        </w:rPr>
        <w:t>u</w:t>
      </w:r>
      <w:r w:rsidR="00FD5E25">
        <w:rPr>
          <w:color w:val="auto"/>
          <w:sz w:val="22"/>
        </w:rPr>
        <w:t>á</w:t>
      </w:r>
      <w:r w:rsidRPr="001D3DB1">
        <w:rPr>
          <w:color w:val="auto"/>
          <w:sz w:val="22"/>
        </w:rPr>
        <w:t>t</w:t>
      </w:r>
      <w:proofErr w:type="spellEnd"/>
      <w:r w:rsidRPr="001D3DB1">
        <w:rPr>
          <w:color w:val="auto"/>
          <w:sz w:val="22"/>
        </w:rPr>
        <w:t xml:space="preserve"> byli léčeni průměrně po dobu 1 roku a maximálně po dobu 2,6 roku.</w:t>
      </w:r>
    </w:p>
    <w:p w14:paraId="5C01C268" w14:textId="77777777" w:rsidR="00F05E42" w:rsidRPr="001D3DB1" w:rsidRDefault="00F05E42" w:rsidP="00F05E42">
      <w:pPr>
        <w:pStyle w:val="Default"/>
        <w:rPr>
          <w:color w:val="auto"/>
          <w:sz w:val="22"/>
          <w:szCs w:val="22"/>
          <w:lang w:eastAsia="ja-JP"/>
        </w:rPr>
      </w:pPr>
    </w:p>
    <w:p w14:paraId="4A8BF263" w14:textId="2DA5FF9B" w:rsidR="006F69B0" w:rsidRPr="001D3DB1" w:rsidRDefault="00F05E42" w:rsidP="00CE440B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 xml:space="preserve">Průměrný věk studované populace byl 67 let, celkem 1 596 (63 %) pacientů léčených </w:t>
      </w:r>
      <w:proofErr w:type="spellStart"/>
      <w:r w:rsidR="005C2A55">
        <w:t>vericig</w:t>
      </w:r>
      <w:r w:rsidR="008F3606">
        <w:t>u</w:t>
      </w:r>
      <w:r w:rsidR="005C2A55">
        <w:t>átem</w:t>
      </w:r>
      <w:proofErr w:type="spellEnd"/>
      <w:r w:rsidRPr="001D3DB1">
        <w:t xml:space="preserve"> bylo ve věku 65 let a starších a 783 (31 %) pacientů léčených </w:t>
      </w:r>
      <w:proofErr w:type="spellStart"/>
      <w:r w:rsidR="005C2A55">
        <w:t>vericig</w:t>
      </w:r>
      <w:r w:rsidR="008F3606">
        <w:t>u</w:t>
      </w:r>
      <w:r w:rsidR="005C2A55">
        <w:t>átem</w:t>
      </w:r>
      <w:proofErr w:type="spellEnd"/>
      <w:r w:rsidRPr="001D3DB1">
        <w:t xml:space="preserve"> bylo ve věku 75 let a starších. Při randomizaci spadalo 58,9 % pacientů do třídy NYHA II, 39,7 % spadalo do třídy NYHA III a 1,3 % do třídy NYHA IV. Střední ejekční frakce levé komory (LVEF) byla 28,9 %, přibližně polovina všech pacientů měla LVEF &lt;30 % a 14,3 % pacientů mělo LVEF mezi 40 % a 45 %. Nejčastěji hlášenými onemocněními v anamnéze jinými</w:t>
      </w:r>
      <w:r w:rsidR="00515EEB">
        <w:t>,</w:t>
      </w:r>
      <w:r w:rsidRPr="001D3DB1">
        <w:t xml:space="preserve"> než HF byly hypertenze (79 %), ischemická choroba srdeční (58 %), </w:t>
      </w:r>
      <w:proofErr w:type="spellStart"/>
      <w:r w:rsidRPr="001D3DB1">
        <w:t>hyperlipidémie</w:t>
      </w:r>
      <w:proofErr w:type="spellEnd"/>
      <w:r w:rsidRPr="001D3DB1">
        <w:t xml:space="preserve"> (57 %), diabetes </w:t>
      </w:r>
      <w:proofErr w:type="spellStart"/>
      <w:r w:rsidRPr="001D3DB1">
        <w:t>mellitus</w:t>
      </w:r>
      <w:proofErr w:type="spellEnd"/>
      <w:r w:rsidRPr="001D3DB1">
        <w:t xml:space="preserve"> (47 %), fibrilace</w:t>
      </w:r>
      <w:r w:rsidR="006A0F7D">
        <w:t xml:space="preserve"> síní</w:t>
      </w:r>
      <w:r w:rsidRPr="001D3DB1">
        <w:t xml:space="preserve"> (45 %) a infarkt myokardu (42 %). Při randomizaci byla střední </w:t>
      </w:r>
      <w:proofErr w:type="spellStart"/>
      <w:r w:rsidRPr="001D3DB1">
        <w:t>eGFR</w:t>
      </w:r>
      <w:proofErr w:type="spellEnd"/>
      <w:r w:rsidRPr="001D3DB1">
        <w:t xml:space="preserve"> 62 ml/min/1,73 m</w:t>
      </w:r>
      <w:r w:rsidRPr="001D3DB1">
        <w:rPr>
          <w:vertAlign w:val="superscript"/>
        </w:rPr>
        <w:t>2</w:t>
      </w:r>
      <w:r w:rsidRPr="001D3DB1">
        <w:t xml:space="preserve"> (88 % pacientů &gt;30 ml/min/1,73 m</w:t>
      </w:r>
      <w:r w:rsidRPr="001D3DB1">
        <w:rPr>
          <w:vertAlign w:val="superscript"/>
        </w:rPr>
        <w:t>2</w:t>
      </w:r>
      <w:r w:rsidRPr="001D3DB1">
        <w:t>; 10 % pacientů ≤30 ml/min/1,73 m</w:t>
      </w:r>
      <w:r w:rsidRPr="001D3DB1">
        <w:rPr>
          <w:vertAlign w:val="superscript"/>
        </w:rPr>
        <w:t>2</w:t>
      </w:r>
      <w:r w:rsidRPr="001D3DB1">
        <w:t xml:space="preserve">). 67 % pacientů bylo zařazeno do studie VICTORIA do 3 měsíců od hospitalizace pro HF; 17 % bylo zařazeno do 3 až 6 měsíců od hospitalizace pro HF a 16 % bylo zařazeno do 3 měsíců od ambulantní léčby </w:t>
      </w:r>
      <w:proofErr w:type="spellStart"/>
      <w:r w:rsidRPr="001D3DB1">
        <w:t>i.v</w:t>
      </w:r>
      <w:proofErr w:type="spellEnd"/>
      <w:r w:rsidRPr="001D3DB1">
        <w:t>. diuretiky. Medián hladiny NT-</w:t>
      </w:r>
      <w:proofErr w:type="spellStart"/>
      <w:r w:rsidRPr="001D3DB1">
        <w:t>proBNP</w:t>
      </w:r>
      <w:proofErr w:type="spellEnd"/>
      <w:r w:rsidRPr="001D3DB1">
        <w:t xml:space="preserve"> při randomizaci byl 2 816 </w:t>
      </w:r>
      <w:proofErr w:type="spellStart"/>
      <w:r w:rsidRPr="001D3DB1">
        <w:t>pg</w:t>
      </w:r>
      <w:proofErr w:type="spellEnd"/>
      <w:r w:rsidRPr="001D3DB1">
        <w:t>/ml.</w:t>
      </w:r>
    </w:p>
    <w:p w14:paraId="75DE9B4D" w14:textId="77777777" w:rsidR="00F05E42" w:rsidRPr="001D3DB1" w:rsidRDefault="00F05E42" w:rsidP="00CE440B">
      <w:pPr>
        <w:pStyle w:val="Default"/>
        <w:rPr>
          <w:color w:val="auto"/>
          <w:sz w:val="22"/>
          <w:szCs w:val="22"/>
          <w:lang w:eastAsia="ja-JP"/>
        </w:rPr>
      </w:pPr>
    </w:p>
    <w:p w14:paraId="77F8C2EB" w14:textId="202E847A" w:rsidR="00F05E42" w:rsidRPr="001D3DB1" w:rsidRDefault="00F05E42" w:rsidP="00CE440B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 xml:space="preserve">Ve výchozím stavu bylo </w:t>
      </w:r>
      <w:r w:rsidR="00437623">
        <w:t xml:space="preserve">více než </w:t>
      </w:r>
      <w:r w:rsidRPr="001D3DB1">
        <w:t xml:space="preserve">99 % pacientů léčeno jinými terapiemi HF, které zahrnovaly beta-blokátory (93 %), inhibitory </w:t>
      </w:r>
      <w:proofErr w:type="spellStart"/>
      <w:r w:rsidRPr="001D3DB1">
        <w:t>angiotenzin</w:t>
      </w:r>
      <w:proofErr w:type="spellEnd"/>
      <w:r w:rsidRPr="001D3DB1">
        <w:t xml:space="preserve"> konvertujícího enzymu (ACE) nebo blokátory receptorů pro </w:t>
      </w:r>
      <w:proofErr w:type="spellStart"/>
      <w:r w:rsidRPr="001D3DB1">
        <w:t>angiotenzin</w:t>
      </w:r>
      <w:proofErr w:type="spellEnd"/>
      <w:r w:rsidRPr="001D3DB1">
        <w:t xml:space="preserve"> II (ARB) (73 %), antagonisty </w:t>
      </w:r>
      <w:proofErr w:type="spellStart"/>
      <w:r w:rsidRPr="001D3DB1">
        <w:t>mineralokortikoidních</w:t>
      </w:r>
      <w:proofErr w:type="spellEnd"/>
      <w:r w:rsidRPr="001D3DB1">
        <w:t xml:space="preserve"> receptorů (MRA) (70 %), kombinac</w:t>
      </w:r>
      <w:r w:rsidR="006A2BF5">
        <w:t>i</w:t>
      </w:r>
      <w:r w:rsidRPr="001D3DB1">
        <w:t xml:space="preserve"> inhibitor</w:t>
      </w:r>
      <w:r w:rsidR="006D7B4A">
        <w:t>ů</w:t>
      </w:r>
      <w:r w:rsidRPr="001D3DB1">
        <w:t xml:space="preserve"> receptorů pro </w:t>
      </w:r>
      <w:proofErr w:type="spellStart"/>
      <w:r w:rsidRPr="001D3DB1">
        <w:t>angiotenzin</w:t>
      </w:r>
      <w:proofErr w:type="spellEnd"/>
      <w:r w:rsidRPr="001D3DB1">
        <w:t xml:space="preserve"> a </w:t>
      </w:r>
      <w:proofErr w:type="spellStart"/>
      <w:r w:rsidRPr="001D3DB1">
        <w:t>neprilysinu</w:t>
      </w:r>
      <w:proofErr w:type="spellEnd"/>
      <w:r w:rsidRPr="001D3DB1">
        <w:t xml:space="preserve"> (ARNI) (15 %), </w:t>
      </w:r>
      <w:proofErr w:type="spellStart"/>
      <w:r w:rsidRPr="001D3DB1">
        <w:t>ivabradin</w:t>
      </w:r>
      <w:proofErr w:type="spellEnd"/>
      <w:r w:rsidRPr="001D3DB1">
        <w:t xml:space="preserve"> (6 %), </w:t>
      </w:r>
      <w:proofErr w:type="spellStart"/>
      <w:r w:rsidRPr="001D3DB1">
        <w:t>implantabilní</w:t>
      </w:r>
      <w:proofErr w:type="spellEnd"/>
      <w:r w:rsidRPr="001D3DB1">
        <w:t xml:space="preserve"> srdeční defibrilátory (28 %) a </w:t>
      </w:r>
      <w:proofErr w:type="spellStart"/>
      <w:r w:rsidRPr="001D3DB1">
        <w:t>dvoudutinov</w:t>
      </w:r>
      <w:r w:rsidR="00C304A8">
        <w:t>é</w:t>
      </w:r>
      <w:proofErr w:type="spellEnd"/>
      <w:r w:rsidRPr="001D3DB1">
        <w:t xml:space="preserve"> kardiostimulátory (15 %). 91 % pacientů bylo léčeno 2 nebo více lé</w:t>
      </w:r>
      <w:r w:rsidR="000C1468" w:rsidRPr="001D3DB1">
        <w:t>čivými příprav</w:t>
      </w:r>
      <w:r w:rsidRPr="001D3DB1">
        <w:t>ky na HF (beta-blokátorem, kterýmkoli inhibitorem renin-</w:t>
      </w:r>
      <w:proofErr w:type="spellStart"/>
      <w:r w:rsidRPr="001D3DB1">
        <w:t>angiotenzinového</w:t>
      </w:r>
      <w:proofErr w:type="spellEnd"/>
      <w:r w:rsidRPr="001D3DB1">
        <w:t xml:space="preserve"> systému [RAS] nebo MRA) a 60 % pacientů bylo léčeno všemi 3. 3 % pacientů byla léčena inhibitorem </w:t>
      </w:r>
      <w:proofErr w:type="spellStart"/>
      <w:r w:rsidRPr="001D3DB1">
        <w:t>sodíko</w:t>
      </w:r>
      <w:proofErr w:type="spellEnd"/>
      <w:r w:rsidRPr="001D3DB1">
        <w:t xml:space="preserve">-glukózového </w:t>
      </w:r>
      <w:proofErr w:type="spellStart"/>
      <w:r w:rsidRPr="001D3DB1">
        <w:t>kotransportéru</w:t>
      </w:r>
      <w:proofErr w:type="spellEnd"/>
      <w:r w:rsidRPr="001D3DB1">
        <w:t> 2 (SGLT2).</w:t>
      </w:r>
    </w:p>
    <w:p w14:paraId="1D5AAB95" w14:textId="77777777" w:rsidR="00F05E42" w:rsidRPr="001D3DB1" w:rsidRDefault="00F05E42" w:rsidP="00EE0BA8">
      <w:pPr>
        <w:autoSpaceDE w:val="0"/>
        <w:autoSpaceDN w:val="0"/>
        <w:adjustRightInd w:val="0"/>
        <w:spacing w:line="240" w:lineRule="auto"/>
        <w:rPr>
          <w:szCs w:val="22"/>
          <w:lang w:eastAsia="ja-JP"/>
        </w:rPr>
      </w:pPr>
    </w:p>
    <w:p w14:paraId="3A75307F" w14:textId="7514BD20" w:rsidR="00F05E42" w:rsidRPr="001D3DB1" w:rsidRDefault="0053280D" w:rsidP="00F05E42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1D3DB1">
        <w:t>Vericig</w:t>
      </w:r>
      <w:r w:rsidR="00DA6AFC">
        <w:t>u</w:t>
      </w:r>
      <w:r w:rsidR="00BE2C8F">
        <w:t>á</w:t>
      </w:r>
      <w:r w:rsidRPr="001D3DB1">
        <w:t>t</w:t>
      </w:r>
      <w:proofErr w:type="spellEnd"/>
      <w:r w:rsidRPr="001D3DB1">
        <w:t xml:space="preserve"> byl podle analýzy doby do události superiorní vůči placebu ve smyslu snížení rizika úmrtí z CV příčin nebo hospitalizace pro HF. V průběhu studie činilo snížení absolutního rizika (ARR) vztažené na jeden rok</w:t>
      </w:r>
      <w:r w:rsidR="00D775D5">
        <w:t xml:space="preserve"> 4,2 %</w:t>
      </w:r>
      <w:r w:rsidRPr="001D3DB1">
        <w:t xml:space="preserve"> u pacientů, kteří dostávali </w:t>
      </w:r>
      <w:proofErr w:type="spellStart"/>
      <w:r w:rsidRPr="001D3DB1">
        <w:t>vericig</w:t>
      </w:r>
      <w:r w:rsidR="00DA6AFC">
        <w:t>u</w:t>
      </w:r>
      <w:r w:rsidR="00D775D5">
        <w:t>á</w:t>
      </w:r>
      <w:r w:rsidRPr="001D3DB1">
        <w:t>t</w:t>
      </w:r>
      <w:proofErr w:type="spellEnd"/>
      <w:r w:rsidRPr="001D3DB1">
        <w:t>, ve srovnání s pacienty, kteří dostávali placebo. Proto by bylo potřeba léčit 24 pacientů průměrně po dobu 1 roku, aby se zabránilo 1 události primárního cílového parametru. Účinek léčby zahrnoval snížení rizika úmrtí z CV příčin, hospitalizací pro HF, mortality způsobené všemi příčinami nebo hospitalizací pro HF a celkového počtu hospitalizací pro HF (viz tabulka 2 a obrázek 1).</w:t>
      </w:r>
    </w:p>
    <w:p w14:paraId="3CD248E9" w14:textId="77777777" w:rsidR="00592394" w:rsidRPr="001D3DB1" w:rsidRDefault="00592394" w:rsidP="00A71B8A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6A43E523" w14:textId="5C92B2C3" w:rsidR="00592394" w:rsidRPr="001D3DB1" w:rsidRDefault="00E771F3" w:rsidP="001147AB">
      <w:pPr>
        <w:pStyle w:val="Default"/>
        <w:keepNext/>
        <w:rPr>
          <w:b/>
          <w:color w:val="auto"/>
          <w:sz w:val="22"/>
          <w:szCs w:val="22"/>
        </w:rPr>
      </w:pPr>
      <w:r w:rsidRPr="001D3DB1">
        <w:rPr>
          <w:b/>
          <w:color w:val="auto"/>
          <w:sz w:val="22"/>
        </w:rPr>
        <w:lastRenderedPageBreak/>
        <w:t>Tabulka 2: Účinek léčby na složený primární cílový parametr, jeho složky a sekundární cílové parametry</w:t>
      </w:r>
    </w:p>
    <w:p w14:paraId="02E0D5C9" w14:textId="77777777" w:rsidR="00D01161" w:rsidRPr="001D3DB1" w:rsidRDefault="00D01161" w:rsidP="001147AB">
      <w:pPr>
        <w:pStyle w:val="Default"/>
        <w:keepNext/>
        <w:rPr>
          <w:color w:val="auto"/>
          <w:sz w:val="22"/>
          <w:szCs w:val="22"/>
          <w:lang w:eastAsia="ja-JP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4"/>
        <w:gridCol w:w="1701"/>
        <w:gridCol w:w="2552"/>
      </w:tblGrid>
      <w:tr w:rsidR="00592394" w:rsidRPr="001D3DB1" w14:paraId="53C30F01" w14:textId="77777777" w:rsidTr="00290762">
        <w:tc>
          <w:tcPr>
            <w:tcW w:w="2802" w:type="dxa"/>
            <w:vMerge w:val="restart"/>
          </w:tcPr>
          <w:p w14:paraId="49BA6F64" w14:textId="77777777" w:rsidR="00592394" w:rsidRPr="001D3DB1" w:rsidRDefault="00592394" w:rsidP="002B5504">
            <w:pPr>
              <w:pStyle w:val="Default"/>
              <w:keepNext/>
              <w:rPr>
                <w:color w:val="aut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14:paraId="10503CF4" w14:textId="37A85FA0" w:rsidR="00592394" w:rsidRPr="001D3DB1" w:rsidRDefault="0013487E" w:rsidP="002B5504">
            <w:pPr>
              <w:pStyle w:val="Default"/>
              <w:keepNext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1D3DB1">
              <w:rPr>
                <w:b/>
                <w:sz w:val="22"/>
              </w:rPr>
              <w:t>Vericig</w:t>
            </w:r>
            <w:r w:rsidR="00DA3AC5">
              <w:rPr>
                <w:b/>
                <w:sz w:val="22"/>
              </w:rPr>
              <w:t>u</w:t>
            </w:r>
            <w:r w:rsidR="00D668A3">
              <w:rPr>
                <w:b/>
                <w:sz w:val="22"/>
              </w:rPr>
              <w:t>á</w:t>
            </w:r>
            <w:r w:rsidRPr="001D3DB1">
              <w:rPr>
                <w:b/>
                <w:sz w:val="22"/>
              </w:rPr>
              <w:t>t</w:t>
            </w:r>
            <w:proofErr w:type="spellEnd"/>
          </w:p>
          <w:p w14:paraId="713F0626" w14:textId="77777777" w:rsidR="00592394" w:rsidRPr="001D3DB1" w:rsidRDefault="00592394" w:rsidP="002B5504">
            <w:pPr>
              <w:pStyle w:val="Default"/>
              <w:keepNext/>
              <w:jc w:val="center"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 xml:space="preserve">N=2 526 </w:t>
            </w:r>
          </w:p>
        </w:tc>
        <w:tc>
          <w:tcPr>
            <w:tcW w:w="1701" w:type="dxa"/>
            <w:vAlign w:val="center"/>
          </w:tcPr>
          <w:p w14:paraId="19DBD1C6" w14:textId="77777777" w:rsidR="00592394" w:rsidRPr="001D3DB1" w:rsidRDefault="00592394" w:rsidP="002B5504">
            <w:pPr>
              <w:pStyle w:val="Default"/>
              <w:keepNext/>
              <w:jc w:val="center"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>Placebo</w:t>
            </w:r>
          </w:p>
          <w:p w14:paraId="210B570C" w14:textId="77777777" w:rsidR="00592394" w:rsidRPr="001D3DB1" w:rsidRDefault="00592394" w:rsidP="002B5504">
            <w:pPr>
              <w:pStyle w:val="Default"/>
              <w:keepNext/>
              <w:jc w:val="center"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 xml:space="preserve">N=2 524 </w:t>
            </w:r>
          </w:p>
        </w:tc>
        <w:tc>
          <w:tcPr>
            <w:tcW w:w="2552" w:type="dxa"/>
            <w:vAlign w:val="center"/>
          </w:tcPr>
          <w:p w14:paraId="4B173117" w14:textId="129ACF19" w:rsidR="00592394" w:rsidRPr="001D3DB1" w:rsidRDefault="00592394" w:rsidP="003F41BE">
            <w:pPr>
              <w:pStyle w:val="Default"/>
              <w:keepNext/>
              <w:jc w:val="center"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>Porovnání léčby</w:t>
            </w:r>
          </w:p>
        </w:tc>
      </w:tr>
      <w:tr w:rsidR="00290762" w:rsidRPr="001D3DB1" w14:paraId="4EB7451B" w14:textId="77777777" w:rsidTr="00290762">
        <w:tc>
          <w:tcPr>
            <w:tcW w:w="2802" w:type="dxa"/>
            <w:vMerge/>
          </w:tcPr>
          <w:p w14:paraId="7D23766C" w14:textId="77777777" w:rsidR="00290762" w:rsidRPr="001D3DB1" w:rsidRDefault="00290762" w:rsidP="00E90161">
            <w:pPr>
              <w:pStyle w:val="Default"/>
              <w:keepNext/>
              <w:rPr>
                <w:color w:val="aut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</w:tcPr>
          <w:p w14:paraId="5482FE00" w14:textId="77777777" w:rsidR="00290762" w:rsidRPr="001D3DB1" w:rsidRDefault="00290762" w:rsidP="00E90161">
            <w:pPr>
              <w:pStyle w:val="Default"/>
              <w:keepNext/>
              <w:ind w:left="-73"/>
              <w:jc w:val="center"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>n (%)</w:t>
            </w:r>
          </w:p>
          <w:p w14:paraId="40572E13" w14:textId="77777777" w:rsidR="00290762" w:rsidRPr="001D3DB1" w:rsidRDefault="00A11D54" w:rsidP="00E90161">
            <w:pPr>
              <w:pStyle w:val="Default"/>
              <w:keepNext/>
              <w:ind w:left="-73"/>
              <w:jc w:val="center"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>[% ročně</w:t>
            </w:r>
            <w:r w:rsidRPr="001D3DB1">
              <w:rPr>
                <w:b/>
                <w:color w:val="auto"/>
                <w:sz w:val="22"/>
                <w:vertAlign w:val="superscript"/>
              </w:rPr>
              <w:t>1</w:t>
            </w:r>
            <w:r w:rsidRPr="001D3DB1">
              <w:rPr>
                <w:b/>
                <w:color w:val="auto"/>
                <w:sz w:val="22"/>
              </w:rPr>
              <w:t>]</w:t>
            </w:r>
          </w:p>
        </w:tc>
        <w:tc>
          <w:tcPr>
            <w:tcW w:w="1701" w:type="dxa"/>
          </w:tcPr>
          <w:p w14:paraId="6B8F7434" w14:textId="77777777" w:rsidR="00290762" w:rsidRPr="001D3DB1" w:rsidRDefault="00290762" w:rsidP="00E90161">
            <w:pPr>
              <w:pStyle w:val="Default"/>
              <w:keepNext/>
              <w:ind w:left="-73"/>
              <w:jc w:val="center"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>n (%)</w:t>
            </w:r>
          </w:p>
          <w:p w14:paraId="7969DEE8" w14:textId="77777777" w:rsidR="00290762" w:rsidRPr="001D3DB1" w:rsidRDefault="00723ED0" w:rsidP="00E90161">
            <w:pPr>
              <w:pStyle w:val="Default"/>
              <w:keepNext/>
              <w:ind w:left="-73"/>
              <w:jc w:val="center"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>[% ročně</w:t>
            </w:r>
            <w:r w:rsidRPr="001D3DB1">
              <w:rPr>
                <w:b/>
                <w:color w:val="auto"/>
                <w:sz w:val="22"/>
                <w:vertAlign w:val="superscript"/>
              </w:rPr>
              <w:t>1</w:t>
            </w:r>
            <w:r w:rsidRPr="001D3DB1">
              <w:rPr>
                <w:b/>
                <w:color w:val="auto"/>
                <w:sz w:val="22"/>
              </w:rPr>
              <w:t>]</w:t>
            </w:r>
          </w:p>
        </w:tc>
        <w:tc>
          <w:tcPr>
            <w:tcW w:w="2552" w:type="dxa"/>
            <w:vAlign w:val="center"/>
          </w:tcPr>
          <w:p w14:paraId="6D995966" w14:textId="77777777" w:rsidR="00290762" w:rsidRPr="001D3DB1" w:rsidRDefault="00290762" w:rsidP="00E90161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>Poměr rizik (</w:t>
            </w:r>
            <w:proofErr w:type="gramStart"/>
            <w:r w:rsidRPr="001D3DB1">
              <w:rPr>
                <w:b/>
                <w:color w:val="auto"/>
                <w:sz w:val="22"/>
              </w:rPr>
              <w:t>95%</w:t>
            </w:r>
            <w:proofErr w:type="gramEnd"/>
            <w:r w:rsidRPr="001D3DB1">
              <w:rPr>
                <w:b/>
                <w:color w:val="auto"/>
                <w:sz w:val="22"/>
              </w:rPr>
              <w:t xml:space="preserve"> CI)</w:t>
            </w:r>
            <w:r w:rsidRPr="001D3DB1">
              <w:rPr>
                <w:b/>
                <w:color w:val="auto"/>
                <w:sz w:val="22"/>
                <w:vertAlign w:val="superscript"/>
              </w:rPr>
              <w:t>2</w:t>
            </w:r>
          </w:p>
          <w:p w14:paraId="2F078648" w14:textId="3AA834E3" w:rsidR="00290762" w:rsidRPr="001D3DB1" w:rsidRDefault="00586ECA" w:rsidP="00582550">
            <w:pPr>
              <w:pStyle w:val="Default"/>
              <w:keepNext/>
              <w:ind w:left="-73"/>
              <w:jc w:val="center"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>[%</w:t>
            </w:r>
            <w:r w:rsidR="0038797C">
              <w:rPr>
                <w:b/>
                <w:color w:val="auto"/>
                <w:sz w:val="22"/>
              </w:rPr>
              <w:t xml:space="preserve"> </w:t>
            </w:r>
            <w:r w:rsidRPr="001D3DB1">
              <w:rPr>
                <w:b/>
                <w:color w:val="auto"/>
                <w:sz w:val="22"/>
              </w:rPr>
              <w:t>ARR vztažené na jeden rok]</w:t>
            </w:r>
            <w:r w:rsidRPr="001D3DB1">
              <w:rPr>
                <w:b/>
                <w:color w:val="auto"/>
                <w:sz w:val="22"/>
                <w:vertAlign w:val="superscript"/>
              </w:rPr>
              <w:t>4</w:t>
            </w:r>
          </w:p>
        </w:tc>
      </w:tr>
      <w:tr w:rsidR="00710101" w:rsidRPr="001D3DB1" w14:paraId="0C3F0BE6" w14:textId="77777777" w:rsidTr="008B2B59">
        <w:tc>
          <w:tcPr>
            <w:tcW w:w="9039" w:type="dxa"/>
            <w:gridSpan w:val="4"/>
          </w:tcPr>
          <w:p w14:paraId="67E30B8D" w14:textId="77777777" w:rsidR="00710101" w:rsidRPr="001D3DB1" w:rsidRDefault="00710101" w:rsidP="009219F7">
            <w:pPr>
              <w:pStyle w:val="Default"/>
              <w:keepNext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>Primární cílový parametr</w:t>
            </w:r>
          </w:p>
        </w:tc>
      </w:tr>
      <w:tr w:rsidR="00290762" w:rsidRPr="001D3DB1" w14:paraId="3E6007A3" w14:textId="77777777" w:rsidTr="00EA2662">
        <w:tc>
          <w:tcPr>
            <w:tcW w:w="2802" w:type="dxa"/>
            <w:tcBorders>
              <w:bottom w:val="nil"/>
            </w:tcBorders>
          </w:tcPr>
          <w:p w14:paraId="69B82AB4" w14:textId="77777777" w:rsidR="00290762" w:rsidRPr="001D3DB1" w:rsidRDefault="009219F7" w:rsidP="00B24068">
            <w:pPr>
              <w:pStyle w:val="Default"/>
              <w:keepNext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Složený z úmrtí z CV příčin nebo hospitalizací pro HF</w:t>
            </w:r>
            <w:r w:rsidRPr="001D3DB1">
              <w:rPr>
                <w:color w:val="auto"/>
                <w:sz w:val="22"/>
                <w:vertAlign w:val="superscript"/>
              </w:rP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14:paraId="594B256A" w14:textId="77777777" w:rsidR="00290762" w:rsidRPr="001D3DB1" w:rsidRDefault="00290762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897 (35,5)</w:t>
            </w:r>
          </w:p>
          <w:p w14:paraId="32E72E2C" w14:textId="77777777" w:rsidR="00290762" w:rsidRPr="001D3DB1" w:rsidRDefault="00A11D54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[33,6]</w:t>
            </w:r>
          </w:p>
        </w:tc>
        <w:tc>
          <w:tcPr>
            <w:tcW w:w="1701" w:type="dxa"/>
            <w:tcBorders>
              <w:bottom w:val="nil"/>
            </w:tcBorders>
          </w:tcPr>
          <w:p w14:paraId="69E31F94" w14:textId="77777777" w:rsidR="00290762" w:rsidRPr="001D3DB1" w:rsidRDefault="00290762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972 (38,5)</w:t>
            </w:r>
          </w:p>
          <w:p w14:paraId="493F698D" w14:textId="77777777" w:rsidR="00290762" w:rsidRPr="001D3DB1" w:rsidRDefault="00E35D4A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[37,8]</w:t>
            </w:r>
          </w:p>
        </w:tc>
        <w:tc>
          <w:tcPr>
            <w:tcW w:w="2552" w:type="dxa"/>
            <w:tcBorders>
              <w:bottom w:val="nil"/>
            </w:tcBorders>
          </w:tcPr>
          <w:p w14:paraId="20C11892" w14:textId="77777777" w:rsidR="00290762" w:rsidRPr="001D3DB1" w:rsidRDefault="00290762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  <w:vertAlign w:val="superscript"/>
              </w:rPr>
            </w:pPr>
            <w:r w:rsidRPr="001D3DB1">
              <w:rPr>
                <w:color w:val="auto"/>
                <w:sz w:val="22"/>
              </w:rPr>
              <w:t>0,90 (0,82; 0,98)</w:t>
            </w:r>
          </w:p>
          <w:p w14:paraId="2AD8646B" w14:textId="77777777" w:rsidR="00CC58B9" w:rsidRPr="001D3DB1" w:rsidRDefault="00CC58B9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p = 0,019</w:t>
            </w:r>
            <w:r w:rsidRPr="001D3DB1">
              <w:rPr>
                <w:color w:val="auto"/>
                <w:sz w:val="22"/>
                <w:vertAlign w:val="superscript"/>
              </w:rPr>
              <w:t>3</w:t>
            </w:r>
          </w:p>
          <w:p w14:paraId="4A912C5F" w14:textId="77777777" w:rsidR="00290762" w:rsidRPr="001D3DB1" w:rsidRDefault="00386417" w:rsidP="00292FB3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[4,2]</w:t>
            </w:r>
          </w:p>
        </w:tc>
      </w:tr>
      <w:tr w:rsidR="00290762" w:rsidRPr="001D3DB1" w14:paraId="0BD3AAB5" w14:textId="77777777" w:rsidTr="00EA2662">
        <w:tc>
          <w:tcPr>
            <w:tcW w:w="2802" w:type="dxa"/>
            <w:tcBorders>
              <w:top w:val="nil"/>
              <w:bottom w:val="nil"/>
            </w:tcBorders>
          </w:tcPr>
          <w:p w14:paraId="0511CADD" w14:textId="77777777" w:rsidR="00290762" w:rsidRPr="001D3DB1" w:rsidRDefault="005445CA" w:rsidP="00B24068">
            <w:pPr>
              <w:pStyle w:val="Default"/>
              <w:keepNext/>
              <w:ind w:left="284"/>
              <w:jc w:val="both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Úmrtí z CV příčin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A0412D" w14:textId="77777777" w:rsidR="00290762" w:rsidRPr="001D3DB1" w:rsidRDefault="00290762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206 (8,2)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F11A5D" w14:textId="77777777" w:rsidR="00290762" w:rsidRPr="001D3DB1" w:rsidRDefault="00290762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225 (8,9)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88D3268" w14:textId="77777777" w:rsidR="00290762" w:rsidRPr="001D3DB1" w:rsidRDefault="00290762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  <w:lang w:eastAsia="ja-JP"/>
              </w:rPr>
            </w:pPr>
          </w:p>
        </w:tc>
      </w:tr>
      <w:tr w:rsidR="00290762" w:rsidRPr="001D3DB1" w14:paraId="793787DF" w14:textId="77777777" w:rsidTr="00EA2662">
        <w:tc>
          <w:tcPr>
            <w:tcW w:w="2802" w:type="dxa"/>
            <w:tcBorders>
              <w:top w:val="nil"/>
            </w:tcBorders>
          </w:tcPr>
          <w:p w14:paraId="52489CF2" w14:textId="77777777" w:rsidR="00290762" w:rsidRPr="001D3DB1" w:rsidRDefault="005445CA" w:rsidP="00B24068">
            <w:pPr>
              <w:pStyle w:val="Default"/>
              <w:keepNext/>
              <w:ind w:left="284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Hospitalizace pro HF</w:t>
            </w:r>
          </w:p>
        </w:tc>
        <w:tc>
          <w:tcPr>
            <w:tcW w:w="1984" w:type="dxa"/>
            <w:tcBorders>
              <w:top w:val="nil"/>
            </w:tcBorders>
          </w:tcPr>
          <w:p w14:paraId="46B9DCC9" w14:textId="77777777" w:rsidR="00290762" w:rsidRPr="001D3DB1" w:rsidRDefault="00290762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691 (27,4)</w:t>
            </w:r>
          </w:p>
        </w:tc>
        <w:tc>
          <w:tcPr>
            <w:tcW w:w="1701" w:type="dxa"/>
            <w:tcBorders>
              <w:top w:val="nil"/>
            </w:tcBorders>
          </w:tcPr>
          <w:p w14:paraId="6357E1EF" w14:textId="77777777" w:rsidR="00290762" w:rsidRPr="001D3DB1" w:rsidRDefault="00290762" w:rsidP="002B5504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747 (29,6)</w:t>
            </w:r>
          </w:p>
        </w:tc>
        <w:tc>
          <w:tcPr>
            <w:tcW w:w="2552" w:type="dxa"/>
            <w:tcBorders>
              <w:top w:val="nil"/>
            </w:tcBorders>
          </w:tcPr>
          <w:p w14:paraId="3D8382A3" w14:textId="77777777" w:rsidR="00290762" w:rsidRPr="001D3DB1" w:rsidRDefault="00290762" w:rsidP="002B5504">
            <w:pPr>
              <w:pStyle w:val="Default"/>
              <w:keepNext/>
              <w:ind w:left="-73"/>
              <w:rPr>
                <w:color w:val="auto"/>
                <w:sz w:val="22"/>
                <w:szCs w:val="22"/>
                <w:lang w:eastAsia="ja-JP"/>
              </w:rPr>
            </w:pPr>
          </w:p>
        </w:tc>
      </w:tr>
      <w:tr w:rsidR="00710101" w:rsidRPr="001D3DB1" w14:paraId="3F29DAFE" w14:textId="77777777" w:rsidTr="008B2B59">
        <w:tc>
          <w:tcPr>
            <w:tcW w:w="9039" w:type="dxa"/>
            <w:gridSpan w:val="4"/>
          </w:tcPr>
          <w:p w14:paraId="62645BFD" w14:textId="77777777" w:rsidR="00710101" w:rsidRPr="001D3DB1" w:rsidRDefault="00710101" w:rsidP="002B5504">
            <w:pPr>
              <w:pStyle w:val="Default"/>
              <w:keepNext/>
              <w:rPr>
                <w:b/>
                <w:color w:val="auto"/>
                <w:sz w:val="22"/>
                <w:szCs w:val="22"/>
              </w:rPr>
            </w:pPr>
            <w:r w:rsidRPr="001D3DB1">
              <w:rPr>
                <w:b/>
                <w:color w:val="auto"/>
                <w:sz w:val="22"/>
              </w:rPr>
              <w:t>Sekundární cílové parametry</w:t>
            </w:r>
          </w:p>
        </w:tc>
      </w:tr>
      <w:tr w:rsidR="00290762" w:rsidRPr="001D3DB1" w14:paraId="512404B2" w14:textId="77777777" w:rsidTr="00290762">
        <w:tc>
          <w:tcPr>
            <w:tcW w:w="2802" w:type="dxa"/>
          </w:tcPr>
          <w:p w14:paraId="43C31332" w14:textId="77777777" w:rsidR="00290762" w:rsidRPr="001D3DB1" w:rsidRDefault="00645086" w:rsidP="00B24068">
            <w:pPr>
              <w:pStyle w:val="Default"/>
              <w:keepNext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Úmrtí z CV příčin</w:t>
            </w:r>
          </w:p>
        </w:tc>
        <w:tc>
          <w:tcPr>
            <w:tcW w:w="1984" w:type="dxa"/>
          </w:tcPr>
          <w:p w14:paraId="2DC44599" w14:textId="77777777" w:rsidR="00290762" w:rsidRPr="001D3DB1" w:rsidRDefault="00290762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414 (16,4)</w:t>
            </w:r>
          </w:p>
          <w:p w14:paraId="5DAECFA7" w14:textId="77777777" w:rsidR="00290762" w:rsidRPr="001D3DB1" w:rsidRDefault="00E35D4A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[12,9]</w:t>
            </w:r>
          </w:p>
        </w:tc>
        <w:tc>
          <w:tcPr>
            <w:tcW w:w="1701" w:type="dxa"/>
          </w:tcPr>
          <w:p w14:paraId="1661280A" w14:textId="77777777" w:rsidR="00290762" w:rsidRPr="001D3DB1" w:rsidRDefault="00290762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441 (17,5)</w:t>
            </w:r>
          </w:p>
          <w:p w14:paraId="2849D077" w14:textId="77777777" w:rsidR="00290762" w:rsidRPr="001D3DB1" w:rsidRDefault="00E35D4A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[13,9]</w:t>
            </w:r>
          </w:p>
        </w:tc>
        <w:tc>
          <w:tcPr>
            <w:tcW w:w="2552" w:type="dxa"/>
          </w:tcPr>
          <w:p w14:paraId="32CF2DFD" w14:textId="77777777" w:rsidR="00290762" w:rsidRPr="001D3DB1" w:rsidRDefault="00290762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0,93 (0,81; 1,06)</w:t>
            </w:r>
          </w:p>
        </w:tc>
      </w:tr>
      <w:tr w:rsidR="00290762" w:rsidRPr="001D3DB1" w14:paraId="281DF4D8" w14:textId="77777777" w:rsidTr="00290762">
        <w:tc>
          <w:tcPr>
            <w:tcW w:w="2802" w:type="dxa"/>
          </w:tcPr>
          <w:p w14:paraId="6DD50CEF" w14:textId="77777777" w:rsidR="00290762" w:rsidRPr="001D3DB1" w:rsidRDefault="00645086" w:rsidP="00B24068">
            <w:pPr>
              <w:pStyle w:val="Default"/>
              <w:keepNext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Hospitalizace pro HF</w:t>
            </w:r>
          </w:p>
        </w:tc>
        <w:tc>
          <w:tcPr>
            <w:tcW w:w="1984" w:type="dxa"/>
          </w:tcPr>
          <w:p w14:paraId="215E18B9" w14:textId="77777777" w:rsidR="00290762" w:rsidRPr="001D3DB1" w:rsidRDefault="00290762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691 (27,4)</w:t>
            </w:r>
          </w:p>
          <w:p w14:paraId="31E73A43" w14:textId="77777777" w:rsidR="00290762" w:rsidRPr="001D3DB1" w:rsidRDefault="00E35D4A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[25,9]</w:t>
            </w:r>
          </w:p>
        </w:tc>
        <w:tc>
          <w:tcPr>
            <w:tcW w:w="1701" w:type="dxa"/>
          </w:tcPr>
          <w:p w14:paraId="0EB2FA01" w14:textId="77777777" w:rsidR="00290762" w:rsidRPr="001D3DB1" w:rsidRDefault="00290762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747 (29,6)</w:t>
            </w:r>
          </w:p>
          <w:p w14:paraId="032DADCB" w14:textId="77777777" w:rsidR="00290762" w:rsidRPr="001D3DB1" w:rsidRDefault="00E35D4A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[29,1]</w:t>
            </w:r>
          </w:p>
        </w:tc>
        <w:tc>
          <w:tcPr>
            <w:tcW w:w="2552" w:type="dxa"/>
          </w:tcPr>
          <w:p w14:paraId="0A70E56B" w14:textId="77777777" w:rsidR="00290762" w:rsidRPr="001D3DB1" w:rsidRDefault="00290762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0,90 (0,81; 1,00)</w:t>
            </w:r>
          </w:p>
        </w:tc>
      </w:tr>
      <w:tr w:rsidR="00025258" w:rsidRPr="001D3DB1" w14:paraId="66DFD193" w14:textId="77777777" w:rsidTr="00290762">
        <w:tc>
          <w:tcPr>
            <w:tcW w:w="2802" w:type="dxa"/>
          </w:tcPr>
          <w:p w14:paraId="7C3F110E" w14:textId="676A5A77" w:rsidR="00025258" w:rsidRPr="001D3DB1" w:rsidRDefault="00025258" w:rsidP="00B24068">
            <w:pPr>
              <w:pStyle w:val="Default"/>
              <w:keepNext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Složený z úmrtí ze všech příčin nebo hospitalizací pro HF</w:t>
            </w:r>
            <w:r w:rsidRPr="001D3DB1">
              <w:rPr>
                <w:color w:val="auto"/>
                <w:sz w:val="22"/>
                <w:vertAlign w:val="superscript"/>
              </w:rPr>
              <w:t>5</w:t>
            </w:r>
          </w:p>
        </w:tc>
        <w:tc>
          <w:tcPr>
            <w:tcW w:w="1984" w:type="dxa"/>
          </w:tcPr>
          <w:p w14:paraId="6BFDB740" w14:textId="77777777" w:rsidR="00025258" w:rsidRPr="001D3DB1" w:rsidRDefault="00025258" w:rsidP="00025258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957 (37,9)</w:t>
            </w:r>
          </w:p>
          <w:p w14:paraId="1A7E3B6D" w14:textId="7F6C0BEE" w:rsidR="00025258" w:rsidRPr="001D3DB1" w:rsidRDefault="00025258" w:rsidP="00025258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[35,9]</w:t>
            </w:r>
          </w:p>
        </w:tc>
        <w:tc>
          <w:tcPr>
            <w:tcW w:w="1701" w:type="dxa"/>
          </w:tcPr>
          <w:p w14:paraId="46CC0A53" w14:textId="77777777" w:rsidR="00025258" w:rsidRPr="001D3DB1" w:rsidRDefault="00025258" w:rsidP="00025258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1 032 (40,9)</w:t>
            </w:r>
          </w:p>
          <w:p w14:paraId="77BA8974" w14:textId="1CB4EB18" w:rsidR="00025258" w:rsidRPr="001D3DB1" w:rsidRDefault="00025258" w:rsidP="00025258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[40,1]</w:t>
            </w:r>
          </w:p>
        </w:tc>
        <w:tc>
          <w:tcPr>
            <w:tcW w:w="2552" w:type="dxa"/>
          </w:tcPr>
          <w:p w14:paraId="4A382492" w14:textId="64A77D8D" w:rsidR="00025258" w:rsidRPr="001D3DB1" w:rsidRDefault="00025258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0,90 (0,83; 0,98)</w:t>
            </w:r>
          </w:p>
        </w:tc>
      </w:tr>
      <w:tr w:rsidR="00025258" w:rsidRPr="001D3DB1" w14:paraId="4F6F69DA" w14:textId="77777777" w:rsidTr="00290762">
        <w:tc>
          <w:tcPr>
            <w:tcW w:w="2802" w:type="dxa"/>
          </w:tcPr>
          <w:p w14:paraId="2DA2D87F" w14:textId="2C9A21A2" w:rsidR="00025258" w:rsidRPr="001D3DB1" w:rsidRDefault="00025258" w:rsidP="00B24068">
            <w:pPr>
              <w:pStyle w:val="Default"/>
              <w:keepNext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Celkový počet hospitalizací pro HF (první a opakovaných)</w:t>
            </w:r>
          </w:p>
        </w:tc>
        <w:tc>
          <w:tcPr>
            <w:tcW w:w="1984" w:type="dxa"/>
          </w:tcPr>
          <w:p w14:paraId="0B8309D8" w14:textId="39F1936C" w:rsidR="00025258" w:rsidRPr="001D3DB1" w:rsidRDefault="00025258" w:rsidP="00025258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1 223</w:t>
            </w:r>
          </w:p>
          <w:p w14:paraId="5B585E8C" w14:textId="5EBC233F" w:rsidR="00025258" w:rsidRPr="001D3DB1" w:rsidRDefault="00102FB1" w:rsidP="00A02BC7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[38,3]</w:t>
            </w:r>
          </w:p>
        </w:tc>
        <w:tc>
          <w:tcPr>
            <w:tcW w:w="1701" w:type="dxa"/>
          </w:tcPr>
          <w:p w14:paraId="790F8612" w14:textId="4AA51444" w:rsidR="00025258" w:rsidRPr="001D3DB1" w:rsidRDefault="00025258" w:rsidP="00025258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1 336</w:t>
            </w:r>
          </w:p>
          <w:p w14:paraId="682FF59A" w14:textId="40DCCC01" w:rsidR="00025258" w:rsidRPr="001D3DB1" w:rsidRDefault="00102FB1" w:rsidP="00A02BC7">
            <w:pPr>
              <w:pStyle w:val="Default"/>
              <w:keepNext/>
              <w:ind w:left="-73"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[42,4]</w:t>
            </w:r>
          </w:p>
        </w:tc>
        <w:tc>
          <w:tcPr>
            <w:tcW w:w="2552" w:type="dxa"/>
          </w:tcPr>
          <w:p w14:paraId="12EDFF7F" w14:textId="42533E81" w:rsidR="00025258" w:rsidRPr="001D3DB1" w:rsidRDefault="00025258" w:rsidP="002B5504">
            <w:pPr>
              <w:pStyle w:val="Default"/>
              <w:keepNext/>
              <w:jc w:val="center"/>
              <w:rPr>
                <w:color w:val="auto"/>
                <w:sz w:val="22"/>
                <w:szCs w:val="22"/>
              </w:rPr>
            </w:pPr>
            <w:r w:rsidRPr="001D3DB1">
              <w:rPr>
                <w:color w:val="auto"/>
                <w:sz w:val="22"/>
              </w:rPr>
              <w:t>0,91 (0,84; 0,99)</w:t>
            </w:r>
            <w:r w:rsidRPr="001D3DB1">
              <w:rPr>
                <w:color w:val="auto"/>
                <w:sz w:val="22"/>
                <w:vertAlign w:val="superscript"/>
              </w:rPr>
              <w:t>6</w:t>
            </w:r>
          </w:p>
        </w:tc>
      </w:tr>
    </w:tbl>
    <w:p w14:paraId="2046CB11" w14:textId="37613A03" w:rsidR="00592394" w:rsidRPr="001D3DB1" w:rsidRDefault="00592394" w:rsidP="002B5504">
      <w:pPr>
        <w:pStyle w:val="Default"/>
        <w:keepNext/>
        <w:rPr>
          <w:color w:val="auto"/>
          <w:sz w:val="22"/>
          <w:szCs w:val="22"/>
        </w:rPr>
      </w:pPr>
      <w:r w:rsidRPr="001D3DB1">
        <w:rPr>
          <w:color w:val="auto"/>
          <w:sz w:val="22"/>
          <w:vertAlign w:val="superscript"/>
        </w:rPr>
        <w:t xml:space="preserve">1 </w:t>
      </w:r>
      <w:r w:rsidR="005D60C4" w:rsidRPr="005D60C4">
        <w:rPr>
          <w:color w:val="auto"/>
          <w:sz w:val="22"/>
        </w:rPr>
        <w:t>Celkový počet pacientů</w:t>
      </w:r>
      <w:r w:rsidR="005D60C4">
        <w:rPr>
          <w:color w:val="auto"/>
          <w:sz w:val="22"/>
        </w:rPr>
        <w:t xml:space="preserve"> </w:t>
      </w:r>
      <w:r w:rsidR="005D60C4" w:rsidRPr="005D60C4">
        <w:rPr>
          <w:color w:val="auto"/>
          <w:sz w:val="22"/>
        </w:rPr>
        <w:t xml:space="preserve">s událostí na 100 </w:t>
      </w:r>
      <w:proofErr w:type="spellStart"/>
      <w:r w:rsidR="005D60C4" w:rsidRPr="005D60C4">
        <w:rPr>
          <w:color w:val="auto"/>
          <w:sz w:val="22"/>
        </w:rPr>
        <w:t>pac</w:t>
      </w:r>
      <w:r w:rsidR="005D60C4">
        <w:rPr>
          <w:color w:val="auto"/>
          <w:sz w:val="22"/>
        </w:rPr>
        <w:t>iento</w:t>
      </w:r>
      <w:r w:rsidR="005D60C4" w:rsidRPr="005D60C4">
        <w:rPr>
          <w:color w:val="auto"/>
          <w:sz w:val="22"/>
        </w:rPr>
        <w:t>roků</w:t>
      </w:r>
      <w:proofErr w:type="spellEnd"/>
      <w:r w:rsidR="005D60C4" w:rsidRPr="005D60C4">
        <w:rPr>
          <w:color w:val="auto"/>
          <w:sz w:val="22"/>
        </w:rPr>
        <w:t xml:space="preserve"> v</w:t>
      </w:r>
      <w:r w:rsidR="005D60C4">
        <w:rPr>
          <w:color w:val="auto"/>
          <w:sz w:val="22"/>
        </w:rPr>
        <w:t> </w:t>
      </w:r>
      <w:r w:rsidR="005D60C4" w:rsidRPr="005D60C4">
        <w:rPr>
          <w:color w:val="auto"/>
          <w:sz w:val="22"/>
        </w:rPr>
        <w:t>riz</w:t>
      </w:r>
      <w:r w:rsidR="00B55BB4">
        <w:rPr>
          <w:color w:val="auto"/>
          <w:sz w:val="22"/>
        </w:rPr>
        <w:t>i</w:t>
      </w:r>
      <w:r w:rsidR="005D60C4" w:rsidRPr="005D60C4">
        <w:rPr>
          <w:color w:val="auto"/>
          <w:sz w:val="22"/>
        </w:rPr>
        <w:t>ku</w:t>
      </w:r>
      <w:r w:rsidR="005D60C4">
        <w:rPr>
          <w:color w:val="auto"/>
          <w:sz w:val="22"/>
        </w:rPr>
        <w:t>.</w:t>
      </w:r>
    </w:p>
    <w:p w14:paraId="56E91624" w14:textId="51693F49" w:rsidR="00592394" w:rsidRPr="001D3DB1" w:rsidRDefault="00592394" w:rsidP="002B5504">
      <w:pPr>
        <w:pStyle w:val="Default"/>
        <w:keepNext/>
        <w:rPr>
          <w:color w:val="auto"/>
          <w:sz w:val="22"/>
          <w:szCs w:val="22"/>
        </w:rPr>
      </w:pPr>
      <w:r w:rsidRPr="001D3DB1">
        <w:rPr>
          <w:color w:val="auto"/>
          <w:sz w:val="22"/>
          <w:vertAlign w:val="superscript"/>
        </w:rPr>
        <w:t xml:space="preserve">2 </w:t>
      </w:r>
      <w:r w:rsidRPr="001D3DB1">
        <w:rPr>
          <w:color w:val="auto"/>
          <w:sz w:val="22"/>
        </w:rPr>
        <w:t>Poměr rizik (</w:t>
      </w:r>
      <w:proofErr w:type="spellStart"/>
      <w:r w:rsidRPr="001D3DB1">
        <w:rPr>
          <w:color w:val="auto"/>
          <w:sz w:val="22"/>
        </w:rPr>
        <w:t>vericig</w:t>
      </w:r>
      <w:r w:rsidR="00DA3AC5">
        <w:rPr>
          <w:color w:val="auto"/>
          <w:sz w:val="22"/>
        </w:rPr>
        <w:t>u</w:t>
      </w:r>
      <w:r w:rsidR="005D60C4">
        <w:rPr>
          <w:color w:val="auto"/>
          <w:sz w:val="22"/>
        </w:rPr>
        <w:t>á</w:t>
      </w:r>
      <w:r w:rsidRPr="001D3DB1">
        <w:rPr>
          <w:color w:val="auto"/>
          <w:sz w:val="22"/>
        </w:rPr>
        <w:t>t</w:t>
      </w:r>
      <w:proofErr w:type="spellEnd"/>
      <w:r w:rsidRPr="001D3DB1">
        <w:rPr>
          <w:color w:val="auto"/>
          <w:sz w:val="22"/>
        </w:rPr>
        <w:t xml:space="preserve"> ve srovnání s placebem) a interval spolehlivosti podle </w:t>
      </w:r>
      <w:proofErr w:type="spellStart"/>
      <w:r w:rsidRPr="001D3DB1">
        <w:rPr>
          <w:color w:val="auto"/>
          <w:sz w:val="22"/>
        </w:rPr>
        <w:t>Coxova</w:t>
      </w:r>
      <w:proofErr w:type="spellEnd"/>
      <w:r w:rsidRPr="001D3DB1">
        <w:rPr>
          <w:color w:val="auto"/>
          <w:sz w:val="22"/>
        </w:rPr>
        <w:t xml:space="preserve"> modelu proporcionálních rizik.</w:t>
      </w:r>
    </w:p>
    <w:p w14:paraId="470345CC" w14:textId="27FB4B13" w:rsidR="00DC7F7D" w:rsidRPr="001D3DB1" w:rsidRDefault="00180744" w:rsidP="002B5504">
      <w:pPr>
        <w:pStyle w:val="Default"/>
        <w:keepNext/>
        <w:rPr>
          <w:color w:val="auto"/>
          <w:sz w:val="22"/>
          <w:szCs w:val="22"/>
        </w:rPr>
      </w:pPr>
      <w:r w:rsidRPr="001D3DB1">
        <w:rPr>
          <w:color w:val="auto"/>
          <w:sz w:val="22"/>
          <w:vertAlign w:val="superscript"/>
        </w:rPr>
        <w:t xml:space="preserve">3 </w:t>
      </w:r>
      <w:r w:rsidRPr="001D3DB1">
        <w:rPr>
          <w:color w:val="auto"/>
          <w:sz w:val="22"/>
        </w:rPr>
        <w:t>Podle log-rank testu</w:t>
      </w:r>
      <w:r w:rsidR="005D60C4">
        <w:rPr>
          <w:color w:val="auto"/>
          <w:sz w:val="22"/>
        </w:rPr>
        <w:t>.</w:t>
      </w:r>
      <w:r w:rsidRPr="001D3DB1">
        <w:rPr>
          <w:color w:val="auto"/>
          <w:sz w:val="22"/>
        </w:rPr>
        <w:t xml:space="preserve"> </w:t>
      </w:r>
      <w:r w:rsidRPr="001D3DB1">
        <w:rPr>
          <w:sz w:val="22"/>
        </w:rPr>
        <w:t xml:space="preserve">p-hodnota </w:t>
      </w:r>
      <w:r w:rsidR="005D60C4">
        <w:rPr>
          <w:sz w:val="22"/>
        </w:rPr>
        <w:t xml:space="preserve">platí </w:t>
      </w:r>
      <w:r w:rsidRPr="001D3DB1">
        <w:rPr>
          <w:sz w:val="22"/>
        </w:rPr>
        <w:t>pouze pro poměr rizik (HR) a nikoli pro ARR vztažené na jeden rok.</w:t>
      </w:r>
    </w:p>
    <w:p w14:paraId="639975AE" w14:textId="4DADBC45" w:rsidR="00290762" w:rsidRPr="001D3DB1" w:rsidRDefault="00DC7F7D" w:rsidP="002B5504">
      <w:pPr>
        <w:pStyle w:val="Default"/>
        <w:keepNext/>
        <w:rPr>
          <w:color w:val="auto"/>
          <w:sz w:val="22"/>
          <w:szCs w:val="22"/>
        </w:rPr>
      </w:pPr>
      <w:r w:rsidRPr="001D3DB1">
        <w:rPr>
          <w:color w:val="auto"/>
          <w:sz w:val="22"/>
          <w:vertAlign w:val="superscript"/>
        </w:rPr>
        <w:t xml:space="preserve">4 </w:t>
      </w:r>
      <w:r w:rsidRPr="001D3DB1">
        <w:rPr>
          <w:color w:val="auto"/>
          <w:sz w:val="22"/>
        </w:rPr>
        <w:t xml:space="preserve">Snížení absolutního rizika vztažené na jeden rok, vypočítané jako rozdíl (placebo – </w:t>
      </w:r>
      <w:proofErr w:type="spellStart"/>
      <w:r w:rsidRPr="001D3DB1">
        <w:rPr>
          <w:color w:val="auto"/>
          <w:sz w:val="22"/>
        </w:rPr>
        <w:t>vericig</w:t>
      </w:r>
      <w:r w:rsidR="00DA3AC5">
        <w:rPr>
          <w:color w:val="auto"/>
          <w:sz w:val="22"/>
        </w:rPr>
        <w:t>u</w:t>
      </w:r>
      <w:r w:rsidR="005D60C4">
        <w:rPr>
          <w:color w:val="auto"/>
          <w:sz w:val="22"/>
        </w:rPr>
        <w:t>á</w:t>
      </w:r>
      <w:r w:rsidRPr="001D3DB1">
        <w:rPr>
          <w:color w:val="auto"/>
          <w:sz w:val="22"/>
        </w:rPr>
        <w:t>t</w:t>
      </w:r>
      <w:proofErr w:type="spellEnd"/>
      <w:r w:rsidRPr="001D3DB1">
        <w:rPr>
          <w:color w:val="auto"/>
          <w:sz w:val="22"/>
        </w:rPr>
        <w:t>) v % za jeden rok.</w:t>
      </w:r>
    </w:p>
    <w:p w14:paraId="1144747F" w14:textId="3CA09A63" w:rsidR="00404DDB" w:rsidRPr="001D3DB1" w:rsidRDefault="00404DDB" w:rsidP="002B5504">
      <w:pPr>
        <w:pStyle w:val="Default"/>
        <w:keepNext/>
        <w:rPr>
          <w:color w:val="auto"/>
          <w:sz w:val="22"/>
          <w:szCs w:val="22"/>
        </w:rPr>
      </w:pPr>
      <w:r w:rsidRPr="001D3DB1">
        <w:rPr>
          <w:color w:val="auto"/>
          <w:sz w:val="22"/>
          <w:vertAlign w:val="superscript"/>
        </w:rPr>
        <w:t xml:space="preserve">5 </w:t>
      </w:r>
      <w:r w:rsidRPr="001D3DB1">
        <w:rPr>
          <w:color w:val="auto"/>
          <w:sz w:val="22"/>
        </w:rPr>
        <w:t>U pacientů s více událostmi se počítá pouze první událost přispívající ke složenému primárnímu cílovému parametru.</w:t>
      </w:r>
    </w:p>
    <w:p w14:paraId="784F949D" w14:textId="1D1C7A5C" w:rsidR="00025258" w:rsidRPr="001D3DB1" w:rsidRDefault="00025258" w:rsidP="002B5504">
      <w:pPr>
        <w:pStyle w:val="Default"/>
        <w:keepNext/>
        <w:rPr>
          <w:color w:val="auto"/>
          <w:sz w:val="22"/>
          <w:szCs w:val="22"/>
        </w:rPr>
      </w:pPr>
      <w:r w:rsidRPr="001D3DB1">
        <w:rPr>
          <w:color w:val="auto"/>
          <w:sz w:val="22"/>
          <w:vertAlign w:val="superscript"/>
        </w:rPr>
        <w:t xml:space="preserve">6 </w:t>
      </w:r>
      <w:r w:rsidRPr="001D3DB1">
        <w:rPr>
          <w:color w:val="auto"/>
          <w:sz w:val="22"/>
        </w:rPr>
        <w:t>Poměr rizik (</w:t>
      </w:r>
      <w:proofErr w:type="spellStart"/>
      <w:r w:rsidRPr="001D3DB1">
        <w:rPr>
          <w:color w:val="auto"/>
          <w:sz w:val="22"/>
        </w:rPr>
        <w:t>vericig</w:t>
      </w:r>
      <w:r w:rsidR="00DA3AC5">
        <w:rPr>
          <w:color w:val="auto"/>
          <w:sz w:val="22"/>
        </w:rPr>
        <w:t>u</w:t>
      </w:r>
      <w:r w:rsidR="005D60C4">
        <w:rPr>
          <w:color w:val="auto"/>
          <w:sz w:val="22"/>
        </w:rPr>
        <w:t>á</w:t>
      </w:r>
      <w:r w:rsidRPr="001D3DB1">
        <w:rPr>
          <w:color w:val="auto"/>
          <w:sz w:val="22"/>
        </w:rPr>
        <w:t>t</w:t>
      </w:r>
      <w:proofErr w:type="spellEnd"/>
      <w:r w:rsidRPr="001D3DB1">
        <w:rPr>
          <w:color w:val="auto"/>
          <w:sz w:val="22"/>
        </w:rPr>
        <w:t xml:space="preserve"> ve srovnání s placebem) a interval spolehlivosti podle Andersenova-</w:t>
      </w:r>
      <w:proofErr w:type="spellStart"/>
      <w:r w:rsidRPr="001D3DB1">
        <w:rPr>
          <w:color w:val="auto"/>
          <w:sz w:val="22"/>
        </w:rPr>
        <w:t>Gillova</w:t>
      </w:r>
      <w:proofErr w:type="spellEnd"/>
      <w:r w:rsidRPr="001D3DB1">
        <w:rPr>
          <w:color w:val="auto"/>
          <w:sz w:val="22"/>
        </w:rPr>
        <w:t xml:space="preserve"> modelu.</w:t>
      </w:r>
    </w:p>
    <w:p w14:paraId="0A35EF47" w14:textId="77777777" w:rsidR="00592394" w:rsidRPr="001D3DB1" w:rsidRDefault="00592394" w:rsidP="002B5504">
      <w:pPr>
        <w:pStyle w:val="Default"/>
        <w:keepNext/>
        <w:rPr>
          <w:color w:val="auto"/>
          <w:sz w:val="22"/>
          <w:szCs w:val="22"/>
        </w:rPr>
      </w:pPr>
      <w:r w:rsidRPr="001D3DB1">
        <w:rPr>
          <w:color w:val="auto"/>
          <w:sz w:val="22"/>
        </w:rPr>
        <w:t>N=Počet pacientů v populaci s léčebným záměrem (</w:t>
      </w:r>
      <w:proofErr w:type="spellStart"/>
      <w:r w:rsidRPr="001D3DB1">
        <w:rPr>
          <w:color w:val="auto"/>
          <w:sz w:val="22"/>
        </w:rPr>
        <w:t>Intent</w:t>
      </w:r>
      <w:proofErr w:type="spellEnd"/>
      <w:r w:rsidRPr="001D3DB1">
        <w:rPr>
          <w:color w:val="auto"/>
          <w:sz w:val="22"/>
        </w:rPr>
        <w:t>-to-</w:t>
      </w:r>
      <w:proofErr w:type="spellStart"/>
      <w:r w:rsidRPr="001D3DB1">
        <w:rPr>
          <w:color w:val="auto"/>
          <w:sz w:val="22"/>
        </w:rPr>
        <w:t>treat</w:t>
      </w:r>
      <w:proofErr w:type="spellEnd"/>
      <w:r w:rsidRPr="001D3DB1">
        <w:rPr>
          <w:color w:val="auto"/>
          <w:sz w:val="22"/>
        </w:rPr>
        <w:t>, ITT); n=Počet pacientů s výskytem události.</w:t>
      </w:r>
    </w:p>
    <w:p w14:paraId="522920AD" w14:textId="77777777" w:rsidR="00993C1E" w:rsidRPr="001D3DB1" w:rsidRDefault="00993C1E" w:rsidP="00993C1E">
      <w:pPr>
        <w:pStyle w:val="Default"/>
        <w:jc w:val="both"/>
        <w:rPr>
          <w:color w:val="auto"/>
          <w:sz w:val="22"/>
          <w:szCs w:val="22"/>
          <w:lang w:eastAsia="ja-JP"/>
        </w:rPr>
      </w:pPr>
    </w:p>
    <w:p w14:paraId="450D1C4A" w14:textId="77777777" w:rsidR="00043D0E" w:rsidRPr="000E31A4" w:rsidRDefault="00043D0E" w:rsidP="00043D0E">
      <w:pPr>
        <w:pStyle w:val="Default"/>
        <w:keepNext/>
        <w:rPr>
          <w:b/>
          <w:color w:val="auto"/>
          <w:sz w:val="22"/>
          <w:szCs w:val="22"/>
        </w:rPr>
      </w:pPr>
      <w:r w:rsidRPr="000E31A4">
        <w:rPr>
          <w:b/>
          <w:color w:val="auto"/>
          <w:sz w:val="22"/>
        </w:rPr>
        <w:lastRenderedPageBreak/>
        <w:t>Obrázek 1: Kaplan-</w:t>
      </w:r>
      <w:proofErr w:type="spellStart"/>
      <w:r w:rsidRPr="000E31A4">
        <w:rPr>
          <w:b/>
          <w:color w:val="auto"/>
          <w:sz w:val="22"/>
        </w:rPr>
        <w:t>Meierova</w:t>
      </w:r>
      <w:proofErr w:type="spellEnd"/>
      <w:r w:rsidRPr="000E31A4">
        <w:rPr>
          <w:b/>
          <w:color w:val="auto"/>
          <w:sz w:val="22"/>
        </w:rPr>
        <w:t xml:space="preserve"> křivka pro složený primární cílový parametr: čas do prvního výskytu úmrtí z CV příčin nebo hospitalizace pro HF</w:t>
      </w:r>
    </w:p>
    <w:p w14:paraId="2AC6F7FB" w14:textId="77777777" w:rsidR="001467CC" w:rsidRDefault="001467CC" w:rsidP="00043D0E">
      <w:pPr>
        <w:pStyle w:val="Zkladntext"/>
        <w:keepNext/>
        <w:spacing w:before="2"/>
        <w:rPr>
          <w:color w:val="auto"/>
          <w:szCs w:val="22"/>
        </w:rPr>
      </w:pPr>
    </w:p>
    <w:p w14:paraId="23032770" w14:textId="4DD079FD" w:rsidR="00043D0E" w:rsidRPr="000E31A4" w:rsidRDefault="001467CC" w:rsidP="00043D0E">
      <w:pPr>
        <w:pStyle w:val="Zkladntext"/>
        <w:keepNext/>
        <w:spacing w:before="2"/>
        <w:rPr>
          <w:color w:val="auto"/>
          <w:szCs w:val="22"/>
        </w:rPr>
      </w:pPr>
      <w:r w:rsidRPr="000E31A4">
        <w:rPr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E1819C" wp14:editId="2C9C589F">
                <wp:simplePos x="0" y="0"/>
                <wp:positionH relativeFrom="column">
                  <wp:posOffset>1009015</wp:posOffset>
                </wp:positionH>
                <wp:positionV relativeFrom="paragraph">
                  <wp:posOffset>367030</wp:posOffset>
                </wp:positionV>
                <wp:extent cx="1384300" cy="463550"/>
                <wp:effectExtent l="0" t="0" r="25400" b="1270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31AA" w14:textId="6F78BF5A" w:rsidR="004A19A0" w:rsidRDefault="004A19A0" w:rsidP="00043D0E">
                            <w:r>
                              <w:rPr>
                                <w:rFonts w:ascii="Microsoft Sans Serif"/>
                                <w:position w:val="9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t>Vericig</w:t>
                            </w:r>
                            <w:r w:rsidR="00C16C4E">
                              <w:t>u</w:t>
                            </w:r>
                            <w:r>
                              <w:t>át</w:t>
                            </w:r>
                          </w:p>
                          <w:p w14:paraId="10982CBD" w14:textId="3EA8818F" w:rsidR="004A19A0" w:rsidRPr="0005546F" w:rsidRDefault="004A19A0" w:rsidP="00043D0E">
                            <w:r>
                              <w:rPr>
                                <w:rFonts w:ascii="Microsoft Sans Serif"/>
                                <w:w w:val="99"/>
                                <w:position w:val="-2"/>
                                <w:sz w:val="19"/>
                              </w:rPr>
                              <w:t xml:space="preserve">--------- </w:t>
                            </w:r>
                            <w:r>
                              <w:t>Placebo</w:t>
                            </w:r>
                          </w:p>
                          <w:p w14:paraId="38F90A4E" w14:textId="77777777" w:rsidR="004A19A0" w:rsidRPr="002122F6" w:rsidRDefault="004A19A0" w:rsidP="00043D0E">
                            <w:pPr>
                              <w:tabs>
                                <w:tab w:val="left" w:pos="685"/>
                              </w:tabs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1819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9.45pt;margin-top:28.9pt;width:109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">
                <v:textbox>
                  <w:txbxContent>
                    <w:p w14:paraId="50E231AA" w14:textId="6F78BF5A" w:rsidR="004A19A0" w:rsidRDefault="004A19A0" w:rsidP="00043D0E">
                      <w:r>
                        <w:rPr>
                          <w:rFonts w:ascii="Microsoft Sans Serif"/>
                          <w:position w:val="9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rFonts w:ascii="Microsoft Sans Serif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>
                        <w:t>Vericig</w:t>
                      </w:r>
                      <w:r w:rsidR="00C16C4E">
                        <w:t>u</w:t>
                      </w:r>
                      <w:r>
                        <w:t>át</w:t>
                      </w:r>
                    </w:p>
                    <w:p w14:paraId="10982CBD" w14:textId="3EA8818F" w:rsidR="004A19A0" w:rsidRPr="0005546F" w:rsidRDefault="004A19A0" w:rsidP="00043D0E">
                      <w:r>
                        <w:rPr>
                          <w:rFonts w:ascii="Microsoft Sans Serif"/>
                          <w:w w:val="99"/>
                          <w:position w:val="-2"/>
                          <w:sz w:val="19"/>
                        </w:rPr>
                        <w:t xml:space="preserve">--------- </w:t>
                      </w:r>
                      <w:r>
                        <w:t>Placebo</w:t>
                      </w:r>
                    </w:p>
                    <w:p w14:paraId="38F90A4E" w14:textId="77777777" w:rsidR="004A19A0" w:rsidRPr="002122F6" w:rsidRDefault="004A19A0" w:rsidP="00043D0E">
                      <w:pPr>
                        <w:tabs>
                          <w:tab w:val="left" w:pos="685"/>
                        </w:tabs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31A4">
        <w:rPr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A9DED2" wp14:editId="2BF17848">
                <wp:simplePos x="0" y="0"/>
                <wp:positionH relativeFrom="column">
                  <wp:posOffset>4076065</wp:posOffset>
                </wp:positionH>
                <wp:positionV relativeFrom="paragraph">
                  <wp:posOffset>1834515</wp:posOffset>
                </wp:positionV>
                <wp:extent cx="1200150" cy="777875"/>
                <wp:effectExtent l="0" t="0" r="19050" b="2222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3CE1" w14:textId="77777777" w:rsidR="004A19A0" w:rsidRDefault="004A19A0" w:rsidP="00043D0E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Poměr rizik (95% CI)</w:t>
                            </w:r>
                          </w:p>
                          <w:p w14:paraId="6E9A5E79" w14:textId="77777777" w:rsidR="004A19A0" w:rsidRDefault="004A19A0" w:rsidP="00043D0E">
                            <w:pPr>
                              <w:rPr>
                                <w:szCs w:val="22"/>
                              </w:rPr>
                            </w:pPr>
                            <w:r>
                              <w:t>0,90 (0,82; 0,98)</w:t>
                            </w:r>
                          </w:p>
                          <w:p w14:paraId="332746E3" w14:textId="77777777" w:rsidR="004A19A0" w:rsidRPr="0005546F" w:rsidRDefault="004A19A0" w:rsidP="00043D0E">
                            <w:r>
                              <w:t>p = 0,019</w:t>
                            </w:r>
                          </w:p>
                          <w:p w14:paraId="04D740EB" w14:textId="77777777" w:rsidR="004A19A0" w:rsidRPr="002122F6" w:rsidRDefault="004A19A0" w:rsidP="00043D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9DED2" id="Textfeld 3" o:spid="_x0000_s1027" type="#_x0000_t202" style="position:absolute;margin-left:320.95pt;margin-top:144.45pt;width:94.5pt;height:61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">
                <v:textbox>
                  <w:txbxContent>
                    <w:p w14:paraId="31463CE1" w14:textId="77777777" w:rsidR="004A19A0" w:rsidRDefault="004A19A0" w:rsidP="00043D0E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</w:rPr>
                        <w:t>Poměr rizik (95% CI)</w:t>
                      </w:r>
                    </w:p>
                    <w:p w14:paraId="6E9A5E79" w14:textId="77777777" w:rsidR="004A19A0" w:rsidRDefault="004A19A0" w:rsidP="00043D0E">
                      <w:pPr>
                        <w:rPr>
                          <w:szCs w:val="22"/>
                        </w:rPr>
                      </w:pPr>
                      <w:r>
                        <w:t>0,90 (0,82; 0,98)</w:t>
                      </w:r>
                    </w:p>
                    <w:p w14:paraId="332746E3" w14:textId="77777777" w:rsidR="004A19A0" w:rsidRPr="0005546F" w:rsidRDefault="004A19A0" w:rsidP="00043D0E">
                      <w:r>
                        <w:t>p = 0,019</w:t>
                      </w:r>
                    </w:p>
                    <w:p w14:paraId="04D740EB" w14:textId="77777777" w:rsidR="004A19A0" w:rsidRPr="002122F6" w:rsidRDefault="004A19A0" w:rsidP="00043D0E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Cs w:val="22"/>
        </w:rPr>
        <w:drawing>
          <wp:inline distT="0" distB="0" distL="0" distR="0" wp14:anchorId="796B07F3" wp14:editId="6453BA6D">
            <wp:extent cx="5629275" cy="3343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FA25E" w14:textId="3DC5DAAC" w:rsidR="00043D0E" w:rsidRPr="000E31A4" w:rsidRDefault="00043D0E" w:rsidP="00043D0E">
      <w:pPr>
        <w:rPr>
          <w:b/>
          <w:bCs/>
        </w:rPr>
      </w:pPr>
      <w:r w:rsidRPr="000E31A4">
        <w:rPr>
          <w:b/>
        </w:rPr>
        <w:t>Počet subjektů</w:t>
      </w:r>
      <w:r w:rsidR="00212C51">
        <w:rPr>
          <w:b/>
        </w:rPr>
        <w:t xml:space="preserve"> v riziku</w:t>
      </w:r>
    </w:p>
    <w:p w14:paraId="1B24A7F9" w14:textId="0672DB5A" w:rsidR="00043D0E" w:rsidRPr="000E31A4" w:rsidRDefault="00043D0E" w:rsidP="00043D0E">
      <w:pPr>
        <w:pStyle w:val="Zkladntext"/>
        <w:spacing w:before="1"/>
        <w:rPr>
          <w:color w:val="auto"/>
          <w:szCs w:val="22"/>
        </w:rPr>
      </w:pPr>
    </w:p>
    <w:tbl>
      <w:tblPr>
        <w:tblStyle w:val="TableNormal1"/>
        <w:tblW w:w="9033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1663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43D0E" w:rsidRPr="000E31A4" w14:paraId="70621AAE" w14:textId="77777777" w:rsidTr="00DF5503">
        <w:trPr>
          <w:trHeight w:val="222"/>
        </w:trPr>
        <w:tc>
          <w:tcPr>
            <w:tcW w:w="1663" w:type="dxa"/>
          </w:tcPr>
          <w:p w14:paraId="684CC6CC" w14:textId="4D27D6BF" w:rsidR="00043D0E" w:rsidRPr="000E31A4" w:rsidRDefault="00043D0E" w:rsidP="00DF5503">
            <w:pPr>
              <w:rPr>
                <w:rFonts w:ascii="Times New Roman" w:hAnsi="Times New Roman" w:cs="Times New Roman"/>
              </w:rPr>
            </w:pPr>
            <w:proofErr w:type="spellStart"/>
            <w:r w:rsidRPr="000E31A4">
              <w:rPr>
                <w:rFonts w:ascii="Times New Roman" w:hAnsi="Times New Roman" w:cs="Times New Roman"/>
              </w:rPr>
              <w:t>Vericig</w:t>
            </w:r>
            <w:r w:rsidR="00DA3AC5">
              <w:rPr>
                <w:rFonts w:ascii="Times New Roman" w:hAnsi="Times New Roman" w:cs="Times New Roman"/>
              </w:rPr>
              <w:t>u</w:t>
            </w:r>
            <w:r w:rsidR="005D60C4">
              <w:rPr>
                <w:rFonts w:ascii="Times New Roman" w:hAnsi="Times New Roman" w:cs="Times New Roman"/>
              </w:rPr>
              <w:t>á</w:t>
            </w:r>
            <w:r w:rsidRPr="000E31A4">
              <w:rPr>
                <w:rFonts w:ascii="Times New Roman" w:hAnsi="Times New Roman" w:cs="Times New Roman"/>
              </w:rPr>
              <w:t>t</w:t>
            </w:r>
            <w:proofErr w:type="spellEnd"/>
          </w:p>
        </w:tc>
        <w:tc>
          <w:tcPr>
            <w:tcW w:w="737" w:type="dxa"/>
          </w:tcPr>
          <w:p w14:paraId="64735F4E" w14:textId="77777777" w:rsidR="00043D0E" w:rsidRPr="000E31A4" w:rsidRDefault="00043D0E" w:rsidP="00DF5503">
            <w:pPr>
              <w:pStyle w:val="TableParagraph"/>
              <w:spacing w:before="18" w:line="184" w:lineRule="exact"/>
              <w:ind w:right="120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2526</w:t>
            </w:r>
          </w:p>
        </w:tc>
        <w:tc>
          <w:tcPr>
            <w:tcW w:w="737" w:type="dxa"/>
          </w:tcPr>
          <w:p w14:paraId="391C17BE" w14:textId="77777777" w:rsidR="00043D0E" w:rsidRPr="000E31A4" w:rsidRDefault="00043D0E" w:rsidP="00DF5503">
            <w:pPr>
              <w:pStyle w:val="TableParagraph"/>
              <w:spacing w:before="18" w:line="184" w:lineRule="exact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2099</w:t>
            </w:r>
          </w:p>
        </w:tc>
        <w:tc>
          <w:tcPr>
            <w:tcW w:w="737" w:type="dxa"/>
          </w:tcPr>
          <w:p w14:paraId="05C796CA" w14:textId="77777777" w:rsidR="00043D0E" w:rsidRPr="000E31A4" w:rsidRDefault="00043D0E" w:rsidP="00DF5503">
            <w:pPr>
              <w:pStyle w:val="TableParagraph"/>
              <w:spacing w:before="18" w:line="184" w:lineRule="exact"/>
              <w:ind w:right="120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1621</w:t>
            </w:r>
          </w:p>
        </w:tc>
        <w:tc>
          <w:tcPr>
            <w:tcW w:w="737" w:type="dxa"/>
          </w:tcPr>
          <w:p w14:paraId="54F070CA" w14:textId="77777777" w:rsidR="00043D0E" w:rsidRPr="000E31A4" w:rsidRDefault="00043D0E" w:rsidP="00DF5503">
            <w:pPr>
              <w:pStyle w:val="TableParagraph"/>
              <w:spacing w:before="18" w:line="184" w:lineRule="exact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1154</w:t>
            </w:r>
          </w:p>
        </w:tc>
        <w:tc>
          <w:tcPr>
            <w:tcW w:w="737" w:type="dxa"/>
          </w:tcPr>
          <w:p w14:paraId="2723D212" w14:textId="77777777" w:rsidR="00043D0E" w:rsidRPr="000E31A4" w:rsidRDefault="00043D0E" w:rsidP="00DF5503">
            <w:pPr>
              <w:pStyle w:val="TableParagraph"/>
              <w:spacing w:before="18" w:line="184" w:lineRule="exact"/>
              <w:ind w:right="166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826</w:t>
            </w:r>
          </w:p>
        </w:tc>
        <w:tc>
          <w:tcPr>
            <w:tcW w:w="737" w:type="dxa"/>
          </w:tcPr>
          <w:p w14:paraId="243ECA77" w14:textId="77777777" w:rsidR="00043D0E" w:rsidRPr="000E31A4" w:rsidRDefault="00043D0E" w:rsidP="00DF5503">
            <w:pPr>
              <w:pStyle w:val="TableParagraph"/>
              <w:spacing w:before="18" w:line="184" w:lineRule="exact"/>
              <w:ind w:right="115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577</w:t>
            </w:r>
          </w:p>
        </w:tc>
        <w:tc>
          <w:tcPr>
            <w:tcW w:w="737" w:type="dxa"/>
          </w:tcPr>
          <w:p w14:paraId="17EA0D7A" w14:textId="77777777" w:rsidR="00043D0E" w:rsidRPr="000E31A4" w:rsidRDefault="00043D0E" w:rsidP="00DF5503">
            <w:pPr>
              <w:pStyle w:val="TableParagraph"/>
              <w:spacing w:before="18" w:line="184" w:lineRule="exact"/>
              <w:ind w:right="180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348</w:t>
            </w:r>
          </w:p>
        </w:tc>
        <w:tc>
          <w:tcPr>
            <w:tcW w:w="737" w:type="dxa"/>
          </w:tcPr>
          <w:p w14:paraId="0913B76C" w14:textId="77777777" w:rsidR="00043D0E" w:rsidRPr="000E31A4" w:rsidRDefault="00043D0E" w:rsidP="00DF5503">
            <w:pPr>
              <w:pStyle w:val="TableParagraph"/>
              <w:spacing w:before="18" w:line="184" w:lineRule="exact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125</w:t>
            </w:r>
          </w:p>
        </w:tc>
        <w:tc>
          <w:tcPr>
            <w:tcW w:w="737" w:type="dxa"/>
          </w:tcPr>
          <w:p w14:paraId="54706341" w14:textId="77777777" w:rsidR="00043D0E" w:rsidRPr="000E31A4" w:rsidRDefault="00043D0E" w:rsidP="00DF5503">
            <w:pPr>
              <w:pStyle w:val="TableParagraph"/>
              <w:spacing w:before="18" w:line="184" w:lineRule="exact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737" w:type="dxa"/>
          </w:tcPr>
          <w:p w14:paraId="769C9737" w14:textId="77777777" w:rsidR="00043D0E" w:rsidRPr="000E31A4" w:rsidRDefault="00043D0E" w:rsidP="00DF5503">
            <w:pPr>
              <w:pStyle w:val="TableParagraph"/>
              <w:spacing w:before="18" w:line="184" w:lineRule="exact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3"/>
              </w:rPr>
              <w:t>0</w:t>
            </w:r>
          </w:p>
        </w:tc>
      </w:tr>
      <w:tr w:rsidR="00043D0E" w:rsidRPr="000E31A4" w14:paraId="26C71945" w14:textId="77777777" w:rsidTr="00DF5503">
        <w:trPr>
          <w:trHeight w:val="325"/>
        </w:trPr>
        <w:tc>
          <w:tcPr>
            <w:tcW w:w="1663" w:type="dxa"/>
          </w:tcPr>
          <w:p w14:paraId="7EA66F3B" w14:textId="77777777" w:rsidR="00043D0E" w:rsidRPr="000E31A4" w:rsidRDefault="00043D0E" w:rsidP="00DF5503">
            <w:pPr>
              <w:pStyle w:val="TableParagraph"/>
              <w:spacing w:before="7"/>
              <w:ind w:right="111"/>
              <w:jc w:val="lef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</w:rPr>
              <w:t>Placebo</w:t>
            </w:r>
          </w:p>
        </w:tc>
        <w:tc>
          <w:tcPr>
            <w:tcW w:w="737" w:type="dxa"/>
          </w:tcPr>
          <w:p w14:paraId="52062B89" w14:textId="77777777" w:rsidR="00043D0E" w:rsidRPr="000E31A4" w:rsidRDefault="00043D0E" w:rsidP="00DF5503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2524</w:t>
            </w:r>
          </w:p>
        </w:tc>
        <w:tc>
          <w:tcPr>
            <w:tcW w:w="737" w:type="dxa"/>
          </w:tcPr>
          <w:p w14:paraId="51C0FF69" w14:textId="77777777" w:rsidR="00043D0E" w:rsidRPr="000E31A4" w:rsidRDefault="00043D0E" w:rsidP="00DF5503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2053</w:t>
            </w:r>
          </w:p>
        </w:tc>
        <w:tc>
          <w:tcPr>
            <w:tcW w:w="737" w:type="dxa"/>
          </w:tcPr>
          <w:p w14:paraId="74133469" w14:textId="77777777" w:rsidR="00043D0E" w:rsidRPr="000E31A4" w:rsidRDefault="00043D0E" w:rsidP="00DF5503">
            <w:pPr>
              <w:pStyle w:val="TableParagraph"/>
              <w:ind w:right="120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1555</w:t>
            </w:r>
          </w:p>
        </w:tc>
        <w:tc>
          <w:tcPr>
            <w:tcW w:w="737" w:type="dxa"/>
          </w:tcPr>
          <w:p w14:paraId="1FCE951C" w14:textId="77777777" w:rsidR="00043D0E" w:rsidRPr="000E31A4" w:rsidRDefault="00043D0E" w:rsidP="00DF5503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1097</w:t>
            </w:r>
          </w:p>
        </w:tc>
        <w:tc>
          <w:tcPr>
            <w:tcW w:w="737" w:type="dxa"/>
          </w:tcPr>
          <w:p w14:paraId="533B1B7A" w14:textId="77777777" w:rsidR="00043D0E" w:rsidRPr="000E31A4" w:rsidRDefault="00043D0E" w:rsidP="00DF5503">
            <w:pPr>
              <w:pStyle w:val="TableParagraph"/>
              <w:ind w:right="166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772</w:t>
            </w:r>
          </w:p>
        </w:tc>
        <w:tc>
          <w:tcPr>
            <w:tcW w:w="737" w:type="dxa"/>
          </w:tcPr>
          <w:p w14:paraId="1D99FC07" w14:textId="77777777" w:rsidR="00043D0E" w:rsidRPr="000E31A4" w:rsidRDefault="00043D0E" w:rsidP="00DF5503">
            <w:pPr>
              <w:pStyle w:val="TableParagraph"/>
              <w:ind w:right="115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559</w:t>
            </w:r>
          </w:p>
        </w:tc>
        <w:tc>
          <w:tcPr>
            <w:tcW w:w="737" w:type="dxa"/>
          </w:tcPr>
          <w:p w14:paraId="376650D1" w14:textId="77777777" w:rsidR="00043D0E" w:rsidRPr="000E31A4" w:rsidRDefault="00043D0E" w:rsidP="00DF5503">
            <w:pPr>
              <w:pStyle w:val="TableParagraph"/>
              <w:ind w:right="180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324</w:t>
            </w:r>
          </w:p>
        </w:tc>
        <w:tc>
          <w:tcPr>
            <w:tcW w:w="737" w:type="dxa"/>
          </w:tcPr>
          <w:p w14:paraId="6B372536" w14:textId="77777777" w:rsidR="00043D0E" w:rsidRPr="000E31A4" w:rsidRDefault="00043D0E" w:rsidP="00DF5503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5"/>
              </w:rPr>
              <w:t>110</w:t>
            </w:r>
          </w:p>
        </w:tc>
        <w:tc>
          <w:tcPr>
            <w:tcW w:w="737" w:type="dxa"/>
          </w:tcPr>
          <w:p w14:paraId="3D9B66CD" w14:textId="77777777" w:rsidR="00043D0E" w:rsidRPr="000E31A4" w:rsidRDefault="00043D0E" w:rsidP="00DF5503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3"/>
              </w:rPr>
              <w:t>0</w:t>
            </w:r>
          </w:p>
        </w:tc>
        <w:tc>
          <w:tcPr>
            <w:tcW w:w="737" w:type="dxa"/>
          </w:tcPr>
          <w:p w14:paraId="0DC3ACC1" w14:textId="77777777" w:rsidR="00043D0E" w:rsidRPr="000E31A4" w:rsidRDefault="00043D0E" w:rsidP="00DF5503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0E31A4">
              <w:rPr>
                <w:rFonts w:ascii="Times New Roman" w:hAnsi="Times New Roman" w:cs="Times New Roman"/>
                <w:w w:val="103"/>
              </w:rPr>
              <w:t>0</w:t>
            </w:r>
          </w:p>
        </w:tc>
      </w:tr>
    </w:tbl>
    <w:p w14:paraId="3F212589" w14:textId="5C5AAC50" w:rsidR="00043D0E" w:rsidRPr="000E31A4" w:rsidRDefault="00043D0E" w:rsidP="00043D0E">
      <w:pPr>
        <w:pStyle w:val="Zkladntext"/>
        <w:spacing w:before="1"/>
        <w:rPr>
          <w:color w:val="auto"/>
          <w:szCs w:val="22"/>
        </w:rPr>
      </w:pPr>
    </w:p>
    <w:p w14:paraId="717D0E95" w14:textId="7B1F248A" w:rsidR="00AF16EC" w:rsidRPr="001D3DB1" w:rsidRDefault="00AF16EC" w:rsidP="00F05E42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t>Bylo prošetřeno široké rozmezí demografických charakteristik, výchozích charakteristik onemocnění a výchozích souběžně užívaných lé</w:t>
      </w:r>
      <w:r w:rsidR="00784794" w:rsidRPr="001D3DB1">
        <w:t>čivých příprav</w:t>
      </w:r>
      <w:r w:rsidRPr="001D3DB1">
        <w:t xml:space="preserve">ků </w:t>
      </w:r>
      <w:r w:rsidR="005D60C4" w:rsidRPr="005D60C4">
        <w:t>s ohledem na jejich vliv na výsledky</w:t>
      </w:r>
      <w:r w:rsidRPr="001D3DB1">
        <w:t xml:space="preserve">. </w:t>
      </w:r>
      <w:r w:rsidR="00F5788E" w:rsidRPr="001D3DB1">
        <w:t>V</w:t>
      </w:r>
      <w:r w:rsidR="00D73602" w:rsidRPr="001D3DB1">
        <w:t>ý</w:t>
      </w:r>
      <w:r w:rsidR="00F5788E" w:rsidRPr="001D3DB1">
        <w:t xml:space="preserve">sledné hodnoty složeného primárního cílového parametru byly </w:t>
      </w:r>
      <w:r w:rsidR="00D73602" w:rsidRPr="001D3DB1">
        <w:t>při porovnání mezi</w:t>
      </w:r>
      <w:r w:rsidR="00F5788E" w:rsidRPr="001D3DB1">
        <w:t xml:space="preserve"> podskupin</w:t>
      </w:r>
      <w:r w:rsidR="00D73602" w:rsidRPr="001D3DB1">
        <w:t>ami</w:t>
      </w:r>
      <w:r w:rsidR="00F5788E" w:rsidRPr="001D3DB1">
        <w:t xml:space="preserve"> zpravidla konzistentní. </w:t>
      </w:r>
      <w:r w:rsidRPr="001D3DB1">
        <w:t xml:space="preserve">Výsledky </w:t>
      </w:r>
      <w:r w:rsidR="00225556" w:rsidRPr="001D3DB1">
        <w:t xml:space="preserve">vybraných podskupin </w:t>
      </w:r>
      <w:r w:rsidRPr="001D3DB1">
        <w:t>předem specifikovan</w:t>
      </w:r>
      <w:r w:rsidR="0067414A" w:rsidRPr="001D3DB1">
        <w:t>ých</w:t>
      </w:r>
      <w:r w:rsidRPr="001D3DB1">
        <w:t xml:space="preserve"> analýz uvádí obrázek 2.</w:t>
      </w:r>
    </w:p>
    <w:p w14:paraId="65A54E75" w14:textId="77777777" w:rsidR="0088772A" w:rsidRPr="001D3DB1" w:rsidRDefault="0088772A" w:rsidP="00043D0E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1BFC0BD" w14:textId="6071BB4A" w:rsidR="004A60DB" w:rsidRPr="001D3DB1" w:rsidRDefault="004A60DB" w:rsidP="00A91160">
      <w:pPr>
        <w:keepNext/>
        <w:keepLines/>
        <w:autoSpaceDE w:val="0"/>
        <w:autoSpaceDN w:val="0"/>
        <w:adjustRightInd w:val="0"/>
        <w:spacing w:line="240" w:lineRule="auto"/>
        <w:rPr>
          <w:b/>
          <w:szCs w:val="22"/>
        </w:rPr>
      </w:pPr>
      <w:r w:rsidRPr="001D3DB1">
        <w:rPr>
          <w:b/>
        </w:rPr>
        <w:lastRenderedPageBreak/>
        <w:t>Obrázek 2: Složený primární cílový parametr (čas do prvního výskytu úmrtí z CV příčin nebo hospitalizace pro HF) –</w:t>
      </w:r>
      <w:r w:rsidR="00225556" w:rsidRPr="001D3DB1">
        <w:rPr>
          <w:b/>
        </w:rPr>
        <w:t>vybrané podskupiny předem specifikovan</w:t>
      </w:r>
      <w:r w:rsidR="00C76FC8" w:rsidRPr="001D3DB1">
        <w:rPr>
          <w:b/>
        </w:rPr>
        <w:t>ých</w:t>
      </w:r>
      <w:r w:rsidR="00225556" w:rsidRPr="001D3DB1">
        <w:rPr>
          <w:b/>
        </w:rPr>
        <w:t xml:space="preserve"> </w:t>
      </w:r>
      <w:r w:rsidRPr="001D3DB1">
        <w:rPr>
          <w:b/>
        </w:rPr>
        <w:t>analýz</w:t>
      </w:r>
    </w:p>
    <w:p w14:paraId="0451CB29" w14:textId="77777777" w:rsidR="004A60DB" w:rsidRPr="001D3DB1" w:rsidRDefault="004A60DB" w:rsidP="00A91160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1305"/>
        <w:gridCol w:w="1459"/>
        <w:gridCol w:w="1482"/>
      </w:tblGrid>
      <w:tr w:rsidR="00AC0951" w:rsidRPr="001D3DB1" w14:paraId="6D68611A" w14:textId="77777777" w:rsidTr="00FC48E7">
        <w:trPr>
          <w:trHeight w:val="600"/>
        </w:trPr>
        <w:tc>
          <w:tcPr>
            <w:tcW w:w="1980" w:type="dxa"/>
          </w:tcPr>
          <w:p w14:paraId="66B94411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753AAE" w14:textId="260F085A" w:rsidR="00AC0951" w:rsidRPr="001D3DB1" w:rsidRDefault="00AC0951" w:rsidP="009B6EB1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% cel</w:t>
            </w:r>
            <w:r w:rsidR="009B6EB1" w:rsidRPr="001D3DB1">
              <w:rPr>
                <w:b/>
                <w:bCs/>
                <w:sz w:val="18"/>
                <w:szCs w:val="18"/>
              </w:rPr>
              <w:t>kové</w:t>
            </w:r>
            <w:r w:rsidRPr="001D3DB1">
              <w:rPr>
                <w:b/>
                <w:bCs/>
                <w:sz w:val="18"/>
                <w:szCs w:val="18"/>
              </w:rPr>
              <w:t xml:space="preserve"> populace</w:t>
            </w:r>
          </w:p>
        </w:tc>
        <w:tc>
          <w:tcPr>
            <w:tcW w:w="1276" w:type="dxa"/>
          </w:tcPr>
          <w:p w14:paraId="685924BD" w14:textId="0C66453E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D3DB1">
              <w:rPr>
                <w:b/>
                <w:bCs/>
                <w:sz w:val="18"/>
                <w:szCs w:val="18"/>
              </w:rPr>
              <w:t>Vericig</w:t>
            </w:r>
            <w:r w:rsidR="00DA3AC5">
              <w:rPr>
                <w:b/>
                <w:bCs/>
                <w:sz w:val="18"/>
                <w:szCs w:val="18"/>
              </w:rPr>
              <w:t>u</w:t>
            </w:r>
            <w:r w:rsidR="00BE2C8F">
              <w:rPr>
                <w:b/>
                <w:bCs/>
                <w:sz w:val="18"/>
                <w:szCs w:val="18"/>
              </w:rPr>
              <w:t>á</w:t>
            </w:r>
            <w:r w:rsidRPr="001D3DB1">
              <w:rPr>
                <w:b/>
                <w:bCs/>
                <w:sz w:val="18"/>
                <w:szCs w:val="18"/>
              </w:rPr>
              <w:t>t</w:t>
            </w:r>
            <w:proofErr w:type="spellEnd"/>
          </w:p>
          <w:p w14:paraId="3EE3467E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n (%)</w:t>
            </w:r>
          </w:p>
        </w:tc>
        <w:tc>
          <w:tcPr>
            <w:tcW w:w="1305" w:type="dxa"/>
          </w:tcPr>
          <w:p w14:paraId="301435D4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Placebo</w:t>
            </w:r>
          </w:p>
          <w:p w14:paraId="1261C8A1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n (%)</w:t>
            </w:r>
          </w:p>
        </w:tc>
        <w:tc>
          <w:tcPr>
            <w:tcW w:w="1459" w:type="dxa"/>
          </w:tcPr>
          <w:p w14:paraId="4C5A8E52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2" w:type="dxa"/>
          </w:tcPr>
          <w:p w14:paraId="4912C4B8" w14:textId="7B23EBFA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Poměr rizik</w:t>
            </w:r>
          </w:p>
          <w:p w14:paraId="70119404" w14:textId="39A6E1E9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1D3DB1">
              <w:rPr>
                <w:b/>
                <w:bCs/>
                <w:sz w:val="18"/>
                <w:szCs w:val="18"/>
              </w:rPr>
              <w:t>95%</w:t>
            </w:r>
            <w:proofErr w:type="gramEnd"/>
            <w:r w:rsidRPr="001D3DB1">
              <w:rPr>
                <w:b/>
                <w:bCs/>
                <w:sz w:val="18"/>
                <w:szCs w:val="18"/>
              </w:rPr>
              <w:t xml:space="preserve"> C</w:t>
            </w:r>
            <w:r w:rsidR="001A7F01">
              <w:rPr>
                <w:b/>
                <w:bCs/>
                <w:sz w:val="18"/>
                <w:szCs w:val="18"/>
              </w:rPr>
              <w:t>I</w:t>
            </w:r>
            <w:r w:rsidRPr="001D3DB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AC0951" w:rsidRPr="001D3DB1" w14:paraId="42ED04B2" w14:textId="77777777" w:rsidTr="00FC48E7">
        <w:tc>
          <w:tcPr>
            <w:tcW w:w="9061" w:type="dxa"/>
            <w:gridSpan w:val="6"/>
          </w:tcPr>
          <w:p w14:paraId="586201D4" w14:textId="48112985" w:rsidR="00AC0951" w:rsidRPr="001D3DB1" w:rsidRDefault="00AC0951" w:rsidP="007E57B2">
            <w:pPr>
              <w:keepNext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NT</w:t>
            </w:r>
            <w:r w:rsidR="007E57B2" w:rsidRPr="001D3DB1">
              <w:rPr>
                <w:b/>
                <w:bCs/>
                <w:sz w:val="18"/>
                <w:szCs w:val="18"/>
              </w:rPr>
              <w:t>-</w:t>
            </w:r>
            <w:proofErr w:type="spellStart"/>
            <w:r w:rsidRPr="001D3DB1">
              <w:rPr>
                <w:b/>
                <w:bCs/>
                <w:sz w:val="18"/>
                <w:szCs w:val="18"/>
              </w:rPr>
              <w:t>proBNP</w:t>
            </w:r>
            <w:proofErr w:type="spellEnd"/>
            <w:r w:rsidRPr="001D3DB1">
              <w:rPr>
                <w:b/>
                <w:bCs/>
                <w:sz w:val="18"/>
                <w:szCs w:val="18"/>
              </w:rPr>
              <w:t xml:space="preserve"> ve výchozím stavu podle kvartilů</w:t>
            </w:r>
            <w:r w:rsidRPr="001D3DB1">
              <w:rPr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1D3DB1">
              <w:rPr>
                <w:b/>
                <w:bCs/>
                <w:sz w:val="18"/>
                <w:szCs w:val="18"/>
              </w:rPr>
              <w:t>pg</w:t>
            </w:r>
            <w:proofErr w:type="spellEnd"/>
            <w:r w:rsidRPr="001D3DB1">
              <w:rPr>
                <w:b/>
                <w:bCs/>
                <w:sz w:val="18"/>
                <w:szCs w:val="18"/>
              </w:rPr>
              <w:t>/ml)</w:t>
            </w:r>
          </w:p>
        </w:tc>
      </w:tr>
      <w:tr w:rsidR="00AC0951" w:rsidRPr="001D3DB1" w14:paraId="31306C87" w14:textId="77777777" w:rsidTr="00FC48E7">
        <w:trPr>
          <w:trHeight w:val="1112"/>
        </w:trPr>
        <w:tc>
          <w:tcPr>
            <w:tcW w:w="1980" w:type="dxa"/>
          </w:tcPr>
          <w:p w14:paraId="19DA02F9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Q1 (≤ 1 556)</w:t>
            </w:r>
          </w:p>
          <w:p w14:paraId="5BB0C9EC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Q2 (&gt; 1 556</w:t>
            </w:r>
            <w:r w:rsidRPr="001D3DB1">
              <w:rPr>
                <w:sz w:val="18"/>
                <w:szCs w:val="18"/>
              </w:rPr>
              <w:noBreakHyphen/>
              <w:t>≤ 2 816)</w:t>
            </w:r>
          </w:p>
          <w:p w14:paraId="283F36CE" w14:textId="4CE95959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Q3 (&gt; 2</w:t>
            </w:r>
            <w:r w:rsidR="0000624C" w:rsidRPr="001D3DB1">
              <w:rPr>
                <w:sz w:val="18"/>
                <w:szCs w:val="18"/>
              </w:rPr>
              <w:t> </w:t>
            </w:r>
            <w:r w:rsidRPr="001D3DB1">
              <w:rPr>
                <w:sz w:val="18"/>
                <w:szCs w:val="18"/>
              </w:rPr>
              <w:t>816</w:t>
            </w:r>
            <w:r w:rsidRPr="001D3DB1">
              <w:rPr>
                <w:sz w:val="18"/>
                <w:szCs w:val="18"/>
              </w:rPr>
              <w:noBreakHyphen/>
              <w:t>≤ 5 314)</w:t>
            </w:r>
          </w:p>
          <w:p w14:paraId="1C264F09" w14:textId="2F1598E1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Q4 (&gt; 5</w:t>
            </w:r>
            <w:r w:rsidR="0000624C" w:rsidRPr="001D3DB1">
              <w:rPr>
                <w:sz w:val="18"/>
                <w:szCs w:val="18"/>
              </w:rPr>
              <w:t> </w:t>
            </w:r>
            <w:r w:rsidRPr="001D3DB1">
              <w:rPr>
                <w:sz w:val="18"/>
                <w:szCs w:val="18"/>
              </w:rPr>
              <w:t>314)</w:t>
            </w:r>
          </w:p>
        </w:tc>
        <w:tc>
          <w:tcPr>
            <w:tcW w:w="1559" w:type="dxa"/>
          </w:tcPr>
          <w:p w14:paraId="04B2C9B7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23,8</w:t>
            </w:r>
          </w:p>
          <w:p w14:paraId="59F122DB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23,8</w:t>
            </w:r>
          </w:p>
          <w:p w14:paraId="12D3204D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23,7</w:t>
            </w:r>
          </w:p>
          <w:p w14:paraId="488ADD4C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23,8</w:t>
            </w:r>
          </w:p>
        </w:tc>
        <w:tc>
          <w:tcPr>
            <w:tcW w:w="1276" w:type="dxa"/>
          </w:tcPr>
          <w:p w14:paraId="125896B6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128 (21,4)</w:t>
            </w:r>
          </w:p>
          <w:p w14:paraId="6B9A7F62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165 (26,9)</w:t>
            </w:r>
          </w:p>
          <w:p w14:paraId="2115C671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213 (36,3)</w:t>
            </w:r>
          </w:p>
          <w:p w14:paraId="5B6AAFFF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355 (57,6)</w:t>
            </w:r>
          </w:p>
        </w:tc>
        <w:tc>
          <w:tcPr>
            <w:tcW w:w="1305" w:type="dxa"/>
          </w:tcPr>
          <w:p w14:paraId="26EEA666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161 (26,7)</w:t>
            </w:r>
          </w:p>
          <w:p w14:paraId="2C726BF3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201 (34,1)</w:t>
            </w:r>
          </w:p>
          <w:p w14:paraId="3CA41B66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257 (41,9)</w:t>
            </w:r>
          </w:p>
          <w:p w14:paraId="7EBBF4E3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302 (51,6)</w:t>
            </w:r>
          </w:p>
        </w:tc>
        <w:tc>
          <w:tcPr>
            <w:tcW w:w="1459" w:type="dxa"/>
          </w:tcPr>
          <w:p w14:paraId="0BAEAAB2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E1480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9C08BDC" wp14:editId="0AC23843">
                  <wp:extent cx="712470" cy="542261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874" cy="54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14:paraId="46D71673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0,78 (0,62; 0,99)</w:t>
            </w:r>
          </w:p>
          <w:p w14:paraId="448524ED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0,73 (0,60; 0,90)</w:t>
            </w:r>
          </w:p>
          <w:p w14:paraId="42E66832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0,82 (0,69; 0,99)</w:t>
            </w:r>
          </w:p>
          <w:p w14:paraId="1C3826AD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1,16 (0,99; 1,35)</w:t>
            </w:r>
          </w:p>
        </w:tc>
      </w:tr>
      <w:tr w:rsidR="00AC0951" w:rsidRPr="001D3DB1" w14:paraId="2591B65B" w14:textId="77777777" w:rsidTr="00FC48E7">
        <w:trPr>
          <w:trHeight w:val="433"/>
        </w:trPr>
        <w:tc>
          <w:tcPr>
            <w:tcW w:w="9061" w:type="dxa"/>
            <w:gridSpan w:val="6"/>
          </w:tcPr>
          <w:p w14:paraId="29C03AEE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Ejekční frakce při screeningu</w:t>
            </w:r>
          </w:p>
          <w:p w14:paraId="4EA185AA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Skupina 1</w:t>
            </w:r>
          </w:p>
        </w:tc>
      </w:tr>
      <w:tr w:rsidR="00AC0951" w:rsidRPr="001D3DB1" w14:paraId="337B39F2" w14:textId="77777777" w:rsidTr="00FC48E7">
        <w:trPr>
          <w:trHeight w:val="695"/>
        </w:trPr>
        <w:tc>
          <w:tcPr>
            <w:tcW w:w="1980" w:type="dxa"/>
          </w:tcPr>
          <w:p w14:paraId="620D949A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proofErr w:type="gramStart"/>
            <w:r w:rsidRPr="001D3DB1">
              <w:rPr>
                <w:sz w:val="18"/>
                <w:szCs w:val="18"/>
              </w:rPr>
              <w:t>&lt; 35</w:t>
            </w:r>
            <w:proofErr w:type="gramEnd"/>
            <w:r w:rsidRPr="001D3DB1">
              <w:rPr>
                <w:sz w:val="18"/>
                <w:szCs w:val="18"/>
              </w:rPr>
              <w:t> %</w:t>
            </w:r>
          </w:p>
          <w:p w14:paraId="3E0AC617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≥ 35 %</w:t>
            </w:r>
          </w:p>
        </w:tc>
        <w:tc>
          <w:tcPr>
            <w:tcW w:w="1559" w:type="dxa"/>
          </w:tcPr>
          <w:p w14:paraId="3E5E3AA5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68,6</w:t>
            </w:r>
          </w:p>
          <w:p w14:paraId="3FFCA10F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31,1</w:t>
            </w:r>
          </w:p>
        </w:tc>
        <w:tc>
          <w:tcPr>
            <w:tcW w:w="1276" w:type="dxa"/>
          </w:tcPr>
          <w:p w14:paraId="59BBA379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637 (36,9)</w:t>
            </w:r>
          </w:p>
          <w:p w14:paraId="0E7B4FCC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255 (32,2)</w:t>
            </w:r>
          </w:p>
        </w:tc>
        <w:tc>
          <w:tcPr>
            <w:tcW w:w="1305" w:type="dxa"/>
          </w:tcPr>
          <w:p w14:paraId="2BB0FBBC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703 (40,4)</w:t>
            </w:r>
          </w:p>
          <w:p w14:paraId="3FB61EBC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265 (34,0)</w:t>
            </w:r>
          </w:p>
        </w:tc>
        <w:tc>
          <w:tcPr>
            <w:tcW w:w="1459" w:type="dxa"/>
          </w:tcPr>
          <w:p w14:paraId="48C5D80E" w14:textId="42ED30EE" w:rsidR="00AC0951" w:rsidRPr="001D3DB1" w:rsidRDefault="006A1F0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E1480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60FD01B" wp14:editId="37AF76D9">
                  <wp:extent cx="712470" cy="308344"/>
                  <wp:effectExtent l="0" t="0" r="0" b="0"/>
                  <wp:docPr id="551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090" cy="310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14:paraId="68FE6F0B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0,88 (0,79; 0,97)</w:t>
            </w:r>
          </w:p>
          <w:p w14:paraId="03F6F0A9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0,96 (0,81; 1,14)</w:t>
            </w:r>
          </w:p>
        </w:tc>
      </w:tr>
      <w:tr w:rsidR="00AC0951" w:rsidRPr="001D3DB1" w14:paraId="4F795E45" w14:textId="77777777" w:rsidTr="00FC48E7">
        <w:tc>
          <w:tcPr>
            <w:tcW w:w="9061" w:type="dxa"/>
            <w:gridSpan w:val="6"/>
          </w:tcPr>
          <w:p w14:paraId="196AB562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Ejekční frakce při screeningu</w:t>
            </w:r>
          </w:p>
          <w:p w14:paraId="2DBD3A7B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Skupina 2</w:t>
            </w:r>
          </w:p>
        </w:tc>
      </w:tr>
      <w:tr w:rsidR="00AC0951" w:rsidRPr="001D3DB1" w14:paraId="54A4DF19" w14:textId="77777777" w:rsidTr="00FC48E7">
        <w:trPr>
          <w:trHeight w:val="807"/>
        </w:trPr>
        <w:tc>
          <w:tcPr>
            <w:tcW w:w="1980" w:type="dxa"/>
          </w:tcPr>
          <w:p w14:paraId="7E2251E2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proofErr w:type="gramStart"/>
            <w:r w:rsidRPr="001D3DB1">
              <w:rPr>
                <w:sz w:val="18"/>
                <w:szCs w:val="18"/>
              </w:rPr>
              <w:t>&lt; 40</w:t>
            </w:r>
            <w:proofErr w:type="gramEnd"/>
            <w:r w:rsidRPr="001D3DB1">
              <w:rPr>
                <w:sz w:val="18"/>
                <w:szCs w:val="18"/>
              </w:rPr>
              <w:t> %</w:t>
            </w:r>
          </w:p>
          <w:p w14:paraId="05AC3C9F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≥ 40 %</w:t>
            </w:r>
          </w:p>
        </w:tc>
        <w:tc>
          <w:tcPr>
            <w:tcW w:w="1559" w:type="dxa"/>
          </w:tcPr>
          <w:p w14:paraId="3B9E5A6E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85,5</w:t>
            </w:r>
          </w:p>
          <w:p w14:paraId="4500106B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14,3</w:t>
            </w:r>
          </w:p>
        </w:tc>
        <w:tc>
          <w:tcPr>
            <w:tcW w:w="1276" w:type="dxa"/>
          </w:tcPr>
          <w:p w14:paraId="2E82A646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773 (35,8)</w:t>
            </w:r>
          </w:p>
          <w:p w14:paraId="65319741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119 (33,2)</w:t>
            </w:r>
          </w:p>
        </w:tc>
        <w:tc>
          <w:tcPr>
            <w:tcW w:w="1305" w:type="dxa"/>
          </w:tcPr>
          <w:p w14:paraId="3A8491EC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851 (39,4)</w:t>
            </w:r>
          </w:p>
          <w:p w14:paraId="0ADEE780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117 (32,3)</w:t>
            </w:r>
          </w:p>
        </w:tc>
        <w:tc>
          <w:tcPr>
            <w:tcW w:w="1459" w:type="dxa"/>
          </w:tcPr>
          <w:p w14:paraId="2463C808" w14:textId="472853BA" w:rsidR="00AC0951" w:rsidRPr="001D3DB1" w:rsidRDefault="006A1F0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E1480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3C43D43" wp14:editId="5A6F0A68">
                  <wp:extent cx="712470" cy="287079"/>
                  <wp:effectExtent l="0" t="0" r="0" b="0"/>
                  <wp:docPr id="552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297" cy="29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14:paraId="22FDAD08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0,88 (0,80; 0,97)</w:t>
            </w:r>
          </w:p>
          <w:p w14:paraId="78E3C260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1,05 (0,81; 1,36)</w:t>
            </w:r>
          </w:p>
        </w:tc>
      </w:tr>
      <w:tr w:rsidR="00AC0951" w:rsidRPr="001D3DB1" w14:paraId="79DCD05D" w14:textId="77777777" w:rsidTr="00FC48E7">
        <w:tc>
          <w:tcPr>
            <w:tcW w:w="9061" w:type="dxa"/>
            <w:gridSpan w:val="6"/>
          </w:tcPr>
          <w:p w14:paraId="540FB698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proofErr w:type="spellStart"/>
            <w:r w:rsidRPr="001D3DB1">
              <w:rPr>
                <w:b/>
                <w:bCs/>
                <w:sz w:val="18"/>
                <w:szCs w:val="18"/>
              </w:rPr>
              <w:t>eGFR</w:t>
            </w:r>
            <w:proofErr w:type="spellEnd"/>
            <w:r w:rsidRPr="001D3DB1">
              <w:rPr>
                <w:b/>
                <w:bCs/>
                <w:sz w:val="18"/>
                <w:szCs w:val="18"/>
              </w:rPr>
              <w:t xml:space="preserve"> ve výchozím stavu (ml/min/1,73 m</w:t>
            </w:r>
            <w:r w:rsidRPr="001D3DB1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1D3DB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AC0951" w:rsidRPr="001D3DB1" w14:paraId="71575A26" w14:textId="77777777" w:rsidTr="00FC48E7">
        <w:trPr>
          <w:trHeight w:val="930"/>
        </w:trPr>
        <w:tc>
          <w:tcPr>
            <w:tcW w:w="1980" w:type="dxa"/>
          </w:tcPr>
          <w:p w14:paraId="27327640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≤ 30</w:t>
            </w:r>
          </w:p>
          <w:p w14:paraId="55EF2F78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&gt; 30 až ≤ 60</w:t>
            </w:r>
          </w:p>
          <w:p w14:paraId="53FCED9A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&gt; 60</w:t>
            </w:r>
          </w:p>
        </w:tc>
        <w:tc>
          <w:tcPr>
            <w:tcW w:w="1559" w:type="dxa"/>
          </w:tcPr>
          <w:p w14:paraId="29341313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10,0</w:t>
            </w:r>
          </w:p>
          <w:p w14:paraId="4DCC897B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41,9</w:t>
            </w:r>
          </w:p>
          <w:p w14:paraId="3AC31BC2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46,2</w:t>
            </w:r>
          </w:p>
        </w:tc>
        <w:tc>
          <w:tcPr>
            <w:tcW w:w="1276" w:type="dxa"/>
          </w:tcPr>
          <w:p w14:paraId="6A0CC6C7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143 (55,2)</w:t>
            </w:r>
          </w:p>
          <w:p w14:paraId="0732B051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392 (37,2)</w:t>
            </w:r>
          </w:p>
          <w:p w14:paraId="3EA2B5BE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346 (29,8)</w:t>
            </w:r>
          </w:p>
        </w:tc>
        <w:tc>
          <w:tcPr>
            <w:tcW w:w="1305" w:type="dxa"/>
          </w:tcPr>
          <w:p w14:paraId="03231B36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128 (51,8)</w:t>
            </w:r>
          </w:p>
          <w:p w14:paraId="74D78A48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455 (42,8)</w:t>
            </w:r>
          </w:p>
          <w:p w14:paraId="0BE0D7AF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372 (31,7)</w:t>
            </w:r>
          </w:p>
        </w:tc>
        <w:tc>
          <w:tcPr>
            <w:tcW w:w="1459" w:type="dxa"/>
          </w:tcPr>
          <w:p w14:paraId="4BBF11CA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E1480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37D56FE" wp14:editId="2A7F52AC">
                  <wp:extent cx="712470" cy="425303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363" cy="429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14:paraId="7C1A5B94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1,06 (0,83; 1,34)</w:t>
            </w:r>
          </w:p>
          <w:p w14:paraId="1A383DDF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0,84 (0,73; 0,96)</w:t>
            </w:r>
          </w:p>
          <w:p w14:paraId="7AAA4649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0,92 (0,80; 1,07)</w:t>
            </w:r>
          </w:p>
        </w:tc>
      </w:tr>
      <w:tr w:rsidR="00AC0951" w:rsidRPr="001D3DB1" w14:paraId="56A2059D" w14:textId="77777777" w:rsidTr="00FC48E7">
        <w:tc>
          <w:tcPr>
            <w:tcW w:w="9061" w:type="dxa"/>
            <w:gridSpan w:val="6"/>
          </w:tcPr>
          <w:p w14:paraId="3F2A58EB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Věková skupina 1 (roky)</w:t>
            </w:r>
          </w:p>
        </w:tc>
      </w:tr>
      <w:tr w:rsidR="00AC0951" w:rsidRPr="001D3DB1" w14:paraId="5DFEC9CF" w14:textId="77777777" w:rsidTr="00FC48E7">
        <w:trPr>
          <w:trHeight w:val="616"/>
        </w:trPr>
        <w:tc>
          <w:tcPr>
            <w:tcW w:w="1980" w:type="dxa"/>
          </w:tcPr>
          <w:p w14:paraId="20BE3480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proofErr w:type="gramStart"/>
            <w:r w:rsidRPr="001D3DB1">
              <w:rPr>
                <w:sz w:val="18"/>
                <w:szCs w:val="18"/>
              </w:rPr>
              <w:t>&lt; 65</w:t>
            </w:r>
            <w:proofErr w:type="gramEnd"/>
          </w:p>
          <w:p w14:paraId="3BF0CB85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≥ 65</w:t>
            </w:r>
          </w:p>
        </w:tc>
        <w:tc>
          <w:tcPr>
            <w:tcW w:w="1559" w:type="dxa"/>
          </w:tcPr>
          <w:p w14:paraId="1FBC8FED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37,1</w:t>
            </w:r>
          </w:p>
          <w:p w14:paraId="1FEA2C13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14:paraId="75A9987C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290 (31,3)</w:t>
            </w:r>
          </w:p>
          <w:p w14:paraId="064BC71C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607 (37,9)</w:t>
            </w:r>
          </w:p>
        </w:tc>
        <w:tc>
          <w:tcPr>
            <w:tcW w:w="1305" w:type="dxa"/>
          </w:tcPr>
          <w:p w14:paraId="24222C9A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348 (36,7)</w:t>
            </w:r>
          </w:p>
          <w:p w14:paraId="4E15E8F6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624 (39,6)</w:t>
            </w:r>
          </w:p>
        </w:tc>
        <w:tc>
          <w:tcPr>
            <w:tcW w:w="1459" w:type="dxa"/>
          </w:tcPr>
          <w:p w14:paraId="3996F71D" w14:textId="75C04D74" w:rsidR="00AC0951" w:rsidRPr="001D3DB1" w:rsidRDefault="0021392A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E1480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A08C738" wp14:editId="7DCF885B">
                  <wp:extent cx="712470" cy="255181"/>
                  <wp:effectExtent l="0" t="0" r="0" b="0"/>
                  <wp:docPr id="55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71" cy="25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14:paraId="6F92F3E4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0,81 (0,70; 0,95)</w:t>
            </w:r>
          </w:p>
          <w:p w14:paraId="73A3624B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0,94 (0,84; 1,06)</w:t>
            </w:r>
          </w:p>
        </w:tc>
      </w:tr>
      <w:tr w:rsidR="00AC0951" w:rsidRPr="001D3DB1" w14:paraId="5FBC34EF" w14:textId="77777777" w:rsidTr="00FC48E7">
        <w:trPr>
          <w:trHeight w:val="258"/>
        </w:trPr>
        <w:tc>
          <w:tcPr>
            <w:tcW w:w="9061" w:type="dxa"/>
            <w:gridSpan w:val="6"/>
          </w:tcPr>
          <w:p w14:paraId="12910011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Věková skupina 2 (roky)</w:t>
            </w:r>
          </w:p>
        </w:tc>
      </w:tr>
      <w:tr w:rsidR="00AC0951" w:rsidRPr="001D3DB1" w14:paraId="2823BA20" w14:textId="77777777" w:rsidTr="00FC48E7">
        <w:trPr>
          <w:trHeight w:val="769"/>
        </w:trPr>
        <w:tc>
          <w:tcPr>
            <w:tcW w:w="1980" w:type="dxa"/>
          </w:tcPr>
          <w:p w14:paraId="5247ADD5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proofErr w:type="gramStart"/>
            <w:r w:rsidRPr="001D3DB1">
              <w:rPr>
                <w:sz w:val="18"/>
                <w:szCs w:val="18"/>
              </w:rPr>
              <w:t>&lt; 75</w:t>
            </w:r>
            <w:proofErr w:type="gramEnd"/>
          </w:p>
          <w:p w14:paraId="22E4ABA2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≥ 75</w:t>
            </w:r>
          </w:p>
        </w:tc>
        <w:tc>
          <w:tcPr>
            <w:tcW w:w="1559" w:type="dxa"/>
          </w:tcPr>
          <w:p w14:paraId="399924DE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69,0</w:t>
            </w:r>
          </w:p>
          <w:p w14:paraId="43282945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31,0</w:t>
            </w:r>
          </w:p>
        </w:tc>
        <w:tc>
          <w:tcPr>
            <w:tcW w:w="1276" w:type="dxa"/>
          </w:tcPr>
          <w:p w14:paraId="76C426FC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579 (33,3)</w:t>
            </w:r>
          </w:p>
          <w:p w14:paraId="5E189977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318 (40,5)</w:t>
            </w:r>
          </w:p>
        </w:tc>
        <w:tc>
          <w:tcPr>
            <w:tcW w:w="1305" w:type="dxa"/>
          </w:tcPr>
          <w:p w14:paraId="70C45740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669 (38,4)</w:t>
            </w:r>
          </w:p>
          <w:p w14:paraId="3754171B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303 (38,7)</w:t>
            </w:r>
          </w:p>
        </w:tc>
        <w:tc>
          <w:tcPr>
            <w:tcW w:w="1459" w:type="dxa"/>
          </w:tcPr>
          <w:p w14:paraId="30072D2B" w14:textId="55F4E155" w:rsidR="00AC0951" w:rsidRPr="001D3DB1" w:rsidRDefault="0021392A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E1480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5B1AA81" wp14:editId="4BE6E6F6">
                  <wp:extent cx="712470" cy="297711"/>
                  <wp:effectExtent l="0" t="0" r="0" b="7620"/>
                  <wp:docPr id="55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79" cy="30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14:paraId="1E5C939B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0,84 (0,75; 0,94)</w:t>
            </w:r>
          </w:p>
          <w:p w14:paraId="609751A3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1,04 (0,88; 1,21)</w:t>
            </w:r>
          </w:p>
        </w:tc>
      </w:tr>
      <w:tr w:rsidR="00AC0951" w:rsidRPr="001D3DB1" w14:paraId="3BA5AA10" w14:textId="77777777" w:rsidTr="00FC48E7">
        <w:trPr>
          <w:trHeight w:val="671"/>
        </w:trPr>
        <w:tc>
          <w:tcPr>
            <w:tcW w:w="1980" w:type="dxa"/>
          </w:tcPr>
          <w:p w14:paraId="7DA82447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D3DB1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559" w:type="dxa"/>
          </w:tcPr>
          <w:p w14:paraId="3684C303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14:paraId="1E3A1073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897 (35,5)</w:t>
            </w:r>
          </w:p>
        </w:tc>
        <w:tc>
          <w:tcPr>
            <w:tcW w:w="1305" w:type="dxa"/>
          </w:tcPr>
          <w:p w14:paraId="3495D4C2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972 (38,5)</w:t>
            </w:r>
          </w:p>
        </w:tc>
        <w:tc>
          <w:tcPr>
            <w:tcW w:w="1459" w:type="dxa"/>
          </w:tcPr>
          <w:p w14:paraId="730FED2A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CE1480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D5181DD" wp14:editId="7AEFBE31">
                  <wp:extent cx="712470" cy="287079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395" cy="28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</w:tcPr>
          <w:p w14:paraId="450A6A88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1D3DB1">
              <w:rPr>
                <w:sz w:val="18"/>
                <w:szCs w:val="18"/>
              </w:rPr>
              <w:t>0,90 (0,82; 0,98)</w:t>
            </w:r>
          </w:p>
        </w:tc>
      </w:tr>
      <w:tr w:rsidR="00AC0951" w:rsidRPr="001D3DB1" w14:paraId="06558449" w14:textId="77777777" w:rsidTr="00FC48E7">
        <w:tc>
          <w:tcPr>
            <w:tcW w:w="1980" w:type="dxa"/>
          </w:tcPr>
          <w:p w14:paraId="5D7A0CAA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E44C255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EDFF1ED" w14:textId="77777777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6" w:type="dxa"/>
            <w:gridSpan w:val="3"/>
          </w:tcPr>
          <w:p w14:paraId="1050C9AC" w14:textId="4A7B058F" w:rsidR="00AC0951" w:rsidRPr="001D3DB1" w:rsidRDefault="00AC0951" w:rsidP="008A7E98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1D3DB1">
              <w:rPr>
                <w:sz w:val="18"/>
                <w:szCs w:val="18"/>
              </w:rPr>
              <w:t>vericig</w:t>
            </w:r>
            <w:r w:rsidR="00DA3AC5">
              <w:rPr>
                <w:sz w:val="18"/>
                <w:szCs w:val="18"/>
              </w:rPr>
              <w:t>u</w:t>
            </w:r>
            <w:r w:rsidR="00BF028C">
              <w:rPr>
                <w:sz w:val="18"/>
                <w:szCs w:val="18"/>
              </w:rPr>
              <w:t>á</w:t>
            </w:r>
            <w:r w:rsidRPr="001D3DB1">
              <w:rPr>
                <w:sz w:val="18"/>
                <w:szCs w:val="18"/>
              </w:rPr>
              <w:t>t</w:t>
            </w:r>
            <w:proofErr w:type="spellEnd"/>
            <w:r w:rsidRPr="001D3DB1">
              <w:rPr>
                <w:sz w:val="18"/>
                <w:szCs w:val="18"/>
              </w:rPr>
              <w:t xml:space="preserve"> &lt;– ve prospěch –&gt; placebo</w:t>
            </w:r>
          </w:p>
        </w:tc>
      </w:tr>
    </w:tbl>
    <w:p w14:paraId="6866CC43" w14:textId="477BC956" w:rsidR="00627FBE" w:rsidRPr="001D3DB1" w:rsidRDefault="00627FBE" w:rsidP="002D1663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AB717DB" w14:textId="1B279938" w:rsidR="00627FBE" w:rsidRPr="001D3DB1" w:rsidRDefault="0024689E" w:rsidP="00A91160">
      <w:pPr>
        <w:keepNext/>
        <w:keepLines/>
        <w:autoSpaceDE w:val="0"/>
        <w:autoSpaceDN w:val="0"/>
        <w:adjustRightInd w:val="0"/>
        <w:spacing w:line="240" w:lineRule="auto"/>
        <w:rPr>
          <w:szCs w:val="22"/>
        </w:rPr>
      </w:pPr>
      <w:r w:rsidRPr="001D3DB1">
        <w:rPr>
          <w:szCs w:val="22"/>
        </w:rPr>
        <w:t>Pacienti s velmi vysokou hodnotou NT</w:t>
      </w:r>
      <w:r w:rsidR="007E57B2" w:rsidRPr="001D3DB1">
        <w:rPr>
          <w:szCs w:val="22"/>
        </w:rPr>
        <w:t>-</w:t>
      </w:r>
      <w:proofErr w:type="spellStart"/>
      <w:r w:rsidRPr="001D3DB1">
        <w:rPr>
          <w:szCs w:val="22"/>
        </w:rPr>
        <w:t>proBNP</w:t>
      </w:r>
      <w:proofErr w:type="spellEnd"/>
      <w:r w:rsidRPr="001D3DB1">
        <w:rPr>
          <w:szCs w:val="22"/>
        </w:rPr>
        <w:t xml:space="preserve"> nemusí být plně stabilizováni a může u nich být nutn</w:t>
      </w:r>
      <w:r w:rsidR="00494BA1" w:rsidRPr="001D3DB1">
        <w:rPr>
          <w:szCs w:val="22"/>
        </w:rPr>
        <w:t>á</w:t>
      </w:r>
      <w:r w:rsidRPr="001D3DB1">
        <w:rPr>
          <w:szCs w:val="22"/>
        </w:rPr>
        <w:t xml:space="preserve"> další optimalizace stavu </w:t>
      </w:r>
      <w:r w:rsidR="0000624C" w:rsidRPr="001D3DB1">
        <w:rPr>
          <w:szCs w:val="22"/>
        </w:rPr>
        <w:t>těl</w:t>
      </w:r>
      <w:r w:rsidR="00133AB8">
        <w:rPr>
          <w:szCs w:val="22"/>
        </w:rPr>
        <w:t>esných</w:t>
      </w:r>
      <w:r w:rsidR="0000624C" w:rsidRPr="001D3DB1">
        <w:rPr>
          <w:szCs w:val="22"/>
        </w:rPr>
        <w:t xml:space="preserve"> tekutin</w:t>
      </w:r>
      <w:r w:rsidRPr="001D3DB1">
        <w:rPr>
          <w:szCs w:val="22"/>
        </w:rPr>
        <w:t xml:space="preserve"> a diuretick</w:t>
      </w:r>
      <w:r w:rsidR="0000624C" w:rsidRPr="001D3DB1">
        <w:rPr>
          <w:szCs w:val="22"/>
        </w:rPr>
        <w:t>é</w:t>
      </w:r>
      <w:r w:rsidRPr="001D3DB1">
        <w:rPr>
          <w:szCs w:val="22"/>
        </w:rPr>
        <w:t xml:space="preserve"> léčb</w:t>
      </w:r>
      <w:r w:rsidR="0000624C" w:rsidRPr="001D3DB1">
        <w:rPr>
          <w:szCs w:val="22"/>
        </w:rPr>
        <w:t>y</w:t>
      </w:r>
      <w:r w:rsidRPr="001D3DB1">
        <w:rPr>
          <w:szCs w:val="22"/>
        </w:rPr>
        <w:t xml:space="preserve"> (viz bod</w:t>
      </w:r>
      <w:r w:rsidR="00494BA1" w:rsidRPr="001D3DB1">
        <w:rPr>
          <w:szCs w:val="22"/>
        </w:rPr>
        <w:t>y</w:t>
      </w:r>
      <w:r w:rsidRPr="001D3DB1">
        <w:rPr>
          <w:szCs w:val="22"/>
        </w:rPr>
        <w:t> 4.1 a 4.2).</w:t>
      </w:r>
    </w:p>
    <w:p w14:paraId="788F2090" w14:textId="77777777" w:rsidR="00161384" w:rsidRPr="001D3DB1" w:rsidRDefault="00161384" w:rsidP="00204AAB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9A5236B" w14:textId="77777777" w:rsidR="00812D16" w:rsidRPr="001D3DB1" w:rsidRDefault="00812D16" w:rsidP="00F40ABD">
      <w:pPr>
        <w:keepNext/>
        <w:spacing w:line="240" w:lineRule="auto"/>
        <w:rPr>
          <w:bCs/>
          <w:iCs/>
          <w:szCs w:val="22"/>
          <w:u w:val="single"/>
        </w:rPr>
      </w:pPr>
      <w:r w:rsidRPr="001D3DB1">
        <w:rPr>
          <w:u w:val="single"/>
        </w:rPr>
        <w:t>Pediatrická populace</w:t>
      </w:r>
    </w:p>
    <w:p w14:paraId="2F4C9C42" w14:textId="77777777" w:rsidR="00F40ABD" w:rsidRPr="001D3DB1" w:rsidRDefault="00F40ABD" w:rsidP="00F40ABD">
      <w:pPr>
        <w:keepNext/>
        <w:spacing w:line="240" w:lineRule="auto"/>
        <w:rPr>
          <w:bCs/>
          <w:iCs/>
          <w:szCs w:val="22"/>
        </w:rPr>
      </w:pPr>
    </w:p>
    <w:p w14:paraId="29136865" w14:textId="77777777" w:rsidR="00812D16" w:rsidRPr="001D3DB1" w:rsidRDefault="00812D16" w:rsidP="005954DA">
      <w:pPr>
        <w:keepNext/>
        <w:spacing w:line="240" w:lineRule="auto"/>
        <w:rPr>
          <w:szCs w:val="22"/>
        </w:rPr>
      </w:pPr>
      <w:r w:rsidRPr="001D3DB1">
        <w:t xml:space="preserve">Evropská agentura pro léčivé přípravky udělila odklad povinnosti předložit výsledky studií s přípravkem </w:t>
      </w:r>
      <w:proofErr w:type="spellStart"/>
      <w:r w:rsidRPr="001D3DB1">
        <w:t>Verquvo</w:t>
      </w:r>
      <w:proofErr w:type="spellEnd"/>
      <w:r w:rsidRPr="001D3DB1">
        <w:t xml:space="preserve"> u jedné nebo více podskupin pediatrické populace v léčbě selhávání levé srdeční komory (informace o použití u dětí viz bod 4.2).</w:t>
      </w:r>
    </w:p>
    <w:p w14:paraId="6898AB0D" w14:textId="2E9F20AA" w:rsidR="00812D16" w:rsidRDefault="00812D16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43E7130D" w14:textId="77777777" w:rsidR="00812D16" w:rsidRPr="001D3DB1" w:rsidRDefault="00812D16" w:rsidP="00BF26D2">
      <w:pPr>
        <w:keepNext/>
        <w:keepLines/>
        <w:spacing w:line="240" w:lineRule="auto"/>
        <w:ind w:left="567" w:hanging="567"/>
        <w:outlineLvl w:val="2"/>
        <w:rPr>
          <w:b/>
          <w:szCs w:val="22"/>
        </w:rPr>
      </w:pPr>
      <w:r w:rsidRPr="001D3DB1">
        <w:rPr>
          <w:b/>
        </w:rPr>
        <w:lastRenderedPageBreak/>
        <w:t>5.2</w:t>
      </w:r>
      <w:r w:rsidRPr="001D3DB1">
        <w:rPr>
          <w:b/>
        </w:rPr>
        <w:tab/>
        <w:t>Farmakokinetické vlastnosti</w:t>
      </w:r>
    </w:p>
    <w:p w14:paraId="12D2A0D5" w14:textId="77777777" w:rsidR="00812D16" w:rsidRPr="001D3DB1" w:rsidRDefault="00812D16" w:rsidP="00BF26D2">
      <w:pPr>
        <w:keepNext/>
        <w:keepLines/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3570CD51" w14:textId="77777777" w:rsidR="00BE0E2A" w:rsidRPr="001D3DB1" w:rsidRDefault="00BE0E2A" w:rsidP="00BF26D2">
      <w:pPr>
        <w:pStyle w:val="Body"/>
        <w:keepNext/>
        <w:keepLines/>
        <w:ind w:firstLine="0"/>
        <w:rPr>
          <w:rFonts w:ascii="Times New Roman" w:hAnsi="Times New Roman"/>
          <w:sz w:val="22"/>
          <w:szCs w:val="22"/>
          <w:u w:val="single"/>
        </w:rPr>
      </w:pPr>
      <w:r w:rsidRPr="001D3DB1">
        <w:rPr>
          <w:rFonts w:ascii="Times New Roman" w:hAnsi="Times New Roman"/>
          <w:sz w:val="22"/>
          <w:u w:val="single"/>
        </w:rPr>
        <w:t>Obecný úvod</w:t>
      </w:r>
    </w:p>
    <w:p w14:paraId="43817045" w14:textId="77777777" w:rsidR="00BE0E2A" w:rsidRPr="001D3DB1" w:rsidRDefault="00BE0E2A" w:rsidP="00BF26D2">
      <w:pPr>
        <w:pStyle w:val="Body"/>
        <w:keepNext/>
        <w:keepLines/>
        <w:ind w:firstLine="0"/>
        <w:rPr>
          <w:rFonts w:ascii="Times New Roman" w:hAnsi="Times New Roman"/>
          <w:sz w:val="22"/>
          <w:szCs w:val="22"/>
        </w:rPr>
      </w:pPr>
    </w:p>
    <w:p w14:paraId="57BCEAB8" w14:textId="2BBD0D21" w:rsidR="005656BC" w:rsidRPr="001D3DB1" w:rsidRDefault="005656BC" w:rsidP="00BF26D2">
      <w:pPr>
        <w:pStyle w:val="Body"/>
        <w:keepNext/>
        <w:keepLines/>
        <w:ind w:firstLine="0"/>
        <w:rPr>
          <w:rFonts w:ascii="Times New Roman" w:hAnsi="Times New Roman"/>
          <w:sz w:val="22"/>
          <w:szCs w:val="22"/>
        </w:rPr>
      </w:pPr>
      <w:proofErr w:type="spellStart"/>
      <w:r w:rsidRPr="001D3DB1">
        <w:rPr>
          <w:rFonts w:ascii="Times New Roman" w:hAnsi="Times New Roman"/>
          <w:sz w:val="22"/>
        </w:rPr>
        <w:t>Vericig</w:t>
      </w:r>
      <w:r w:rsidR="00817BA4">
        <w:rPr>
          <w:rFonts w:ascii="Times New Roman" w:hAnsi="Times New Roman"/>
          <w:sz w:val="22"/>
        </w:rPr>
        <w:t>u</w:t>
      </w:r>
      <w:r w:rsidR="00A8307B">
        <w:rPr>
          <w:rFonts w:ascii="Times New Roman" w:hAnsi="Times New Roman"/>
          <w:sz w:val="22"/>
        </w:rPr>
        <w:t>á</w:t>
      </w:r>
      <w:r w:rsidRPr="001D3DB1">
        <w:rPr>
          <w:rFonts w:ascii="Times New Roman" w:hAnsi="Times New Roman"/>
          <w:sz w:val="22"/>
        </w:rPr>
        <w:t>t</w:t>
      </w:r>
      <w:proofErr w:type="spellEnd"/>
      <w:r w:rsidRPr="001D3DB1">
        <w:rPr>
          <w:rFonts w:ascii="Times New Roman" w:hAnsi="Times New Roman"/>
          <w:sz w:val="22"/>
        </w:rPr>
        <w:t xml:space="preserve"> se vyznačuje časově nezávislou farmakokinetikou s nízkou až střední variabilitou, pokud je podáván spolu s jídlem. U zdravých dobrovolníků je farmakokinetika přímo úměrná dávce a u pacientů se srdečním selháním se vyznačuje o něco menší přímou úměrností vzhledem k dávce. </w:t>
      </w:r>
      <w:proofErr w:type="spellStart"/>
      <w:r w:rsidRPr="001D3DB1">
        <w:rPr>
          <w:rFonts w:ascii="Times New Roman" w:hAnsi="Times New Roman"/>
          <w:sz w:val="22"/>
        </w:rPr>
        <w:t>Vericig</w:t>
      </w:r>
      <w:r w:rsidR="00990955">
        <w:rPr>
          <w:rFonts w:ascii="Times New Roman" w:hAnsi="Times New Roman"/>
          <w:sz w:val="22"/>
        </w:rPr>
        <w:t>u</w:t>
      </w:r>
      <w:r w:rsidR="00A8307B">
        <w:rPr>
          <w:rFonts w:ascii="Times New Roman" w:hAnsi="Times New Roman"/>
          <w:sz w:val="22"/>
        </w:rPr>
        <w:t>á</w:t>
      </w:r>
      <w:r w:rsidRPr="001D3DB1">
        <w:rPr>
          <w:rFonts w:ascii="Times New Roman" w:hAnsi="Times New Roman"/>
          <w:sz w:val="22"/>
        </w:rPr>
        <w:t>t</w:t>
      </w:r>
      <w:proofErr w:type="spellEnd"/>
      <w:r w:rsidRPr="001D3DB1">
        <w:rPr>
          <w:rFonts w:ascii="Times New Roman" w:hAnsi="Times New Roman"/>
          <w:sz w:val="22"/>
        </w:rPr>
        <w:t xml:space="preserve"> se hromadí v plazmě do 155 až 171 % a dosáhne ustáleného farmakokinetického stavu přibližně za 6 dní. Průměrné hodnoty farmakokinetických parametrů </w:t>
      </w:r>
      <w:proofErr w:type="spellStart"/>
      <w:r w:rsidR="003F36AA">
        <w:rPr>
          <w:rFonts w:ascii="Times New Roman" w:hAnsi="Times New Roman"/>
          <w:sz w:val="22"/>
        </w:rPr>
        <w:t>vericig</w:t>
      </w:r>
      <w:r w:rsidR="00DA3AC5">
        <w:rPr>
          <w:rFonts w:ascii="Times New Roman" w:hAnsi="Times New Roman"/>
          <w:sz w:val="22"/>
        </w:rPr>
        <w:t>u</w:t>
      </w:r>
      <w:r w:rsidR="003F36AA">
        <w:rPr>
          <w:rFonts w:ascii="Times New Roman" w:hAnsi="Times New Roman"/>
          <w:sz w:val="22"/>
        </w:rPr>
        <w:t>átu</w:t>
      </w:r>
      <w:proofErr w:type="spellEnd"/>
      <w:r w:rsidRPr="001D3DB1">
        <w:rPr>
          <w:rFonts w:ascii="Times New Roman" w:hAnsi="Times New Roman"/>
          <w:sz w:val="22"/>
        </w:rPr>
        <w:t xml:space="preserve"> v ustáleném stavu pro populaci pacientů se srdečním selháním užívajících jsou shrnuty v Tabulce 3.</w:t>
      </w:r>
      <w:r w:rsidR="00AC6AF2" w:rsidRPr="001D3DB1">
        <w:rPr>
          <w:rFonts w:ascii="Times New Roman" w:hAnsi="Times New Roman"/>
          <w:sz w:val="22"/>
        </w:rPr>
        <w:t xml:space="preserve"> Odhaduje se, že expozice v ustáleném stavu je u pacientů se srdečním selháním </w:t>
      </w:r>
      <w:r w:rsidR="002F4581" w:rsidRPr="001D3DB1">
        <w:rPr>
          <w:rFonts w:ascii="Times New Roman" w:hAnsi="Times New Roman"/>
          <w:sz w:val="22"/>
        </w:rPr>
        <w:t>přibližně</w:t>
      </w:r>
      <w:r w:rsidR="00AC6AF2" w:rsidRPr="001D3DB1">
        <w:rPr>
          <w:rFonts w:ascii="Times New Roman" w:hAnsi="Times New Roman"/>
          <w:sz w:val="22"/>
        </w:rPr>
        <w:t xml:space="preserve"> o 20 % vyšší než u zdravých dobrovolníků.</w:t>
      </w:r>
    </w:p>
    <w:p w14:paraId="05858504" w14:textId="77777777" w:rsidR="005656BC" w:rsidRPr="001D3DB1" w:rsidRDefault="005656BC" w:rsidP="00255065">
      <w:pPr>
        <w:pStyle w:val="Body"/>
        <w:ind w:firstLine="0"/>
        <w:rPr>
          <w:rFonts w:ascii="Times New Roman" w:hAnsi="Times New Roman"/>
          <w:sz w:val="22"/>
          <w:szCs w:val="22"/>
        </w:rPr>
      </w:pPr>
    </w:p>
    <w:p w14:paraId="6E4C9AB4" w14:textId="0EAD6D14" w:rsidR="005656BC" w:rsidRPr="001D3DB1" w:rsidRDefault="005928BE" w:rsidP="00E8177D">
      <w:pPr>
        <w:pStyle w:val="Titulek"/>
        <w:keepNext/>
        <w:spacing w:before="0" w:after="0" w:line="240" w:lineRule="auto"/>
        <w:rPr>
          <w:sz w:val="22"/>
          <w:szCs w:val="22"/>
        </w:rPr>
      </w:pPr>
      <w:r w:rsidRPr="001D3DB1">
        <w:rPr>
          <w:sz w:val="22"/>
        </w:rPr>
        <w:t xml:space="preserve">Tabulka 3: Populačně farmakokinetický model založený na geometrickém průměru (CV%) v ustáleném stavu pro plazmatické farmakokinetické (PK) parametry pro </w:t>
      </w:r>
      <w:proofErr w:type="spellStart"/>
      <w:r w:rsidRPr="001D3DB1">
        <w:rPr>
          <w:sz w:val="22"/>
        </w:rPr>
        <w:t>vericig</w:t>
      </w:r>
      <w:r w:rsidR="00C16C4E">
        <w:rPr>
          <w:sz w:val="22"/>
        </w:rPr>
        <w:t>u</w:t>
      </w:r>
      <w:r w:rsidR="00A8307B">
        <w:rPr>
          <w:sz w:val="22"/>
        </w:rPr>
        <w:t>á</w:t>
      </w:r>
      <w:r w:rsidRPr="001D3DB1">
        <w:rPr>
          <w:sz w:val="22"/>
        </w:rPr>
        <w:t>t</w:t>
      </w:r>
      <w:proofErr w:type="spellEnd"/>
      <w:r w:rsidRPr="001D3DB1">
        <w:rPr>
          <w:sz w:val="22"/>
        </w:rPr>
        <w:t xml:space="preserve"> 2,5 mg, 5 mg nebo 10 mg u pacientů se srdečním selháním (N=2 321)</w:t>
      </w:r>
    </w:p>
    <w:p w14:paraId="18CE6F1D" w14:textId="77777777" w:rsidR="00D01161" w:rsidRPr="001D3DB1" w:rsidRDefault="00D01161" w:rsidP="002D1663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2264"/>
        <w:gridCol w:w="2261"/>
        <w:gridCol w:w="2263"/>
      </w:tblGrid>
      <w:tr w:rsidR="005656BC" w:rsidRPr="001D3DB1" w14:paraId="5E2DC54E" w14:textId="77777777" w:rsidTr="00B24068">
        <w:tc>
          <w:tcPr>
            <w:tcW w:w="2299" w:type="dxa"/>
            <w:vAlign w:val="center"/>
          </w:tcPr>
          <w:p w14:paraId="0BD7EAB3" w14:textId="0093DABE" w:rsidR="005656BC" w:rsidRPr="001D3DB1" w:rsidRDefault="00C378A8" w:rsidP="00B24068">
            <w:pPr>
              <w:pStyle w:val="C-TableHeader"/>
              <w:spacing w:before="0" w:after="0"/>
              <w:jc w:val="center"/>
              <w:rPr>
                <w:szCs w:val="22"/>
              </w:rPr>
            </w:pPr>
            <w:r>
              <w:t>P</w:t>
            </w:r>
            <w:r w:rsidR="005656BC" w:rsidRPr="001D3DB1">
              <w:t>K parametry</w:t>
            </w:r>
          </w:p>
        </w:tc>
        <w:tc>
          <w:tcPr>
            <w:tcW w:w="2300" w:type="dxa"/>
            <w:vAlign w:val="center"/>
          </w:tcPr>
          <w:p w14:paraId="75537984" w14:textId="77777777" w:rsidR="005656BC" w:rsidRPr="001D3DB1" w:rsidRDefault="00D92041" w:rsidP="00B24068">
            <w:pPr>
              <w:pStyle w:val="C-TableHeader"/>
              <w:spacing w:before="0" w:after="0"/>
              <w:jc w:val="center"/>
              <w:rPr>
                <w:szCs w:val="22"/>
              </w:rPr>
            </w:pPr>
            <w:r w:rsidRPr="001D3DB1">
              <w:t xml:space="preserve">2,5 mg </w:t>
            </w:r>
          </w:p>
        </w:tc>
        <w:tc>
          <w:tcPr>
            <w:tcW w:w="2299" w:type="dxa"/>
            <w:vAlign w:val="center"/>
          </w:tcPr>
          <w:p w14:paraId="1E69A867" w14:textId="77777777" w:rsidR="005656BC" w:rsidRPr="001D3DB1" w:rsidRDefault="00D92041" w:rsidP="00B24068">
            <w:pPr>
              <w:pStyle w:val="C-TableHeader"/>
              <w:spacing w:before="0" w:after="0"/>
              <w:jc w:val="center"/>
              <w:rPr>
                <w:szCs w:val="22"/>
              </w:rPr>
            </w:pPr>
            <w:r w:rsidRPr="001D3DB1">
              <w:t xml:space="preserve">5 mg </w:t>
            </w:r>
          </w:p>
        </w:tc>
        <w:tc>
          <w:tcPr>
            <w:tcW w:w="2300" w:type="dxa"/>
            <w:vAlign w:val="center"/>
          </w:tcPr>
          <w:p w14:paraId="566E3D2D" w14:textId="77777777" w:rsidR="005656BC" w:rsidRPr="001D3DB1" w:rsidRDefault="00D92041" w:rsidP="00B24068">
            <w:pPr>
              <w:pStyle w:val="C-TableHeader"/>
              <w:spacing w:before="0" w:after="0"/>
              <w:jc w:val="center"/>
              <w:rPr>
                <w:szCs w:val="22"/>
              </w:rPr>
            </w:pPr>
            <w:r w:rsidRPr="001D3DB1">
              <w:t xml:space="preserve">10 mg </w:t>
            </w:r>
          </w:p>
        </w:tc>
      </w:tr>
      <w:tr w:rsidR="00F47ECA" w:rsidRPr="001D3DB1" w14:paraId="342F6E4C" w14:textId="77777777" w:rsidTr="00B24068">
        <w:tc>
          <w:tcPr>
            <w:tcW w:w="2299" w:type="dxa"/>
            <w:vAlign w:val="center"/>
          </w:tcPr>
          <w:p w14:paraId="1CF73900" w14:textId="77777777" w:rsidR="00F47ECA" w:rsidRPr="001D3DB1" w:rsidRDefault="00F47ECA" w:rsidP="00B24068">
            <w:pPr>
              <w:pStyle w:val="C-TableText"/>
              <w:keepNext/>
              <w:spacing w:before="0" w:after="0"/>
              <w:rPr>
                <w:szCs w:val="22"/>
              </w:rPr>
            </w:pPr>
            <w:proofErr w:type="spellStart"/>
            <w:r w:rsidRPr="001D3DB1">
              <w:t>C</w:t>
            </w:r>
            <w:r w:rsidRPr="001D3DB1">
              <w:rPr>
                <w:vertAlign w:val="subscript"/>
              </w:rPr>
              <w:t>max</w:t>
            </w:r>
            <w:proofErr w:type="spellEnd"/>
            <w:r w:rsidRPr="001D3DB1">
              <w:t xml:space="preserve"> (µg/l)</w:t>
            </w:r>
          </w:p>
        </w:tc>
        <w:tc>
          <w:tcPr>
            <w:tcW w:w="2300" w:type="dxa"/>
            <w:vAlign w:val="center"/>
          </w:tcPr>
          <w:p w14:paraId="53526B8C" w14:textId="77777777" w:rsidR="00F47ECA" w:rsidRPr="001D3DB1" w:rsidRDefault="00F47ECA" w:rsidP="00B24068">
            <w:pPr>
              <w:pStyle w:val="C-TableText"/>
              <w:keepNext/>
              <w:spacing w:before="0" w:after="0"/>
              <w:jc w:val="center"/>
              <w:rPr>
                <w:szCs w:val="22"/>
              </w:rPr>
            </w:pPr>
            <w:r w:rsidRPr="001D3DB1">
              <w:t>120 (29,0)</w:t>
            </w:r>
          </w:p>
        </w:tc>
        <w:tc>
          <w:tcPr>
            <w:tcW w:w="2299" w:type="dxa"/>
            <w:vAlign w:val="center"/>
          </w:tcPr>
          <w:p w14:paraId="1BF4BCB1" w14:textId="77777777" w:rsidR="00F47ECA" w:rsidRPr="001D3DB1" w:rsidRDefault="00F47ECA" w:rsidP="00B24068">
            <w:pPr>
              <w:pStyle w:val="C-TableText"/>
              <w:keepNext/>
              <w:spacing w:before="0" w:after="0"/>
              <w:jc w:val="center"/>
              <w:rPr>
                <w:szCs w:val="22"/>
              </w:rPr>
            </w:pPr>
            <w:r w:rsidRPr="001D3DB1">
              <w:t>201 (29,0)</w:t>
            </w:r>
          </w:p>
        </w:tc>
        <w:tc>
          <w:tcPr>
            <w:tcW w:w="2300" w:type="dxa"/>
            <w:vAlign w:val="center"/>
          </w:tcPr>
          <w:p w14:paraId="16F79C2F" w14:textId="77777777" w:rsidR="00F47ECA" w:rsidRPr="001D3DB1" w:rsidRDefault="00F47ECA" w:rsidP="00B24068">
            <w:pPr>
              <w:pStyle w:val="C-TableText"/>
              <w:keepNext/>
              <w:spacing w:before="0" w:after="0"/>
              <w:jc w:val="center"/>
              <w:rPr>
                <w:szCs w:val="22"/>
              </w:rPr>
            </w:pPr>
            <w:r w:rsidRPr="001D3DB1">
              <w:t>350 (29,0)</w:t>
            </w:r>
          </w:p>
        </w:tc>
      </w:tr>
      <w:tr w:rsidR="00557818" w:rsidRPr="001D3DB1" w14:paraId="5C5036EF" w14:textId="77777777" w:rsidTr="00B24068">
        <w:tc>
          <w:tcPr>
            <w:tcW w:w="2299" w:type="dxa"/>
            <w:vAlign w:val="center"/>
          </w:tcPr>
          <w:p w14:paraId="1AA72E6E" w14:textId="77777777" w:rsidR="00557818" w:rsidRPr="001D3DB1" w:rsidRDefault="00557818" w:rsidP="00B24068">
            <w:pPr>
              <w:pStyle w:val="C-TableText"/>
              <w:keepNext/>
              <w:spacing w:before="0" w:after="0"/>
              <w:rPr>
                <w:szCs w:val="22"/>
              </w:rPr>
            </w:pPr>
            <w:r w:rsidRPr="001D3DB1">
              <w:t>AUC (µ</w:t>
            </w:r>
            <w:proofErr w:type="spellStart"/>
            <w:r w:rsidRPr="001D3DB1">
              <w:t>g•h</w:t>
            </w:r>
            <w:proofErr w:type="spellEnd"/>
            <w:r w:rsidRPr="001D3DB1">
              <w:t>/l)</w:t>
            </w:r>
          </w:p>
        </w:tc>
        <w:tc>
          <w:tcPr>
            <w:tcW w:w="2300" w:type="dxa"/>
            <w:vAlign w:val="center"/>
          </w:tcPr>
          <w:p w14:paraId="1AACFD1E" w14:textId="77777777" w:rsidR="00557818" w:rsidRPr="001D3DB1" w:rsidRDefault="00557818" w:rsidP="00B24068">
            <w:pPr>
              <w:pStyle w:val="C-TableText"/>
              <w:keepNext/>
              <w:spacing w:before="0" w:after="0"/>
              <w:jc w:val="center"/>
              <w:rPr>
                <w:szCs w:val="22"/>
              </w:rPr>
            </w:pPr>
            <w:r w:rsidRPr="001D3DB1">
              <w:t>2 300 (33,9)</w:t>
            </w:r>
          </w:p>
        </w:tc>
        <w:tc>
          <w:tcPr>
            <w:tcW w:w="2299" w:type="dxa"/>
            <w:vAlign w:val="center"/>
          </w:tcPr>
          <w:p w14:paraId="7977227D" w14:textId="77777777" w:rsidR="00557818" w:rsidRPr="001D3DB1" w:rsidRDefault="00557818" w:rsidP="00B24068">
            <w:pPr>
              <w:pStyle w:val="C-TableText"/>
              <w:keepNext/>
              <w:spacing w:before="0" w:after="0"/>
              <w:jc w:val="center"/>
              <w:rPr>
                <w:szCs w:val="22"/>
              </w:rPr>
            </w:pPr>
            <w:r w:rsidRPr="001D3DB1">
              <w:t>3 850 (33,9)</w:t>
            </w:r>
          </w:p>
        </w:tc>
        <w:tc>
          <w:tcPr>
            <w:tcW w:w="2300" w:type="dxa"/>
            <w:vAlign w:val="center"/>
          </w:tcPr>
          <w:p w14:paraId="6A731742" w14:textId="77777777" w:rsidR="00557818" w:rsidRPr="001D3DB1" w:rsidRDefault="00557818" w:rsidP="00B24068">
            <w:pPr>
              <w:pStyle w:val="C-TableText"/>
              <w:keepNext/>
              <w:spacing w:before="0" w:after="0"/>
              <w:jc w:val="center"/>
              <w:rPr>
                <w:szCs w:val="22"/>
              </w:rPr>
            </w:pPr>
            <w:r w:rsidRPr="001D3DB1">
              <w:t>6 680 (33,9)</w:t>
            </w:r>
          </w:p>
        </w:tc>
      </w:tr>
    </w:tbl>
    <w:p w14:paraId="0C58679D" w14:textId="77777777" w:rsidR="005656BC" w:rsidRPr="001D3DB1" w:rsidRDefault="005656BC" w:rsidP="00E8177D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368B9E05" w14:textId="77777777" w:rsidR="00A101AD" w:rsidRPr="001D3DB1" w:rsidRDefault="00A101AD" w:rsidP="001C61B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</w:rPr>
      </w:pPr>
      <w:r w:rsidRPr="001D3DB1">
        <w:rPr>
          <w:rFonts w:eastAsia="SimSun"/>
          <w:u w:val="single"/>
        </w:rPr>
        <w:t>Absorpce</w:t>
      </w:r>
    </w:p>
    <w:p w14:paraId="2539F132" w14:textId="77777777" w:rsidR="00407F13" w:rsidRPr="001D3DB1" w:rsidRDefault="00407F13" w:rsidP="001C61B6">
      <w:pPr>
        <w:keepNext/>
        <w:autoSpaceDE w:val="0"/>
        <w:autoSpaceDN w:val="0"/>
        <w:adjustRightInd w:val="0"/>
        <w:rPr>
          <w:rFonts w:eastAsia="SimSun"/>
          <w:szCs w:val="22"/>
          <w:lang w:eastAsia="ko-KR"/>
        </w:rPr>
      </w:pPr>
    </w:p>
    <w:p w14:paraId="3AE6DAAA" w14:textId="281D3BFD" w:rsidR="00407F13" w:rsidRPr="001D3DB1" w:rsidRDefault="00407F13" w:rsidP="001C61B6">
      <w:pPr>
        <w:keepNext/>
        <w:autoSpaceDE w:val="0"/>
        <w:autoSpaceDN w:val="0"/>
        <w:adjustRightInd w:val="0"/>
      </w:pPr>
      <w:r w:rsidRPr="001D3DB1">
        <w:rPr>
          <w:rFonts w:eastAsia="SimSun"/>
        </w:rPr>
        <w:t xml:space="preserve">Absolutní biologická dostupnost </w:t>
      </w:r>
      <w:proofErr w:type="spellStart"/>
      <w:r w:rsidR="003F36AA">
        <w:rPr>
          <w:rFonts w:eastAsia="SimSun"/>
        </w:rPr>
        <w:t>vericig</w:t>
      </w:r>
      <w:r w:rsidR="00990955">
        <w:rPr>
          <w:rFonts w:eastAsia="SimSun"/>
        </w:rPr>
        <w:t>u</w:t>
      </w:r>
      <w:r w:rsidR="003F36AA">
        <w:rPr>
          <w:rFonts w:eastAsia="SimSun"/>
        </w:rPr>
        <w:t>átu</w:t>
      </w:r>
      <w:proofErr w:type="spellEnd"/>
      <w:r w:rsidRPr="001D3DB1">
        <w:rPr>
          <w:rFonts w:eastAsia="SimSun"/>
        </w:rPr>
        <w:t xml:space="preserve"> je vysoká (93 %), pokud je užíván s jídlem. Biologická dostupnost (AUC) a vrcholové plazmatické koncentrace (</w:t>
      </w:r>
      <w:proofErr w:type="spellStart"/>
      <w:r w:rsidRPr="001D3DB1">
        <w:rPr>
          <w:rFonts w:eastAsia="SimSun"/>
        </w:rPr>
        <w:t>C</w:t>
      </w:r>
      <w:r w:rsidRPr="001D3DB1">
        <w:rPr>
          <w:rFonts w:eastAsia="SimSun"/>
          <w:vertAlign w:val="subscript"/>
        </w:rPr>
        <w:t>max</w:t>
      </w:r>
      <w:proofErr w:type="spellEnd"/>
      <w:r w:rsidRPr="001D3DB1">
        <w:rPr>
          <w:rFonts w:eastAsia="SimSun"/>
        </w:rPr>
        <w:t xml:space="preserve">) </w:t>
      </w:r>
      <w:proofErr w:type="spellStart"/>
      <w:r w:rsidR="003F36AA">
        <w:rPr>
          <w:rFonts w:eastAsia="SimSun"/>
        </w:rPr>
        <w:t>vericig</w:t>
      </w:r>
      <w:r w:rsidR="00990955">
        <w:rPr>
          <w:rFonts w:eastAsia="SimSun"/>
        </w:rPr>
        <w:t>u</w:t>
      </w:r>
      <w:r w:rsidR="003F36AA">
        <w:rPr>
          <w:rFonts w:eastAsia="SimSun"/>
        </w:rPr>
        <w:t>átu</w:t>
      </w:r>
      <w:proofErr w:type="spellEnd"/>
      <w:r w:rsidRPr="001D3DB1">
        <w:rPr>
          <w:rFonts w:eastAsia="SimSun"/>
        </w:rPr>
        <w:t xml:space="preserve"> podávaného perorálně jako rozdrcená tableta ve vodě jsou srovnatelné jako při podání celé tablety (viz bod 4.2).</w:t>
      </w:r>
    </w:p>
    <w:p w14:paraId="455F7AE2" w14:textId="77777777" w:rsidR="00407F13" w:rsidRPr="001D3DB1" w:rsidRDefault="00407F13" w:rsidP="001C61B6">
      <w:pPr>
        <w:autoSpaceDE w:val="0"/>
        <w:autoSpaceDN w:val="0"/>
        <w:adjustRightInd w:val="0"/>
        <w:rPr>
          <w:rFonts w:eastAsia="SimSun"/>
          <w:szCs w:val="22"/>
          <w:lang w:eastAsia="ko-KR"/>
        </w:rPr>
      </w:pPr>
    </w:p>
    <w:p w14:paraId="7AFA02BF" w14:textId="77777777" w:rsidR="00407F13" w:rsidRPr="001D3DB1" w:rsidRDefault="00407F13" w:rsidP="006B4815">
      <w:pPr>
        <w:keepNext/>
        <w:autoSpaceDE w:val="0"/>
        <w:autoSpaceDN w:val="0"/>
        <w:adjustRightInd w:val="0"/>
        <w:rPr>
          <w:i/>
          <w:iCs/>
        </w:rPr>
      </w:pPr>
      <w:r w:rsidRPr="001D3DB1">
        <w:rPr>
          <w:i/>
        </w:rPr>
        <w:t>Vliv jídla</w:t>
      </w:r>
    </w:p>
    <w:p w14:paraId="644840A3" w14:textId="5702C3ED" w:rsidR="00407F13" w:rsidRPr="001D3DB1" w:rsidRDefault="00407F13" w:rsidP="006B4815">
      <w:pPr>
        <w:keepNext/>
        <w:autoSpaceDE w:val="0"/>
        <w:autoSpaceDN w:val="0"/>
        <w:adjustRightInd w:val="0"/>
      </w:pPr>
      <w:r w:rsidRPr="001D3DB1">
        <w:t xml:space="preserve">Podávání </w:t>
      </w:r>
      <w:proofErr w:type="spellStart"/>
      <w:r w:rsidR="003F36AA">
        <w:t>vericig</w:t>
      </w:r>
      <w:r w:rsidR="00990955">
        <w:t>u</w:t>
      </w:r>
      <w:r w:rsidR="003F36AA">
        <w:t>átu</w:t>
      </w:r>
      <w:proofErr w:type="spellEnd"/>
      <w:r w:rsidRPr="001D3DB1">
        <w:t xml:space="preserve"> s vysoce kalorickým jídlem s vysokým obsahem tuků zvyšuje </w:t>
      </w:r>
      <w:proofErr w:type="spellStart"/>
      <w:r w:rsidRPr="001D3DB1">
        <w:t>T</w:t>
      </w:r>
      <w:r w:rsidRPr="001D3DB1">
        <w:rPr>
          <w:vertAlign w:val="subscript"/>
        </w:rPr>
        <w:t>max</w:t>
      </w:r>
      <w:proofErr w:type="spellEnd"/>
      <w:r w:rsidRPr="001D3DB1">
        <w:t xml:space="preserve"> z přibližně 1 hodiny (při podání nalačno) </w:t>
      </w:r>
      <w:r w:rsidR="00A26C94">
        <w:t xml:space="preserve">na </w:t>
      </w:r>
      <w:r w:rsidRPr="001D3DB1">
        <w:t>přibližně</w:t>
      </w:r>
      <w:r w:rsidR="00EC77BD">
        <w:t xml:space="preserve"> </w:t>
      </w:r>
      <w:r w:rsidRPr="001D3DB1">
        <w:t xml:space="preserve">4 hodiny (při podání po jídle), snižuje </w:t>
      </w:r>
      <w:r w:rsidR="00C378A8">
        <w:t>P</w:t>
      </w:r>
      <w:r w:rsidRPr="001D3DB1">
        <w:t xml:space="preserve">K variabilitu a zvyšuje expozici </w:t>
      </w:r>
      <w:proofErr w:type="spellStart"/>
      <w:r w:rsidR="003F36AA">
        <w:t>vericig</w:t>
      </w:r>
      <w:r w:rsidR="00C16C4E">
        <w:t>u</w:t>
      </w:r>
      <w:r w:rsidR="003F36AA">
        <w:t>átu</w:t>
      </w:r>
      <w:proofErr w:type="spellEnd"/>
      <w:r w:rsidRPr="001D3DB1">
        <w:t xml:space="preserve"> o 19 % (AUC) a 9 % (</w:t>
      </w:r>
      <w:proofErr w:type="spellStart"/>
      <w:r w:rsidRPr="001D3DB1">
        <w:t>C</w:t>
      </w:r>
      <w:r w:rsidRPr="001D3DB1">
        <w:rPr>
          <w:vertAlign w:val="subscript"/>
        </w:rPr>
        <w:t>max</w:t>
      </w:r>
      <w:proofErr w:type="spellEnd"/>
      <w:r w:rsidRPr="001D3DB1">
        <w:t>) při podání 5mg tablety a o 44 % (AUC) a 41 % (</w:t>
      </w:r>
      <w:proofErr w:type="spellStart"/>
      <w:r w:rsidRPr="001D3DB1">
        <w:t>C</w:t>
      </w:r>
      <w:r w:rsidRPr="001D3DB1">
        <w:rPr>
          <w:vertAlign w:val="subscript"/>
        </w:rPr>
        <w:t>max</w:t>
      </w:r>
      <w:proofErr w:type="spellEnd"/>
      <w:r w:rsidRPr="001D3DB1">
        <w:t xml:space="preserve">) při podání 10mg tablety ve srovnání se stavem nalačno. Podobné výsledky byly získány, jestliže byl </w:t>
      </w:r>
      <w:proofErr w:type="spellStart"/>
      <w:r w:rsidRPr="001D3DB1">
        <w:t>vericig</w:t>
      </w:r>
      <w:r w:rsidR="0096502F">
        <w:t>u</w:t>
      </w:r>
      <w:r w:rsidR="00A8307B">
        <w:t>á</w:t>
      </w:r>
      <w:r w:rsidRPr="001D3DB1">
        <w:t>t</w:t>
      </w:r>
      <w:proofErr w:type="spellEnd"/>
      <w:r w:rsidRPr="001D3DB1">
        <w:t xml:space="preserve"> podáván s nízkotučným jídlem s vysokým obsahem sacharidů. Přípravek </w:t>
      </w:r>
      <w:proofErr w:type="spellStart"/>
      <w:r w:rsidRPr="001D3DB1">
        <w:t>Verquvo</w:t>
      </w:r>
      <w:proofErr w:type="spellEnd"/>
      <w:r w:rsidRPr="001D3DB1">
        <w:t xml:space="preserve"> se proto má užívat spolu s jídlem (viz bod 4.2).</w:t>
      </w:r>
    </w:p>
    <w:p w14:paraId="42E492BE" w14:textId="77777777" w:rsidR="00A101AD" w:rsidRPr="001D3DB1" w:rsidRDefault="00A101AD" w:rsidP="00A101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de-DE"/>
        </w:rPr>
      </w:pPr>
    </w:p>
    <w:p w14:paraId="55DE6195" w14:textId="77777777" w:rsidR="00A101AD" w:rsidRPr="001D3DB1" w:rsidRDefault="00A101AD" w:rsidP="00A101A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</w:rPr>
      </w:pPr>
      <w:r w:rsidRPr="001D3DB1">
        <w:rPr>
          <w:rFonts w:eastAsia="SimSun"/>
          <w:u w:val="single"/>
        </w:rPr>
        <w:t>Distribuce</w:t>
      </w:r>
    </w:p>
    <w:p w14:paraId="4F5273CF" w14:textId="77777777" w:rsidR="00CC4B4C" w:rsidRPr="001D3DB1" w:rsidRDefault="00CC4B4C" w:rsidP="00D6067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931AE82" w14:textId="3FE99FD7" w:rsidR="005F3405" w:rsidRPr="001D3DB1" w:rsidRDefault="00CC4B4C" w:rsidP="00D6067C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Arial"/>
          <w:shd w:val="pct15" w:color="auto" w:fill="FFFFFF"/>
        </w:rPr>
      </w:pPr>
      <w:r w:rsidRPr="001D3DB1">
        <w:t xml:space="preserve">Střední distribuční objem </w:t>
      </w:r>
      <w:proofErr w:type="spellStart"/>
      <w:r w:rsidR="003F36AA">
        <w:t>vericig</w:t>
      </w:r>
      <w:r w:rsidR="0096502F">
        <w:t>u</w:t>
      </w:r>
      <w:r w:rsidR="003F36AA">
        <w:t>átu</w:t>
      </w:r>
      <w:proofErr w:type="spellEnd"/>
      <w:r w:rsidRPr="001D3DB1">
        <w:t xml:space="preserve"> v ustáleném stavu u zdravých subjektů je přibližně 44 l. Vazba </w:t>
      </w:r>
      <w:proofErr w:type="spellStart"/>
      <w:r w:rsidR="003F36AA">
        <w:t>vericig</w:t>
      </w:r>
      <w:r w:rsidR="0096502F">
        <w:t>u</w:t>
      </w:r>
      <w:r w:rsidR="003F36AA">
        <w:t>átu</w:t>
      </w:r>
      <w:proofErr w:type="spellEnd"/>
      <w:r w:rsidRPr="001D3DB1">
        <w:t xml:space="preserve"> na proteiny krevní plazmy je přibližně 98 %, přičemž hlavní vazebnou komponentou je sérový albumin. Na vazbu </w:t>
      </w:r>
      <w:proofErr w:type="spellStart"/>
      <w:r w:rsidR="003F36AA">
        <w:t>vericig</w:t>
      </w:r>
      <w:r w:rsidR="0096502F">
        <w:t>u</w:t>
      </w:r>
      <w:r w:rsidR="003F36AA">
        <w:t>átu</w:t>
      </w:r>
      <w:proofErr w:type="spellEnd"/>
      <w:r w:rsidRPr="001D3DB1">
        <w:t xml:space="preserve"> na proteiny krevní plazmy nemá vliv porucha funkce ledvin ani jater.</w:t>
      </w:r>
    </w:p>
    <w:p w14:paraId="720070B0" w14:textId="77777777" w:rsidR="00A101AD" w:rsidRPr="001D3DB1" w:rsidRDefault="00A101AD" w:rsidP="00204AAB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</w:rPr>
      </w:pPr>
    </w:p>
    <w:p w14:paraId="15F00A60" w14:textId="77777777" w:rsidR="00B36705" w:rsidRPr="001D3DB1" w:rsidRDefault="00B36705" w:rsidP="00B367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</w:rPr>
      </w:pPr>
      <w:r w:rsidRPr="001D3DB1">
        <w:rPr>
          <w:rFonts w:eastAsia="SimSun"/>
          <w:u w:val="single"/>
        </w:rPr>
        <w:t>Biotransformace</w:t>
      </w:r>
    </w:p>
    <w:p w14:paraId="34CAB0DC" w14:textId="77777777" w:rsidR="000A0D19" w:rsidRPr="001D3DB1" w:rsidRDefault="000A0D19" w:rsidP="00F22C9C">
      <w:pPr>
        <w:keepNext/>
        <w:rPr>
          <w:rFonts w:cs="Arial"/>
        </w:rPr>
      </w:pPr>
    </w:p>
    <w:p w14:paraId="5EEFB34C" w14:textId="762ECAD7" w:rsidR="005F3405" w:rsidRDefault="000A0D19" w:rsidP="00F22C9C">
      <w:pPr>
        <w:keepNext/>
        <w:rPr>
          <w:rFonts w:eastAsia="SimSun"/>
        </w:rPr>
      </w:pPr>
      <w:r w:rsidRPr="001D3DB1">
        <w:t xml:space="preserve">Hlavní cestou biotransformace </w:t>
      </w:r>
      <w:proofErr w:type="spellStart"/>
      <w:r w:rsidR="003F36AA">
        <w:t>vericig</w:t>
      </w:r>
      <w:r w:rsidR="00990955">
        <w:t>u</w:t>
      </w:r>
      <w:r w:rsidR="003F36AA">
        <w:t>átu</w:t>
      </w:r>
      <w:proofErr w:type="spellEnd"/>
      <w:r w:rsidRPr="001D3DB1">
        <w:t xml:space="preserve"> je </w:t>
      </w:r>
      <w:proofErr w:type="spellStart"/>
      <w:r w:rsidRPr="001D3DB1">
        <w:t>glukuronidace</w:t>
      </w:r>
      <w:proofErr w:type="spellEnd"/>
      <w:r w:rsidRPr="001D3DB1">
        <w:t xml:space="preserve"> na N-</w:t>
      </w:r>
      <w:proofErr w:type="spellStart"/>
      <w:r w:rsidRPr="001D3DB1">
        <w:t>glukuronid</w:t>
      </w:r>
      <w:proofErr w:type="spellEnd"/>
      <w:r w:rsidRPr="001D3DB1">
        <w:t>, který je farmakologicky neaktivní a je hlavní složkou související s léčivem v krevní plazmě</w:t>
      </w:r>
      <w:r w:rsidR="00520CC0" w:rsidRPr="001D3DB1">
        <w:t>; N-</w:t>
      </w:r>
      <w:proofErr w:type="spellStart"/>
      <w:r w:rsidR="00520CC0" w:rsidRPr="001D3DB1">
        <w:t>glukuronid</w:t>
      </w:r>
      <w:proofErr w:type="spellEnd"/>
      <w:r w:rsidR="00520CC0" w:rsidRPr="001D3DB1">
        <w:t xml:space="preserve"> tvoří 72 % </w:t>
      </w:r>
      <w:r w:rsidR="00F42B38" w:rsidRPr="001D3DB1">
        <w:t>z </w:t>
      </w:r>
      <w:r w:rsidR="00520CC0" w:rsidRPr="001D3DB1">
        <w:t>celkové hodnoty AUC související s</w:t>
      </w:r>
      <w:r w:rsidR="00B1676C" w:rsidRPr="001D3DB1">
        <w:t> </w:t>
      </w:r>
      <w:r w:rsidR="00520CC0" w:rsidRPr="001D3DB1">
        <w:t>léčivem</w:t>
      </w:r>
      <w:r w:rsidR="00B1676C" w:rsidRPr="001D3DB1">
        <w:t xml:space="preserve"> a </w:t>
      </w:r>
      <w:r w:rsidR="00520CC0" w:rsidRPr="001D3DB1">
        <w:t xml:space="preserve">množství </w:t>
      </w:r>
      <w:proofErr w:type="spellStart"/>
      <w:r w:rsidR="004A19A0">
        <w:t>parentního</w:t>
      </w:r>
      <w:proofErr w:type="spellEnd"/>
      <w:r w:rsidR="004A19A0">
        <w:t xml:space="preserve"> </w:t>
      </w:r>
      <w:proofErr w:type="spellStart"/>
      <w:r w:rsidR="004A19A0">
        <w:t>vericig</w:t>
      </w:r>
      <w:r w:rsidR="005A1990">
        <w:t>u</w:t>
      </w:r>
      <w:r w:rsidR="004A19A0">
        <w:t>átu</w:t>
      </w:r>
      <w:proofErr w:type="spellEnd"/>
      <w:r w:rsidR="004A19A0">
        <w:t xml:space="preserve"> </w:t>
      </w:r>
      <w:r w:rsidR="00B1676C" w:rsidRPr="001D3DB1">
        <w:t>představuje</w:t>
      </w:r>
      <w:r w:rsidR="00520CC0" w:rsidRPr="001D3DB1">
        <w:t xml:space="preserve"> 28 % </w:t>
      </w:r>
      <w:r w:rsidR="00F42B38" w:rsidRPr="001D3DB1">
        <w:t>z </w:t>
      </w:r>
      <w:r w:rsidR="00520CC0" w:rsidRPr="001D3DB1">
        <w:t>celkové hodnoty AUC související s léčivem</w:t>
      </w:r>
      <w:r w:rsidRPr="001D3DB1">
        <w:t>.</w:t>
      </w:r>
      <w:r w:rsidRPr="001D3DB1">
        <w:rPr>
          <w:rFonts w:eastAsia="SimSun"/>
        </w:rPr>
        <w:t xml:space="preserve"> N-</w:t>
      </w:r>
      <w:proofErr w:type="spellStart"/>
      <w:r w:rsidRPr="001D3DB1">
        <w:rPr>
          <w:rFonts w:eastAsia="SimSun"/>
        </w:rPr>
        <w:t>glukuronidace</w:t>
      </w:r>
      <w:proofErr w:type="spellEnd"/>
      <w:r w:rsidRPr="001D3DB1">
        <w:rPr>
          <w:rFonts w:eastAsia="SimSun"/>
        </w:rPr>
        <w:t xml:space="preserve"> je katalyzována převážně UGT1A9 a UGT1A1. Metabolismus zprostředkovaný CYP je vedlejší dráhou clearance (&lt;5 %).</w:t>
      </w:r>
      <w:r w:rsidR="00833126">
        <w:rPr>
          <w:rFonts w:eastAsia="SimSun"/>
        </w:rPr>
        <w:br/>
      </w:r>
    </w:p>
    <w:p w14:paraId="56566162" w14:textId="3B39370E" w:rsidR="00833126" w:rsidRPr="001D3DB1" w:rsidRDefault="00833126" w:rsidP="00F22C9C">
      <w:pPr>
        <w:keepNext/>
        <w:rPr>
          <w:rFonts w:eastAsia="SimSun"/>
          <w:szCs w:val="22"/>
        </w:rPr>
      </w:pPr>
      <w:r w:rsidRPr="004A19A0">
        <w:rPr>
          <w:rFonts w:eastAsia="SimSun"/>
          <w:szCs w:val="22"/>
        </w:rPr>
        <w:t xml:space="preserve">Potenciální účinek genetického polymorfismu souvisejícího s UGT nebyl zkoumán vzhledem k nízké až střední interindividuální variabilitě </w:t>
      </w:r>
      <w:proofErr w:type="spellStart"/>
      <w:r w:rsidRPr="004A19A0">
        <w:rPr>
          <w:rFonts w:eastAsia="SimSun"/>
          <w:szCs w:val="22"/>
        </w:rPr>
        <w:t>verici</w:t>
      </w:r>
      <w:r w:rsidRPr="00AB4643">
        <w:rPr>
          <w:rFonts w:eastAsia="SimSun"/>
          <w:szCs w:val="22"/>
        </w:rPr>
        <w:t>g</w:t>
      </w:r>
      <w:r w:rsidR="00A5718F">
        <w:rPr>
          <w:rFonts w:eastAsia="SimSun"/>
          <w:szCs w:val="22"/>
        </w:rPr>
        <w:t>u</w:t>
      </w:r>
      <w:r w:rsidR="00A8715E" w:rsidRPr="00AB4643">
        <w:rPr>
          <w:rFonts w:eastAsia="SimSun"/>
          <w:szCs w:val="22"/>
        </w:rPr>
        <w:t>á</w:t>
      </w:r>
      <w:r w:rsidRPr="00AB4643">
        <w:rPr>
          <w:rFonts w:eastAsia="SimSun"/>
          <w:szCs w:val="22"/>
        </w:rPr>
        <w:t>tu</w:t>
      </w:r>
      <w:proofErr w:type="spellEnd"/>
      <w:r w:rsidRPr="00AB4643">
        <w:rPr>
          <w:rFonts w:eastAsia="SimSun"/>
          <w:szCs w:val="22"/>
        </w:rPr>
        <w:t xml:space="preserve"> (viz tabulka 3). Titrace </w:t>
      </w:r>
      <w:proofErr w:type="spellStart"/>
      <w:r w:rsidRPr="00AB4643">
        <w:rPr>
          <w:rFonts w:eastAsia="SimSun"/>
          <w:szCs w:val="22"/>
        </w:rPr>
        <w:t>vericig</w:t>
      </w:r>
      <w:r w:rsidR="00A5718F">
        <w:rPr>
          <w:rFonts w:eastAsia="SimSun"/>
          <w:szCs w:val="22"/>
        </w:rPr>
        <w:t>u</w:t>
      </w:r>
      <w:r w:rsidRPr="004A19A0">
        <w:rPr>
          <w:rFonts w:eastAsia="SimSun"/>
          <w:szCs w:val="22"/>
        </w:rPr>
        <w:t>átu</w:t>
      </w:r>
      <w:proofErr w:type="spellEnd"/>
      <w:r w:rsidRPr="004A19A0">
        <w:rPr>
          <w:rFonts w:eastAsia="SimSun"/>
          <w:szCs w:val="22"/>
        </w:rPr>
        <w:t xml:space="preserve"> zmírňuje klinický dopad možných </w:t>
      </w:r>
      <w:r w:rsidR="008C5B25" w:rsidRPr="004A19A0">
        <w:rPr>
          <w:rFonts w:eastAsia="SimSun"/>
          <w:szCs w:val="22"/>
        </w:rPr>
        <w:t>roz</w:t>
      </w:r>
      <w:r w:rsidR="00C8143D" w:rsidRPr="004A19A0">
        <w:rPr>
          <w:rFonts w:eastAsia="SimSun"/>
          <w:szCs w:val="22"/>
        </w:rPr>
        <w:t xml:space="preserve">dílů v </w:t>
      </w:r>
      <w:r w:rsidRPr="004A19A0">
        <w:rPr>
          <w:rFonts w:eastAsia="SimSun"/>
          <w:szCs w:val="22"/>
        </w:rPr>
        <w:t>expozic</w:t>
      </w:r>
      <w:r w:rsidR="00C8143D" w:rsidRPr="004A19A0">
        <w:rPr>
          <w:rFonts w:eastAsia="SimSun"/>
          <w:szCs w:val="22"/>
        </w:rPr>
        <w:t>i</w:t>
      </w:r>
      <w:r w:rsidRPr="004A19A0">
        <w:rPr>
          <w:rFonts w:eastAsia="SimSun"/>
          <w:szCs w:val="22"/>
        </w:rPr>
        <w:t xml:space="preserve"> (viz bod 4.2).</w:t>
      </w:r>
    </w:p>
    <w:p w14:paraId="2CBE6079" w14:textId="77777777" w:rsidR="00B36705" w:rsidRPr="001D3DB1" w:rsidRDefault="00B36705" w:rsidP="00B3670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de-DE"/>
        </w:rPr>
      </w:pPr>
    </w:p>
    <w:p w14:paraId="1E87D115" w14:textId="77777777" w:rsidR="00B36705" w:rsidRPr="001D3DB1" w:rsidRDefault="00B36705" w:rsidP="00B3670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</w:rPr>
      </w:pPr>
      <w:r w:rsidRPr="001D3DB1">
        <w:rPr>
          <w:rFonts w:eastAsia="SimSun"/>
          <w:u w:val="single"/>
        </w:rPr>
        <w:lastRenderedPageBreak/>
        <w:t>Eliminace</w:t>
      </w:r>
    </w:p>
    <w:p w14:paraId="5B6CE546" w14:textId="77777777" w:rsidR="00D85B69" w:rsidRPr="001D3DB1" w:rsidRDefault="00D85B69" w:rsidP="00F22C9C">
      <w:pPr>
        <w:keepNext/>
        <w:autoSpaceDE w:val="0"/>
        <w:autoSpaceDN w:val="0"/>
        <w:adjustRightInd w:val="0"/>
        <w:rPr>
          <w:iCs/>
          <w:szCs w:val="22"/>
        </w:rPr>
      </w:pPr>
    </w:p>
    <w:p w14:paraId="7BA495AD" w14:textId="42EB0AF7" w:rsidR="005F3405" w:rsidRPr="001D3DB1" w:rsidRDefault="00D85B69" w:rsidP="00F22C9C">
      <w:pPr>
        <w:keepNext/>
        <w:autoSpaceDE w:val="0"/>
        <w:autoSpaceDN w:val="0"/>
        <w:adjustRightInd w:val="0"/>
      </w:pPr>
      <w:proofErr w:type="spellStart"/>
      <w:r w:rsidRPr="001D3DB1">
        <w:t>Vericig</w:t>
      </w:r>
      <w:r w:rsidR="0096502F">
        <w:t>u</w:t>
      </w:r>
      <w:r w:rsidR="00A8307B">
        <w:t>á</w:t>
      </w:r>
      <w:r w:rsidRPr="001D3DB1">
        <w:t>t</w:t>
      </w:r>
      <w:proofErr w:type="spellEnd"/>
      <w:r w:rsidRPr="001D3DB1">
        <w:t xml:space="preserve"> je léčivo s nízkou clearance (1,6 l/h u zdravých subjektů). Poločas činí přibližně 20 hodin u zdravých subjektů a 30 hodin u pacientů se srdečním selháním. Po perorálním podání [</w:t>
      </w:r>
      <w:proofErr w:type="gramStart"/>
      <w:r w:rsidRPr="001D3DB1">
        <w:rPr>
          <w:vertAlign w:val="superscript"/>
        </w:rPr>
        <w:t>14</w:t>
      </w:r>
      <w:r w:rsidRPr="001D3DB1">
        <w:t>C</w:t>
      </w:r>
      <w:proofErr w:type="gramEnd"/>
      <w:r w:rsidRPr="001D3DB1">
        <w:t xml:space="preserve">] </w:t>
      </w:r>
      <w:proofErr w:type="spellStart"/>
      <w:r w:rsidR="003F36AA">
        <w:t>vericig</w:t>
      </w:r>
      <w:r w:rsidR="0096502F">
        <w:t>u</w:t>
      </w:r>
      <w:r w:rsidR="003F36AA">
        <w:t>átu</w:t>
      </w:r>
      <w:proofErr w:type="spellEnd"/>
      <w:r w:rsidRPr="001D3DB1">
        <w:t xml:space="preserve"> zdravým subjektům bylo přibližně 53 % dávky vyloučeno močí (převážně jako N-</w:t>
      </w:r>
      <w:proofErr w:type="spellStart"/>
      <w:r w:rsidRPr="001D3DB1">
        <w:t>glukuronid</w:t>
      </w:r>
      <w:proofErr w:type="spellEnd"/>
      <w:r w:rsidRPr="001D3DB1">
        <w:t xml:space="preserve">) a 45 % dávky bylo vyloučeno stolicí (převážně jako </w:t>
      </w:r>
      <w:proofErr w:type="spellStart"/>
      <w:r w:rsidRPr="001D3DB1">
        <w:t>vericig</w:t>
      </w:r>
      <w:r w:rsidR="009D32AD">
        <w:t>u</w:t>
      </w:r>
      <w:r w:rsidR="00A8307B">
        <w:t>á</w:t>
      </w:r>
      <w:r w:rsidRPr="001D3DB1">
        <w:t>t</w:t>
      </w:r>
      <w:proofErr w:type="spellEnd"/>
      <w:r w:rsidR="002C6100" w:rsidRPr="001D3DB1">
        <w:t>, pravděpodobně v důsledku exkrece N-</w:t>
      </w:r>
      <w:proofErr w:type="spellStart"/>
      <w:r w:rsidR="002C6100" w:rsidRPr="001D3DB1">
        <w:t>glukuronidu</w:t>
      </w:r>
      <w:proofErr w:type="spellEnd"/>
      <w:r w:rsidR="002C6100" w:rsidRPr="001D3DB1">
        <w:t xml:space="preserve"> do žluči následované hydrolýzou zpět na </w:t>
      </w:r>
      <w:proofErr w:type="spellStart"/>
      <w:r w:rsidR="002C6100" w:rsidRPr="001D3DB1">
        <w:t>vericig</w:t>
      </w:r>
      <w:r w:rsidR="0096502F">
        <w:t>u</w:t>
      </w:r>
      <w:r w:rsidR="00A8307B">
        <w:t>á</w:t>
      </w:r>
      <w:r w:rsidR="002C6100" w:rsidRPr="001D3DB1">
        <w:t>t</w:t>
      </w:r>
      <w:proofErr w:type="spellEnd"/>
      <w:r w:rsidR="002C6100" w:rsidRPr="001D3DB1">
        <w:t xml:space="preserve"> prostřednictvím střevní mikroflóry</w:t>
      </w:r>
      <w:r w:rsidRPr="001D3DB1">
        <w:t>).</w:t>
      </w:r>
    </w:p>
    <w:p w14:paraId="740F1996" w14:textId="77777777" w:rsidR="00B36705" w:rsidRPr="001D3DB1" w:rsidRDefault="00B36705" w:rsidP="00B3670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de-DE"/>
        </w:rPr>
      </w:pPr>
    </w:p>
    <w:p w14:paraId="0255868F" w14:textId="77777777" w:rsidR="00856813" w:rsidRPr="001D3DB1" w:rsidRDefault="00856813" w:rsidP="0011722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u w:val="single"/>
        </w:rPr>
      </w:pPr>
      <w:r w:rsidRPr="001D3DB1">
        <w:rPr>
          <w:rFonts w:eastAsia="SimSun"/>
          <w:u w:val="single"/>
        </w:rPr>
        <w:t>Zvláštní populace</w:t>
      </w:r>
    </w:p>
    <w:p w14:paraId="2617C131" w14:textId="77777777" w:rsidR="00856813" w:rsidRPr="001D3DB1" w:rsidRDefault="00856813" w:rsidP="0011722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de-DE"/>
        </w:rPr>
      </w:pPr>
    </w:p>
    <w:p w14:paraId="785B32D7" w14:textId="77777777" w:rsidR="00CB628D" w:rsidRPr="001D3DB1" w:rsidRDefault="00856813" w:rsidP="001F7FFB">
      <w:pPr>
        <w:keepNext/>
        <w:numPr>
          <w:ilvl w:val="12"/>
          <w:numId w:val="0"/>
        </w:numPr>
        <w:spacing w:line="240" w:lineRule="auto"/>
        <w:rPr>
          <w:rFonts w:eastAsia="SimSun"/>
          <w:i/>
          <w:szCs w:val="22"/>
        </w:rPr>
      </w:pPr>
      <w:r w:rsidRPr="001D3DB1">
        <w:rPr>
          <w:rFonts w:eastAsia="SimSun"/>
          <w:i/>
        </w:rPr>
        <w:t>Porucha funkce ledvin</w:t>
      </w:r>
    </w:p>
    <w:p w14:paraId="4D48C35E" w14:textId="678B11C6" w:rsidR="003D3D4B" w:rsidRPr="001D3DB1" w:rsidRDefault="003D3D4B" w:rsidP="003D3D4B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  <w:r w:rsidRPr="001D3DB1">
        <w:rPr>
          <w:iCs/>
          <w:szCs w:val="22"/>
        </w:rPr>
        <w:t xml:space="preserve"> </w:t>
      </w:r>
      <w:r w:rsidR="008A7E98" w:rsidRPr="001D3DB1">
        <w:rPr>
          <w:iCs/>
          <w:szCs w:val="22"/>
        </w:rPr>
        <w:t>U pacientů se srdečním selháním a lehkou, středně těžkou a těžkou poruchou funkce ledvin, kteří nepotřebovali dialýzu</w:t>
      </w:r>
      <w:r w:rsidRPr="001D3DB1">
        <w:rPr>
          <w:iCs/>
          <w:szCs w:val="22"/>
        </w:rPr>
        <w:t xml:space="preserve">, </w:t>
      </w:r>
      <w:r w:rsidR="008A7E98" w:rsidRPr="001D3DB1">
        <w:rPr>
          <w:iCs/>
          <w:szCs w:val="22"/>
        </w:rPr>
        <w:t>se hodnota střední expozice</w:t>
      </w:r>
      <w:r w:rsidRPr="001D3DB1">
        <w:rPr>
          <w:iCs/>
          <w:szCs w:val="22"/>
        </w:rPr>
        <w:t xml:space="preserve"> (AUC) </w:t>
      </w:r>
      <w:proofErr w:type="spellStart"/>
      <w:r w:rsidR="003F36AA">
        <w:rPr>
          <w:iCs/>
          <w:szCs w:val="22"/>
        </w:rPr>
        <w:t>vericig</w:t>
      </w:r>
      <w:r w:rsidR="009D32AD">
        <w:rPr>
          <w:iCs/>
          <w:szCs w:val="22"/>
        </w:rPr>
        <w:t>u</w:t>
      </w:r>
      <w:r w:rsidR="003F36AA">
        <w:rPr>
          <w:iCs/>
          <w:szCs w:val="22"/>
        </w:rPr>
        <w:t>átu</w:t>
      </w:r>
      <w:proofErr w:type="spellEnd"/>
      <w:r w:rsidRPr="001D3DB1">
        <w:rPr>
          <w:iCs/>
          <w:szCs w:val="22"/>
        </w:rPr>
        <w:t xml:space="preserve"> </w:t>
      </w:r>
      <w:r w:rsidR="008A7E98" w:rsidRPr="001D3DB1">
        <w:rPr>
          <w:iCs/>
          <w:szCs w:val="22"/>
        </w:rPr>
        <w:t>ve srovnání s pacienty s normální funkcí ledvin zvýšila</w:t>
      </w:r>
      <w:r w:rsidRPr="001D3DB1">
        <w:rPr>
          <w:iCs/>
          <w:szCs w:val="22"/>
        </w:rPr>
        <w:t xml:space="preserve"> </w:t>
      </w:r>
      <w:r w:rsidR="008A7E98" w:rsidRPr="001D3DB1">
        <w:rPr>
          <w:iCs/>
          <w:szCs w:val="22"/>
        </w:rPr>
        <w:t>o </w:t>
      </w:r>
      <w:r w:rsidRPr="001D3DB1">
        <w:rPr>
          <w:iCs/>
          <w:szCs w:val="22"/>
        </w:rPr>
        <w:t>5</w:t>
      </w:r>
      <w:r w:rsidR="008A7E98" w:rsidRPr="001D3DB1">
        <w:rPr>
          <w:iCs/>
          <w:szCs w:val="22"/>
        </w:rPr>
        <w:t> </w:t>
      </w:r>
      <w:r w:rsidRPr="001D3DB1">
        <w:rPr>
          <w:iCs/>
          <w:szCs w:val="22"/>
        </w:rPr>
        <w:t>%, 13</w:t>
      </w:r>
      <w:r w:rsidR="008A7E98" w:rsidRPr="001D3DB1">
        <w:rPr>
          <w:iCs/>
          <w:szCs w:val="22"/>
        </w:rPr>
        <w:t xml:space="preserve"> %, respektive </w:t>
      </w:r>
      <w:r w:rsidRPr="001D3DB1">
        <w:rPr>
          <w:iCs/>
          <w:szCs w:val="22"/>
        </w:rPr>
        <w:t>20</w:t>
      </w:r>
      <w:r w:rsidR="008A7E98" w:rsidRPr="001D3DB1">
        <w:rPr>
          <w:iCs/>
          <w:szCs w:val="22"/>
        </w:rPr>
        <w:t> </w:t>
      </w:r>
      <w:r w:rsidRPr="001D3DB1">
        <w:rPr>
          <w:iCs/>
          <w:szCs w:val="22"/>
        </w:rPr>
        <w:t xml:space="preserve">%. </w:t>
      </w:r>
      <w:r w:rsidR="004C2B18" w:rsidRPr="001D3DB1">
        <w:rPr>
          <w:iCs/>
          <w:szCs w:val="22"/>
        </w:rPr>
        <w:t>Tyto rozdíly v expozici se nepovaž</w:t>
      </w:r>
      <w:r w:rsidR="001D3DB1">
        <w:rPr>
          <w:iCs/>
          <w:szCs w:val="22"/>
        </w:rPr>
        <w:t>o</w:t>
      </w:r>
      <w:r w:rsidR="00601109" w:rsidRPr="001D3DB1">
        <w:rPr>
          <w:iCs/>
          <w:szCs w:val="22"/>
        </w:rPr>
        <w:t>valy</w:t>
      </w:r>
      <w:r w:rsidR="004C2B18" w:rsidRPr="001D3DB1">
        <w:rPr>
          <w:iCs/>
          <w:szCs w:val="22"/>
        </w:rPr>
        <w:t xml:space="preserve"> za klinicky </w:t>
      </w:r>
      <w:r w:rsidR="00614546" w:rsidRPr="001D3DB1">
        <w:rPr>
          <w:iCs/>
          <w:szCs w:val="22"/>
        </w:rPr>
        <w:t>významné</w:t>
      </w:r>
      <w:r w:rsidRPr="001D3DB1">
        <w:rPr>
          <w:iCs/>
          <w:szCs w:val="22"/>
        </w:rPr>
        <w:t xml:space="preserve">. </w:t>
      </w:r>
      <w:r w:rsidR="004C2B18" w:rsidRPr="001D3DB1">
        <w:rPr>
          <w:iCs/>
          <w:szCs w:val="22"/>
        </w:rPr>
        <w:t xml:space="preserve">Farmakokinetika </w:t>
      </w:r>
      <w:proofErr w:type="spellStart"/>
      <w:r w:rsidR="003F36AA">
        <w:rPr>
          <w:iCs/>
          <w:szCs w:val="22"/>
        </w:rPr>
        <w:t>vericig</w:t>
      </w:r>
      <w:r w:rsidR="009D32AD">
        <w:rPr>
          <w:iCs/>
          <w:szCs w:val="22"/>
        </w:rPr>
        <w:t>u</w:t>
      </w:r>
      <w:r w:rsidR="003F36AA">
        <w:rPr>
          <w:iCs/>
          <w:szCs w:val="22"/>
        </w:rPr>
        <w:t>átu</w:t>
      </w:r>
      <w:proofErr w:type="spellEnd"/>
      <w:r w:rsidR="004C2B18" w:rsidRPr="001D3DB1">
        <w:rPr>
          <w:iCs/>
          <w:szCs w:val="22"/>
        </w:rPr>
        <w:t xml:space="preserve"> nebyla hodnocena u pacientů</w:t>
      </w:r>
      <w:r w:rsidRPr="001D3DB1">
        <w:rPr>
          <w:iCs/>
          <w:szCs w:val="22"/>
        </w:rPr>
        <w:t xml:space="preserve"> </w:t>
      </w:r>
      <w:r w:rsidR="004C2B18" w:rsidRPr="001D3DB1">
        <w:rPr>
          <w:iCs/>
          <w:szCs w:val="22"/>
        </w:rPr>
        <w:t>s hodnotou</w:t>
      </w:r>
      <w:r w:rsidRPr="001D3DB1">
        <w:rPr>
          <w:iCs/>
          <w:szCs w:val="22"/>
        </w:rPr>
        <w:t xml:space="preserve"> </w:t>
      </w:r>
      <w:proofErr w:type="spellStart"/>
      <w:r w:rsidRPr="001D3DB1">
        <w:rPr>
          <w:iCs/>
          <w:szCs w:val="22"/>
        </w:rPr>
        <w:t>eGFR</w:t>
      </w:r>
      <w:proofErr w:type="spellEnd"/>
      <w:r w:rsidRPr="001D3DB1">
        <w:rPr>
          <w:iCs/>
          <w:szCs w:val="22"/>
        </w:rPr>
        <w:t> &lt;15</w:t>
      </w:r>
      <w:r w:rsidR="004C2B18" w:rsidRPr="001D3DB1">
        <w:rPr>
          <w:iCs/>
          <w:szCs w:val="22"/>
        </w:rPr>
        <w:t> </w:t>
      </w:r>
      <w:r w:rsidRPr="001D3DB1">
        <w:rPr>
          <w:iCs/>
          <w:szCs w:val="22"/>
        </w:rPr>
        <w:t>m</w:t>
      </w:r>
      <w:r w:rsidR="004C2B18" w:rsidRPr="001D3DB1">
        <w:rPr>
          <w:iCs/>
          <w:szCs w:val="22"/>
        </w:rPr>
        <w:t>l</w:t>
      </w:r>
      <w:r w:rsidRPr="001D3DB1">
        <w:rPr>
          <w:iCs/>
          <w:szCs w:val="22"/>
        </w:rPr>
        <w:t>/min/1</w:t>
      </w:r>
      <w:r w:rsidR="00614546" w:rsidRPr="001D3DB1">
        <w:rPr>
          <w:iCs/>
          <w:szCs w:val="22"/>
        </w:rPr>
        <w:t>,</w:t>
      </w:r>
      <w:r w:rsidRPr="001D3DB1">
        <w:rPr>
          <w:iCs/>
          <w:szCs w:val="22"/>
        </w:rPr>
        <w:t>73 m</w:t>
      </w:r>
      <w:r w:rsidRPr="001D3DB1">
        <w:rPr>
          <w:iCs/>
          <w:szCs w:val="22"/>
          <w:vertAlign w:val="superscript"/>
        </w:rPr>
        <w:t>2</w:t>
      </w:r>
      <w:r w:rsidRPr="001D3DB1">
        <w:rPr>
          <w:iCs/>
          <w:szCs w:val="22"/>
        </w:rPr>
        <w:t xml:space="preserve"> </w:t>
      </w:r>
      <w:r w:rsidR="004C2B18" w:rsidRPr="001D3DB1">
        <w:rPr>
          <w:iCs/>
          <w:szCs w:val="22"/>
        </w:rPr>
        <w:t>při zahájení léčby</w:t>
      </w:r>
      <w:r w:rsidRPr="001D3DB1">
        <w:rPr>
          <w:iCs/>
          <w:szCs w:val="22"/>
        </w:rPr>
        <w:t xml:space="preserve"> </w:t>
      </w:r>
      <w:r w:rsidR="004C2B18" w:rsidRPr="001D3DB1">
        <w:rPr>
          <w:iCs/>
          <w:szCs w:val="22"/>
        </w:rPr>
        <w:t>nebo u pacientů na dialýze</w:t>
      </w:r>
      <w:r w:rsidRPr="001D3DB1">
        <w:rPr>
          <w:iCs/>
          <w:szCs w:val="22"/>
        </w:rPr>
        <w:t xml:space="preserve"> (</w:t>
      </w:r>
      <w:r w:rsidR="004C2B18" w:rsidRPr="001D3DB1">
        <w:rPr>
          <w:iCs/>
          <w:szCs w:val="22"/>
        </w:rPr>
        <w:t>viz body</w:t>
      </w:r>
      <w:r w:rsidRPr="001D3DB1">
        <w:rPr>
          <w:iCs/>
          <w:szCs w:val="22"/>
        </w:rPr>
        <w:t> 4.2 a</w:t>
      </w:r>
      <w:r w:rsidR="004C2B18" w:rsidRPr="001D3DB1">
        <w:rPr>
          <w:iCs/>
          <w:szCs w:val="22"/>
        </w:rPr>
        <w:t> </w:t>
      </w:r>
      <w:r w:rsidRPr="001D3DB1">
        <w:rPr>
          <w:iCs/>
          <w:szCs w:val="22"/>
        </w:rPr>
        <w:t>4.4).</w:t>
      </w:r>
    </w:p>
    <w:p w14:paraId="7B7BD106" w14:textId="77777777" w:rsidR="003D3D4B" w:rsidRPr="001D3DB1" w:rsidRDefault="003D3D4B" w:rsidP="003D3D4B">
      <w:pPr>
        <w:widowControl w:val="0"/>
        <w:numPr>
          <w:ilvl w:val="12"/>
          <w:numId w:val="0"/>
        </w:numPr>
        <w:spacing w:line="240" w:lineRule="auto"/>
        <w:rPr>
          <w:iCs/>
          <w:szCs w:val="22"/>
        </w:rPr>
      </w:pPr>
    </w:p>
    <w:p w14:paraId="580ED840" w14:textId="71CFCD73" w:rsidR="003D3D4B" w:rsidRPr="001D3DB1" w:rsidRDefault="000547EA" w:rsidP="003D3D4B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  <w:r w:rsidRPr="001D3DB1">
        <w:rPr>
          <w:iCs/>
          <w:szCs w:val="22"/>
        </w:rPr>
        <w:t xml:space="preserve">Ve specificky zaměřené farmakologické klinické studii vykazovali jinak zdraví účastníci s lehkou, středně těžkou a těžkou poruchou funkce ledvin </w:t>
      </w:r>
      <w:r w:rsidR="00614546" w:rsidRPr="001D3DB1">
        <w:rPr>
          <w:iCs/>
          <w:szCs w:val="22"/>
        </w:rPr>
        <w:t xml:space="preserve">po podání jedné dávky </w:t>
      </w:r>
      <w:r w:rsidRPr="001D3DB1">
        <w:rPr>
          <w:iCs/>
          <w:szCs w:val="22"/>
        </w:rPr>
        <w:t>o </w:t>
      </w:r>
      <w:r w:rsidR="003D3D4B" w:rsidRPr="001D3DB1">
        <w:rPr>
          <w:iCs/>
          <w:szCs w:val="22"/>
        </w:rPr>
        <w:t>8</w:t>
      </w:r>
      <w:r w:rsidRPr="001D3DB1">
        <w:rPr>
          <w:iCs/>
          <w:szCs w:val="22"/>
        </w:rPr>
        <w:t> </w:t>
      </w:r>
      <w:r w:rsidR="003D3D4B" w:rsidRPr="001D3DB1">
        <w:rPr>
          <w:iCs/>
          <w:szCs w:val="22"/>
        </w:rPr>
        <w:t>%, 73</w:t>
      </w:r>
      <w:r w:rsidRPr="001D3DB1">
        <w:rPr>
          <w:iCs/>
          <w:szCs w:val="22"/>
        </w:rPr>
        <w:t> </w:t>
      </w:r>
      <w:r w:rsidR="003D3D4B" w:rsidRPr="001D3DB1">
        <w:rPr>
          <w:iCs/>
          <w:szCs w:val="22"/>
        </w:rPr>
        <w:t xml:space="preserve">%, </w:t>
      </w:r>
      <w:r w:rsidRPr="001D3DB1">
        <w:rPr>
          <w:iCs/>
          <w:szCs w:val="22"/>
        </w:rPr>
        <w:t>respektive</w:t>
      </w:r>
      <w:r w:rsidR="003D3D4B" w:rsidRPr="001D3DB1">
        <w:rPr>
          <w:iCs/>
          <w:szCs w:val="22"/>
        </w:rPr>
        <w:t xml:space="preserve"> 143</w:t>
      </w:r>
      <w:r w:rsidRPr="001D3DB1">
        <w:rPr>
          <w:iCs/>
          <w:szCs w:val="22"/>
        </w:rPr>
        <w:t> </w:t>
      </w:r>
      <w:r w:rsidR="003D3D4B" w:rsidRPr="001D3DB1">
        <w:rPr>
          <w:iCs/>
          <w:szCs w:val="22"/>
        </w:rPr>
        <w:t xml:space="preserve">% </w:t>
      </w:r>
      <w:r w:rsidRPr="001D3DB1">
        <w:rPr>
          <w:iCs/>
          <w:szCs w:val="22"/>
        </w:rPr>
        <w:t xml:space="preserve">vyšší střední hodnotu expozice </w:t>
      </w:r>
      <w:proofErr w:type="spellStart"/>
      <w:r w:rsidR="003F36AA">
        <w:rPr>
          <w:iCs/>
          <w:szCs w:val="22"/>
        </w:rPr>
        <w:t>vericig</w:t>
      </w:r>
      <w:r w:rsidR="009D32AD">
        <w:rPr>
          <w:iCs/>
          <w:szCs w:val="22"/>
        </w:rPr>
        <w:t>u</w:t>
      </w:r>
      <w:r w:rsidR="003F36AA">
        <w:rPr>
          <w:iCs/>
          <w:szCs w:val="22"/>
        </w:rPr>
        <w:t>átu</w:t>
      </w:r>
      <w:proofErr w:type="spellEnd"/>
      <w:r w:rsidR="003D3D4B" w:rsidRPr="001D3DB1">
        <w:rPr>
          <w:iCs/>
          <w:szCs w:val="22"/>
        </w:rPr>
        <w:t xml:space="preserve"> (</w:t>
      </w:r>
      <w:r w:rsidRPr="001D3DB1">
        <w:rPr>
          <w:iCs/>
          <w:szCs w:val="22"/>
        </w:rPr>
        <w:t xml:space="preserve">hodnota </w:t>
      </w:r>
      <w:r w:rsidR="003D3D4B" w:rsidRPr="001D3DB1">
        <w:rPr>
          <w:iCs/>
          <w:szCs w:val="22"/>
        </w:rPr>
        <w:t xml:space="preserve">AUC </w:t>
      </w:r>
      <w:r w:rsidR="00614546" w:rsidRPr="001D3DB1">
        <w:rPr>
          <w:iCs/>
          <w:szCs w:val="22"/>
        </w:rPr>
        <w:t xml:space="preserve">nevázaného </w:t>
      </w:r>
      <w:proofErr w:type="spellStart"/>
      <w:r w:rsidR="003F36AA">
        <w:rPr>
          <w:iCs/>
          <w:szCs w:val="22"/>
        </w:rPr>
        <w:t>vericig</w:t>
      </w:r>
      <w:r w:rsidR="00686609">
        <w:rPr>
          <w:iCs/>
          <w:szCs w:val="22"/>
        </w:rPr>
        <w:t>u</w:t>
      </w:r>
      <w:r w:rsidR="003F36AA">
        <w:rPr>
          <w:iCs/>
          <w:szCs w:val="22"/>
        </w:rPr>
        <w:t>átu</w:t>
      </w:r>
      <w:proofErr w:type="spellEnd"/>
      <w:r w:rsidR="00614546" w:rsidRPr="001D3DB1">
        <w:rPr>
          <w:iCs/>
          <w:szCs w:val="22"/>
        </w:rPr>
        <w:t xml:space="preserve"> </w:t>
      </w:r>
      <w:r w:rsidRPr="001D3DB1">
        <w:rPr>
          <w:iCs/>
          <w:szCs w:val="22"/>
        </w:rPr>
        <w:t>normalizovaná podle tělesné hmotnosti</w:t>
      </w:r>
      <w:r w:rsidR="003D3D4B" w:rsidRPr="001D3DB1">
        <w:rPr>
          <w:iCs/>
          <w:szCs w:val="22"/>
        </w:rPr>
        <w:t>)</w:t>
      </w:r>
      <w:r w:rsidRPr="001D3DB1">
        <w:rPr>
          <w:iCs/>
          <w:szCs w:val="22"/>
        </w:rPr>
        <w:t xml:space="preserve"> než zdravé kontrolní subjekty</w:t>
      </w:r>
      <w:r w:rsidR="003D3D4B" w:rsidRPr="001D3DB1">
        <w:rPr>
          <w:iCs/>
          <w:szCs w:val="22"/>
        </w:rPr>
        <w:t>.</w:t>
      </w:r>
    </w:p>
    <w:p w14:paraId="4C8AFFDE" w14:textId="77777777" w:rsidR="003D3D4B" w:rsidRPr="001D3DB1" w:rsidRDefault="003D3D4B" w:rsidP="003D3D4B">
      <w:pPr>
        <w:widowControl w:val="0"/>
        <w:numPr>
          <w:ilvl w:val="12"/>
          <w:numId w:val="0"/>
        </w:numPr>
        <w:spacing w:line="240" w:lineRule="auto"/>
        <w:rPr>
          <w:iCs/>
          <w:szCs w:val="22"/>
        </w:rPr>
      </w:pPr>
    </w:p>
    <w:p w14:paraId="5DBA623B" w14:textId="4C09A3D2" w:rsidR="00D474A9" w:rsidRPr="001D3DB1" w:rsidRDefault="00067B71" w:rsidP="003D3D4B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  <w:r w:rsidRPr="001D3DB1">
        <w:rPr>
          <w:iCs/>
          <w:szCs w:val="22"/>
        </w:rPr>
        <w:t xml:space="preserve">Zjevný rozdíl vlivu poruchy funkce ledvin na expozici </w:t>
      </w:r>
      <w:proofErr w:type="spellStart"/>
      <w:r w:rsidR="003F36AA">
        <w:rPr>
          <w:iCs/>
          <w:szCs w:val="22"/>
        </w:rPr>
        <w:t>vericig</w:t>
      </w:r>
      <w:r w:rsidR="0096502F">
        <w:rPr>
          <w:iCs/>
          <w:szCs w:val="22"/>
        </w:rPr>
        <w:t>u</w:t>
      </w:r>
      <w:r w:rsidR="003F36AA">
        <w:rPr>
          <w:iCs/>
          <w:szCs w:val="22"/>
        </w:rPr>
        <w:t>átu</w:t>
      </w:r>
      <w:proofErr w:type="spellEnd"/>
      <w:r w:rsidRPr="001D3DB1">
        <w:rPr>
          <w:iCs/>
          <w:szCs w:val="22"/>
        </w:rPr>
        <w:t xml:space="preserve">, patrný </w:t>
      </w:r>
      <w:r w:rsidR="00561CEB" w:rsidRPr="001D3DB1">
        <w:rPr>
          <w:iCs/>
          <w:szCs w:val="22"/>
        </w:rPr>
        <w:t xml:space="preserve">při porovnání </w:t>
      </w:r>
      <w:r w:rsidRPr="001D3DB1">
        <w:rPr>
          <w:iCs/>
          <w:szCs w:val="22"/>
        </w:rPr>
        <w:t>mezi výsledky specificky zaměřené farmakologické klinické studie a analýzou u pacientů se srdečním selháním, lze přičíst rozdílům v designu studií a jejich velikosti</w:t>
      </w:r>
      <w:r w:rsidR="003D3D4B" w:rsidRPr="001D3DB1">
        <w:rPr>
          <w:iCs/>
          <w:szCs w:val="22"/>
        </w:rPr>
        <w:t>.</w:t>
      </w:r>
    </w:p>
    <w:p w14:paraId="525762A6" w14:textId="77777777" w:rsidR="00D474A9" w:rsidRPr="001D3DB1" w:rsidRDefault="00D474A9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7D7065C0" w14:textId="77777777" w:rsidR="002750F9" w:rsidRPr="001D3DB1" w:rsidRDefault="002750F9" w:rsidP="00FE2053">
      <w:pPr>
        <w:keepNext/>
        <w:numPr>
          <w:ilvl w:val="12"/>
          <w:numId w:val="0"/>
        </w:numPr>
        <w:spacing w:line="240" w:lineRule="auto"/>
        <w:rPr>
          <w:i/>
          <w:iCs/>
          <w:szCs w:val="22"/>
        </w:rPr>
      </w:pPr>
      <w:r w:rsidRPr="001D3DB1">
        <w:rPr>
          <w:i/>
        </w:rPr>
        <w:t>Porucha funkce jater</w:t>
      </w:r>
    </w:p>
    <w:p w14:paraId="5BFC62B8" w14:textId="3FEBF1DA" w:rsidR="001D4D72" w:rsidRPr="001D3DB1" w:rsidRDefault="001D4D72" w:rsidP="00502251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  <w:r w:rsidRPr="001D3DB1">
        <w:rPr>
          <w:rFonts w:cs="Arial"/>
        </w:rPr>
        <w:t>Nebylo pozorováno žádné relevantní zvýšení expozice (AUC nenavázaného léčiva) u subjektů s</w:t>
      </w:r>
      <w:r w:rsidR="00AC19E4">
        <w:rPr>
          <w:rFonts w:cs="Arial"/>
        </w:rPr>
        <w:t> lehkou poruchou funkce</w:t>
      </w:r>
      <w:r w:rsidRPr="001D3DB1">
        <w:rPr>
          <w:rFonts w:cs="Arial"/>
        </w:rPr>
        <w:t xml:space="preserve"> jater (třída A podle </w:t>
      </w:r>
      <w:proofErr w:type="spellStart"/>
      <w:r w:rsidRPr="001D3DB1">
        <w:rPr>
          <w:rFonts w:cs="Arial"/>
        </w:rPr>
        <w:t>Child-Pughovy</w:t>
      </w:r>
      <w:proofErr w:type="spellEnd"/>
      <w:r w:rsidRPr="001D3DB1">
        <w:rPr>
          <w:rFonts w:cs="Arial"/>
        </w:rPr>
        <w:t xml:space="preserve"> klasifikace) se střední expozicí </w:t>
      </w:r>
      <w:proofErr w:type="spellStart"/>
      <w:r w:rsidR="003F36AA">
        <w:rPr>
          <w:rFonts w:cs="Arial"/>
        </w:rPr>
        <w:t>vericig</w:t>
      </w:r>
      <w:r w:rsidR="0096502F">
        <w:rPr>
          <w:rFonts w:cs="Arial"/>
        </w:rPr>
        <w:t>u</w:t>
      </w:r>
      <w:r w:rsidR="003F36AA">
        <w:rPr>
          <w:rFonts w:cs="Arial"/>
        </w:rPr>
        <w:t>átu</w:t>
      </w:r>
      <w:proofErr w:type="spellEnd"/>
      <w:r w:rsidRPr="001D3DB1">
        <w:rPr>
          <w:rFonts w:cs="Arial"/>
        </w:rPr>
        <w:t xml:space="preserve"> o 21 % vyšší ve srovnání se zdravými subjekty s normální funkcí jater. U subjektů se středně závažným poškozením jater (třída B podle </w:t>
      </w:r>
      <w:proofErr w:type="spellStart"/>
      <w:r w:rsidRPr="001D3DB1">
        <w:rPr>
          <w:rFonts w:cs="Arial"/>
        </w:rPr>
        <w:t>Child-Pughovy</w:t>
      </w:r>
      <w:proofErr w:type="spellEnd"/>
      <w:r w:rsidRPr="001D3DB1">
        <w:rPr>
          <w:rFonts w:cs="Arial"/>
        </w:rPr>
        <w:t xml:space="preserve"> klasifikace) byla střední expozice </w:t>
      </w:r>
      <w:proofErr w:type="spellStart"/>
      <w:r w:rsidR="003F36AA">
        <w:rPr>
          <w:rFonts w:cs="Arial"/>
        </w:rPr>
        <w:t>vericig</w:t>
      </w:r>
      <w:r w:rsidR="0096502F">
        <w:rPr>
          <w:rFonts w:cs="Arial"/>
        </w:rPr>
        <w:t>u</w:t>
      </w:r>
      <w:r w:rsidR="003F36AA">
        <w:rPr>
          <w:rFonts w:cs="Arial"/>
        </w:rPr>
        <w:t>átu</w:t>
      </w:r>
      <w:proofErr w:type="spellEnd"/>
      <w:r w:rsidRPr="001D3DB1">
        <w:rPr>
          <w:rFonts w:cs="Arial"/>
        </w:rPr>
        <w:t xml:space="preserve"> přibližně o 47 % vyšší ve srovnání se zdravými subjekty s normální funkcí jater. </w:t>
      </w:r>
      <w:bookmarkStart w:id="0" w:name="_Hlk36156623"/>
      <w:r w:rsidRPr="001D3DB1">
        <w:t xml:space="preserve">Farmakokinetika </w:t>
      </w:r>
      <w:proofErr w:type="spellStart"/>
      <w:r w:rsidR="003F36AA">
        <w:t>vericig</w:t>
      </w:r>
      <w:r w:rsidR="00686609">
        <w:t>u</w:t>
      </w:r>
      <w:r w:rsidR="003F36AA">
        <w:t>átu</w:t>
      </w:r>
      <w:proofErr w:type="spellEnd"/>
      <w:r w:rsidRPr="001D3DB1">
        <w:t xml:space="preserve"> nebyla studována u pacientů </w:t>
      </w:r>
      <w:r w:rsidR="00AC19E4">
        <w:t>s těžkou poruchou funkce</w:t>
      </w:r>
      <w:r w:rsidRPr="001D3DB1">
        <w:t xml:space="preserve"> jater (třída C podle </w:t>
      </w:r>
      <w:proofErr w:type="spellStart"/>
      <w:r w:rsidRPr="001D3DB1">
        <w:t>Child-Pughovy</w:t>
      </w:r>
      <w:proofErr w:type="spellEnd"/>
      <w:r w:rsidRPr="001D3DB1">
        <w:t xml:space="preserve"> klasifikace) (viz bod</w:t>
      </w:r>
      <w:r w:rsidR="005406A0" w:rsidRPr="001D3DB1">
        <w:t>y</w:t>
      </w:r>
      <w:r w:rsidRPr="001D3DB1">
        <w:t> 4.2</w:t>
      </w:r>
      <w:r w:rsidR="005406A0" w:rsidRPr="001D3DB1">
        <w:t xml:space="preserve"> a 4.4</w:t>
      </w:r>
      <w:r w:rsidRPr="001D3DB1">
        <w:t>).</w:t>
      </w:r>
      <w:bookmarkEnd w:id="0"/>
    </w:p>
    <w:p w14:paraId="7C64234D" w14:textId="77777777" w:rsidR="001D4D72" w:rsidRPr="001D3DB1" w:rsidRDefault="001D4D72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660F8B86" w14:textId="77777777" w:rsidR="00B50E8E" w:rsidRPr="001D3DB1" w:rsidRDefault="00B50E8E" w:rsidP="00FE2053">
      <w:pPr>
        <w:keepNext/>
        <w:numPr>
          <w:ilvl w:val="12"/>
          <w:numId w:val="0"/>
        </w:numPr>
        <w:spacing w:line="240" w:lineRule="auto"/>
        <w:rPr>
          <w:i/>
          <w:iCs/>
          <w:szCs w:val="22"/>
        </w:rPr>
      </w:pPr>
      <w:r w:rsidRPr="001D3DB1">
        <w:rPr>
          <w:i/>
        </w:rPr>
        <w:t>Vliv věku, tělesné hmotnosti, pohlaví, etnika, rasy a výchozí hladiny NT-</w:t>
      </w:r>
      <w:proofErr w:type="spellStart"/>
      <w:r w:rsidRPr="001D3DB1">
        <w:rPr>
          <w:i/>
        </w:rPr>
        <w:t>proBNP</w:t>
      </w:r>
      <w:proofErr w:type="spellEnd"/>
    </w:p>
    <w:p w14:paraId="7D687F46" w14:textId="0F4769F8" w:rsidR="00B50E8E" w:rsidRPr="001D3DB1" w:rsidRDefault="00B50E8E" w:rsidP="00FE2053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  <w:r w:rsidRPr="001D3DB1">
        <w:t xml:space="preserve">Na základě souhrnné populačně farmakokinetické analýzy </w:t>
      </w:r>
      <w:proofErr w:type="spellStart"/>
      <w:r w:rsidR="003F36AA">
        <w:t>vericig</w:t>
      </w:r>
      <w:r w:rsidR="0096502F">
        <w:t>u</w:t>
      </w:r>
      <w:r w:rsidR="003F36AA">
        <w:t>átu</w:t>
      </w:r>
      <w:proofErr w:type="spellEnd"/>
      <w:r w:rsidRPr="001D3DB1">
        <w:t xml:space="preserve"> u pacientů se srdečním selháním nemají věk (23 až 98 let), tělesná hmotnost, pohlaví, etnikum, rasa a výchozí hladina NT-</w:t>
      </w:r>
      <w:proofErr w:type="spellStart"/>
      <w:r w:rsidRPr="001D3DB1">
        <w:t>proBNP</w:t>
      </w:r>
      <w:proofErr w:type="spellEnd"/>
      <w:r w:rsidRPr="001D3DB1">
        <w:t xml:space="preserve"> klinicky významný vliv na farmakokinetiku </w:t>
      </w:r>
      <w:proofErr w:type="spellStart"/>
      <w:r w:rsidR="003F36AA">
        <w:t>vericig</w:t>
      </w:r>
      <w:r w:rsidR="0096502F">
        <w:t>u</w:t>
      </w:r>
      <w:r w:rsidR="003F36AA">
        <w:t>átu</w:t>
      </w:r>
      <w:proofErr w:type="spellEnd"/>
      <w:r w:rsidRPr="001D3DB1">
        <w:t xml:space="preserve"> (viz bod 5.1).</w:t>
      </w:r>
    </w:p>
    <w:p w14:paraId="2CE79A57" w14:textId="2F265D47" w:rsidR="004534DA" w:rsidRPr="001D3DB1" w:rsidRDefault="004534DA" w:rsidP="00A66911">
      <w:pPr>
        <w:widowControl w:val="0"/>
        <w:numPr>
          <w:ilvl w:val="12"/>
          <w:numId w:val="0"/>
        </w:numPr>
        <w:spacing w:line="240" w:lineRule="auto"/>
        <w:rPr>
          <w:iCs/>
          <w:szCs w:val="22"/>
        </w:rPr>
      </w:pPr>
    </w:p>
    <w:p w14:paraId="3C840742" w14:textId="77777777" w:rsidR="004C630F" w:rsidRPr="001D3DB1" w:rsidRDefault="004C630F" w:rsidP="004C630F">
      <w:pPr>
        <w:keepNext/>
        <w:numPr>
          <w:ilvl w:val="12"/>
          <w:numId w:val="0"/>
        </w:numPr>
        <w:spacing w:line="240" w:lineRule="auto"/>
        <w:rPr>
          <w:i/>
          <w:iCs/>
          <w:szCs w:val="22"/>
        </w:rPr>
      </w:pPr>
      <w:r w:rsidRPr="001D3DB1">
        <w:rPr>
          <w:i/>
        </w:rPr>
        <w:t>Pediatrická populace</w:t>
      </w:r>
    </w:p>
    <w:p w14:paraId="301737F5" w14:textId="41B91334" w:rsidR="004C630F" w:rsidRPr="001D3DB1" w:rsidRDefault="004C630F" w:rsidP="004C630F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  <w:r w:rsidRPr="001D3DB1">
        <w:t xml:space="preserve">Dosud nebyly provedeny žádné studie </w:t>
      </w:r>
      <w:proofErr w:type="spellStart"/>
      <w:r w:rsidR="003F36AA">
        <w:t>vericig</w:t>
      </w:r>
      <w:r w:rsidR="00686609">
        <w:t>u</w:t>
      </w:r>
      <w:r w:rsidR="003F36AA">
        <w:t>átu</w:t>
      </w:r>
      <w:proofErr w:type="spellEnd"/>
      <w:r w:rsidRPr="001D3DB1">
        <w:t xml:space="preserve"> u pediatrických pacientů.</w:t>
      </w:r>
    </w:p>
    <w:p w14:paraId="649B2373" w14:textId="77777777" w:rsidR="004C630F" w:rsidRPr="001D3DB1" w:rsidRDefault="004C630F" w:rsidP="00A66911">
      <w:pPr>
        <w:widowControl w:val="0"/>
        <w:numPr>
          <w:ilvl w:val="12"/>
          <w:numId w:val="0"/>
        </w:numPr>
        <w:spacing w:line="240" w:lineRule="auto"/>
        <w:rPr>
          <w:iCs/>
          <w:szCs w:val="22"/>
        </w:rPr>
      </w:pPr>
    </w:p>
    <w:p w14:paraId="4C18C376" w14:textId="334D23CB" w:rsidR="004534DA" w:rsidRPr="001D3DB1" w:rsidRDefault="004534DA" w:rsidP="004534DA">
      <w:pPr>
        <w:keepNext/>
        <w:rPr>
          <w:rFonts w:eastAsia="SimSun"/>
          <w:szCs w:val="22"/>
          <w:u w:val="single"/>
        </w:rPr>
      </w:pPr>
      <w:r w:rsidRPr="001D3DB1">
        <w:rPr>
          <w:rFonts w:eastAsia="SimSun"/>
          <w:u w:val="single"/>
        </w:rPr>
        <w:t>Hodnocení interakcí</w:t>
      </w:r>
      <w:r w:rsidR="005406A0" w:rsidRPr="001D3DB1">
        <w:rPr>
          <w:rFonts w:eastAsia="SimSun"/>
          <w:u w:val="single"/>
        </w:rPr>
        <w:t xml:space="preserve"> léčivého přípravku</w:t>
      </w:r>
      <w:r w:rsidRPr="001D3DB1">
        <w:rPr>
          <w:rFonts w:eastAsia="SimSun"/>
          <w:u w:val="single"/>
        </w:rPr>
        <w:t xml:space="preserve"> </w:t>
      </w:r>
      <w:r w:rsidRPr="001D3DB1">
        <w:rPr>
          <w:rFonts w:eastAsia="SimSun"/>
          <w:i/>
          <w:u w:val="single"/>
        </w:rPr>
        <w:t>in vitro</w:t>
      </w:r>
    </w:p>
    <w:p w14:paraId="6D0F671F" w14:textId="77777777" w:rsidR="004534DA" w:rsidRPr="001D3DB1" w:rsidRDefault="004534DA" w:rsidP="004534DA">
      <w:pPr>
        <w:keepNext/>
        <w:rPr>
          <w:rFonts w:eastAsia="SimSun"/>
          <w:i/>
          <w:szCs w:val="22"/>
          <w:lang w:eastAsia="ko-KR"/>
        </w:rPr>
      </w:pPr>
    </w:p>
    <w:p w14:paraId="02F407A0" w14:textId="6CFB2F3B" w:rsidR="004534DA" w:rsidRPr="001D3DB1" w:rsidRDefault="005406A0" w:rsidP="004534DA">
      <w:pPr>
        <w:keepNext/>
        <w:rPr>
          <w:rFonts w:eastAsia="SimSun"/>
          <w:szCs w:val="22"/>
        </w:rPr>
      </w:pPr>
      <w:proofErr w:type="spellStart"/>
      <w:r w:rsidRPr="001D3DB1">
        <w:rPr>
          <w:rFonts w:eastAsia="SimSun"/>
        </w:rPr>
        <w:t>Vericig</w:t>
      </w:r>
      <w:r w:rsidR="00686609">
        <w:rPr>
          <w:rFonts w:eastAsia="SimSun"/>
        </w:rPr>
        <w:t>u</w:t>
      </w:r>
      <w:r w:rsidR="00A8307B">
        <w:rPr>
          <w:rFonts w:eastAsia="SimSun"/>
        </w:rPr>
        <w:t>á</w:t>
      </w:r>
      <w:r w:rsidRPr="001D3DB1">
        <w:rPr>
          <w:rFonts w:eastAsia="SimSun"/>
        </w:rPr>
        <w:t>t</w:t>
      </w:r>
      <w:proofErr w:type="spellEnd"/>
      <w:r w:rsidRPr="001D3DB1">
        <w:rPr>
          <w:rFonts w:eastAsia="SimSun"/>
        </w:rPr>
        <w:t xml:space="preserve"> je substrátem UGT1A9 i UGT1A1 (viz bod 4.5). </w:t>
      </w:r>
      <w:r w:rsidR="004534DA" w:rsidRPr="001D3DB1">
        <w:rPr>
          <w:rFonts w:eastAsia="SimSun"/>
          <w:i/>
        </w:rPr>
        <w:t>In vitro</w:t>
      </w:r>
      <w:r w:rsidR="004534DA" w:rsidRPr="001D3DB1">
        <w:rPr>
          <w:rFonts w:eastAsia="SimSun"/>
        </w:rPr>
        <w:t xml:space="preserve"> studie naznačují, že </w:t>
      </w:r>
      <w:proofErr w:type="spellStart"/>
      <w:r w:rsidR="004534DA" w:rsidRPr="001D3DB1">
        <w:rPr>
          <w:rFonts w:eastAsia="SimSun"/>
        </w:rPr>
        <w:t>vericig</w:t>
      </w:r>
      <w:r w:rsidR="0096502F">
        <w:rPr>
          <w:rFonts w:eastAsia="SimSun"/>
        </w:rPr>
        <w:t>u</w:t>
      </w:r>
      <w:r w:rsidR="00A8307B">
        <w:rPr>
          <w:rFonts w:eastAsia="SimSun"/>
        </w:rPr>
        <w:t>á</w:t>
      </w:r>
      <w:r w:rsidR="004534DA" w:rsidRPr="001D3DB1">
        <w:rPr>
          <w:rFonts w:eastAsia="SimSun"/>
        </w:rPr>
        <w:t>t</w:t>
      </w:r>
      <w:proofErr w:type="spellEnd"/>
      <w:r w:rsidR="004534DA" w:rsidRPr="001D3DB1">
        <w:rPr>
          <w:rFonts w:eastAsia="SimSun"/>
        </w:rPr>
        <w:t xml:space="preserve"> a jeho N-</w:t>
      </w:r>
      <w:proofErr w:type="spellStart"/>
      <w:r w:rsidR="004534DA" w:rsidRPr="001D3DB1">
        <w:rPr>
          <w:rFonts w:eastAsia="SimSun"/>
        </w:rPr>
        <w:t>glukuronid</w:t>
      </w:r>
      <w:proofErr w:type="spellEnd"/>
      <w:r w:rsidR="004534DA" w:rsidRPr="001D3DB1">
        <w:rPr>
          <w:rFonts w:eastAsia="SimSun"/>
        </w:rPr>
        <w:t xml:space="preserve"> v klinicky významných koncentracích nejsou inhibitory hlavních </w:t>
      </w:r>
      <w:proofErr w:type="spellStart"/>
      <w:r w:rsidR="004534DA" w:rsidRPr="001D3DB1">
        <w:rPr>
          <w:rFonts w:eastAsia="SimSun"/>
        </w:rPr>
        <w:t>izoforem</w:t>
      </w:r>
      <w:proofErr w:type="spellEnd"/>
      <w:r w:rsidR="004534DA" w:rsidRPr="001D3DB1">
        <w:rPr>
          <w:rFonts w:eastAsia="SimSun"/>
        </w:rPr>
        <w:t xml:space="preserve"> CYP (CYP1A2, 2B6, 2C8, 2C9, 2C19, 2D6 a 3A4) nebo </w:t>
      </w:r>
      <w:proofErr w:type="spellStart"/>
      <w:r w:rsidR="004534DA" w:rsidRPr="001D3DB1">
        <w:rPr>
          <w:rFonts w:eastAsia="SimSun"/>
        </w:rPr>
        <w:t>izoforem</w:t>
      </w:r>
      <w:proofErr w:type="spellEnd"/>
      <w:r w:rsidR="004534DA" w:rsidRPr="001D3DB1">
        <w:rPr>
          <w:rFonts w:eastAsia="SimSun"/>
        </w:rPr>
        <w:t xml:space="preserve"> UGT (UGT1A1, 1A4, 1A6, 1A9, 2B4 a 2B7), ani nejsou induktory CYP1A2, 2B6 a 3A4.</w:t>
      </w:r>
    </w:p>
    <w:p w14:paraId="66D5463C" w14:textId="77777777" w:rsidR="004534DA" w:rsidRPr="001D3DB1" w:rsidRDefault="004534DA" w:rsidP="003C57C5">
      <w:pPr>
        <w:widowControl w:val="0"/>
        <w:rPr>
          <w:rFonts w:eastAsia="SimSun"/>
          <w:szCs w:val="22"/>
          <w:lang w:eastAsia="ko-KR"/>
        </w:rPr>
      </w:pPr>
    </w:p>
    <w:p w14:paraId="1EF46616" w14:textId="4325C9C2" w:rsidR="004534DA" w:rsidRPr="001D3DB1" w:rsidRDefault="004534DA" w:rsidP="004534DA">
      <w:pPr>
        <w:keepNext/>
        <w:rPr>
          <w:rFonts w:eastAsia="SimSun"/>
          <w:szCs w:val="22"/>
        </w:rPr>
      </w:pPr>
      <w:proofErr w:type="spellStart"/>
      <w:r w:rsidRPr="001D3DB1">
        <w:rPr>
          <w:rFonts w:eastAsia="SimSun"/>
        </w:rPr>
        <w:t>Vericig</w:t>
      </w:r>
      <w:r w:rsidR="0096502F">
        <w:rPr>
          <w:rFonts w:eastAsia="SimSun"/>
        </w:rPr>
        <w:t>u</w:t>
      </w:r>
      <w:r w:rsidR="00A8307B">
        <w:rPr>
          <w:rFonts w:eastAsia="SimSun"/>
        </w:rPr>
        <w:t>á</w:t>
      </w:r>
      <w:r w:rsidRPr="001D3DB1">
        <w:rPr>
          <w:rFonts w:eastAsia="SimSun"/>
        </w:rPr>
        <w:t>t</w:t>
      </w:r>
      <w:proofErr w:type="spellEnd"/>
      <w:r w:rsidRPr="001D3DB1">
        <w:rPr>
          <w:rFonts w:eastAsia="SimSun"/>
        </w:rPr>
        <w:t xml:space="preserve"> je substrátem transportérů P-glykoproteinu (P-</w:t>
      </w:r>
      <w:proofErr w:type="spellStart"/>
      <w:r w:rsidRPr="001D3DB1">
        <w:rPr>
          <w:rFonts w:eastAsia="SimSun"/>
        </w:rPr>
        <w:t>gp</w:t>
      </w:r>
      <w:proofErr w:type="spellEnd"/>
      <w:r w:rsidRPr="001D3DB1">
        <w:rPr>
          <w:rFonts w:eastAsia="SimSun"/>
        </w:rPr>
        <w:t xml:space="preserve">) a proteinu rezistence karcinomu prsu (BCRP) a není substrátem transportérů organických kationtů (OCT1) ani organických aniontů transportujících polypeptidy (OATP1B1, OATP1B3). </w:t>
      </w:r>
      <w:proofErr w:type="spellStart"/>
      <w:r w:rsidRPr="001D3DB1">
        <w:rPr>
          <w:rFonts w:eastAsia="SimSun"/>
        </w:rPr>
        <w:t>Vericig</w:t>
      </w:r>
      <w:r w:rsidR="00C16C4E">
        <w:rPr>
          <w:rFonts w:eastAsia="SimSun"/>
        </w:rPr>
        <w:t>u</w:t>
      </w:r>
      <w:r w:rsidR="00A8307B">
        <w:rPr>
          <w:rFonts w:eastAsia="SimSun"/>
        </w:rPr>
        <w:t>á</w:t>
      </w:r>
      <w:r w:rsidRPr="001D3DB1">
        <w:rPr>
          <w:rFonts w:eastAsia="SimSun"/>
        </w:rPr>
        <w:t>t</w:t>
      </w:r>
      <w:proofErr w:type="spellEnd"/>
      <w:r w:rsidRPr="001D3DB1">
        <w:rPr>
          <w:rFonts w:eastAsia="SimSun"/>
        </w:rPr>
        <w:t xml:space="preserve"> a jeho N-</w:t>
      </w:r>
      <w:proofErr w:type="spellStart"/>
      <w:r w:rsidRPr="001D3DB1">
        <w:rPr>
          <w:rFonts w:eastAsia="SimSun"/>
        </w:rPr>
        <w:t>glukuronid</w:t>
      </w:r>
      <w:proofErr w:type="spellEnd"/>
      <w:r w:rsidRPr="001D3DB1">
        <w:rPr>
          <w:rFonts w:eastAsia="SimSun"/>
        </w:rPr>
        <w:t xml:space="preserve"> v klinicky </w:t>
      </w:r>
      <w:r w:rsidRPr="001D3DB1">
        <w:rPr>
          <w:rFonts w:eastAsia="SimSun"/>
        </w:rPr>
        <w:lastRenderedPageBreak/>
        <w:t>významných koncentracích nejsou inhibitory lékových transportérů, včetně P-</w:t>
      </w:r>
      <w:proofErr w:type="spellStart"/>
      <w:r w:rsidRPr="001D3DB1">
        <w:rPr>
          <w:rFonts w:eastAsia="SimSun"/>
        </w:rPr>
        <w:t>gp</w:t>
      </w:r>
      <w:proofErr w:type="spellEnd"/>
      <w:r w:rsidRPr="001D3DB1">
        <w:rPr>
          <w:rFonts w:eastAsia="SimSun"/>
        </w:rPr>
        <w:t>, BCRP, BSEP, OATP1B1/1B3, OAT1, OAT3, OCT1, OCT2, MATE1 a MATE2K.</w:t>
      </w:r>
    </w:p>
    <w:p w14:paraId="20FD0EE5" w14:textId="77777777" w:rsidR="004534DA" w:rsidRPr="001D3DB1" w:rsidRDefault="004534DA" w:rsidP="003C57C5">
      <w:pPr>
        <w:widowControl w:val="0"/>
        <w:rPr>
          <w:rFonts w:eastAsia="SimSun"/>
          <w:szCs w:val="22"/>
          <w:lang w:eastAsia="ko-KR"/>
        </w:rPr>
      </w:pPr>
    </w:p>
    <w:p w14:paraId="273123CF" w14:textId="1BB9DD3D" w:rsidR="004534DA" w:rsidRPr="001D3DB1" w:rsidRDefault="004534DA" w:rsidP="004534DA">
      <w:pPr>
        <w:keepNext/>
        <w:rPr>
          <w:rFonts w:eastAsia="SimSun"/>
          <w:szCs w:val="22"/>
        </w:rPr>
      </w:pPr>
      <w:r w:rsidRPr="001D3DB1">
        <w:rPr>
          <w:rFonts w:eastAsia="SimSun"/>
        </w:rPr>
        <w:t xml:space="preserve">Celkově tyto údaje naznačují, že je nepravděpodobné, že by podání </w:t>
      </w:r>
      <w:proofErr w:type="spellStart"/>
      <w:r w:rsidR="003F36AA">
        <w:rPr>
          <w:rFonts w:eastAsia="SimSun"/>
        </w:rPr>
        <w:t>vericig</w:t>
      </w:r>
      <w:r w:rsidR="00C16C4E">
        <w:rPr>
          <w:rFonts w:eastAsia="SimSun"/>
        </w:rPr>
        <w:t>u</w:t>
      </w:r>
      <w:r w:rsidR="003F36AA">
        <w:rPr>
          <w:rFonts w:eastAsia="SimSun"/>
        </w:rPr>
        <w:t>átu</w:t>
      </w:r>
      <w:proofErr w:type="spellEnd"/>
      <w:r w:rsidRPr="001D3DB1">
        <w:rPr>
          <w:rFonts w:eastAsia="SimSun"/>
        </w:rPr>
        <w:t xml:space="preserve"> ovlivnilo farmakokinetiku souběžně podávaných lé</w:t>
      </w:r>
      <w:r w:rsidR="005406A0" w:rsidRPr="001D3DB1">
        <w:rPr>
          <w:rFonts w:eastAsia="SimSun"/>
        </w:rPr>
        <w:t>čivých příprav</w:t>
      </w:r>
      <w:r w:rsidRPr="001D3DB1">
        <w:rPr>
          <w:rFonts w:eastAsia="SimSun"/>
        </w:rPr>
        <w:t>ků, které jsou substráty těchto enzymů nebo transportérů.</w:t>
      </w:r>
    </w:p>
    <w:p w14:paraId="23379404" w14:textId="77777777" w:rsidR="00582556" w:rsidRPr="001D3DB1" w:rsidRDefault="00582556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14:paraId="263632CC" w14:textId="77777777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b/>
          <w:szCs w:val="22"/>
        </w:rPr>
      </w:pPr>
      <w:r w:rsidRPr="001D3DB1">
        <w:rPr>
          <w:b/>
        </w:rPr>
        <w:t>5.3</w:t>
      </w:r>
      <w:r w:rsidRPr="001D3DB1">
        <w:rPr>
          <w:b/>
        </w:rPr>
        <w:tab/>
      </w:r>
      <w:proofErr w:type="spellStart"/>
      <w:r w:rsidRPr="001D3DB1">
        <w:rPr>
          <w:b/>
        </w:rPr>
        <w:t>Předklinické</w:t>
      </w:r>
      <w:proofErr w:type="spellEnd"/>
      <w:r w:rsidRPr="001D3DB1">
        <w:rPr>
          <w:b/>
        </w:rPr>
        <w:t xml:space="preserve"> údaje vztahující se k bezpečnosti</w:t>
      </w:r>
    </w:p>
    <w:p w14:paraId="084791AE" w14:textId="77777777" w:rsidR="00841F9C" w:rsidRPr="001D3DB1" w:rsidRDefault="00841F9C" w:rsidP="00FD32C6">
      <w:pPr>
        <w:keepNext/>
        <w:spacing w:line="240" w:lineRule="auto"/>
        <w:rPr>
          <w:szCs w:val="22"/>
        </w:rPr>
      </w:pPr>
    </w:p>
    <w:p w14:paraId="3CAC8452" w14:textId="77777777" w:rsidR="00846927" w:rsidRPr="001D3DB1" w:rsidRDefault="00FD5779" w:rsidP="00FD32C6">
      <w:pPr>
        <w:keepNext/>
        <w:spacing w:line="240" w:lineRule="auto"/>
        <w:rPr>
          <w:szCs w:val="22"/>
        </w:rPr>
      </w:pPr>
      <w:proofErr w:type="spellStart"/>
      <w:r w:rsidRPr="001D3DB1">
        <w:t>Neklinické</w:t>
      </w:r>
      <w:proofErr w:type="spellEnd"/>
      <w:r w:rsidRPr="001D3DB1">
        <w:t xml:space="preserve"> údaje získané na základě konvenčních farmakologických studií bezpečnosti, toxicity po opakovaném podávání, genotoxicity, hodnocení kancerogenního potenciálu a mužské a ženské fertility neodhalily žádné zvláštní riziko pro člověka.</w:t>
      </w:r>
    </w:p>
    <w:p w14:paraId="415D1BE6" w14:textId="77777777" w:rsidR="00846927" w:rsidRPr="001D3DB1" w:rsidRDefault="00846927" w:rsidP="00841F9C">
      <w:pPr>
        <w:spacing w:line="240" w:lineRule="auto"/>
        <w:rPr>
          <w:szCs w:val="22"/>
        </w:rPr>
      </w:pPr>
    </w:p>
    <w:p w14:paraId="2C0425CA" w14:textId="77777777" w:rsidR="00B7262D" w:rsidRPr="001D3DB1" w:rsidRDefault="00B7262D" w:rsidP="002B125E">
      <w:pPr>
        <w:keepNext/>
        <w:spacing w:line="240" w:lineRule="auto"/>
        <w:rPr>
          <w:szCs w:val="22"/>
        </w:rPr>
      </w:pPr>
      <w:r w:rsidRPr="001D3DB1">
        <w:t xml:space="preserve">Ve studiích toxicity po opakovaném podávání byl toxikologický profil charakterizován účinky, které byly sekundární v důsledku nadměrné farmakodynamiky. U všech zkoumaných druhů byly zaznamenány </w:t>
      </w:r>
      <w:proofErr w:type="spellStart"/>
      <w:r w:rsidRPr="001D3DB1">
        <w:t>hemodynamické</w:t>
      </w:r>
      <w:proofErr w:type="spellEnd"/>
      <w:r w:rsidRPr="001D3DB1">
        <w:t xml:space="preserve"> a gastrointestinální účinky, které byly sekundární v důsledku relaxace hladkého svalstva.</w:t>
      </w:r>
    </w:p>
    <w:p w14:paraId="362A8B0D" w14:textId="446924C2" w:rsidR="00CF2A98" w:rsidRPr="001D3DB1" w:rsidRDefault="00CF2A98" w:rsidP="00DA22A5">
      <w:pPr>
        <w:keepNext/>
        <w:spacing w:line="240" w:lineRule="auto"/>
        <w:rPr>
          <w:szCs w:val="22"/>
        </w:rPr>
      </w:pPr>
      <w:r w:rsidRPr="001D3DB1">
        <w:t xml:space="preserve">U dospívajících rychle rostoucích potkanů byly pozorovány reverzibilní kostní účinky, zahrnující hypertrofii růstových plotének a </w:t>
      </w:r>
      <w:proofErr w:type="spellStart"/>
      <w:r w:rsidRPr="001D3DB1">
        <w:t>hyperostózu</w:t>
      </w:r>
      <w:proofErr w:type="spellEnd"/>
      <w:r w:rsidRPr="001D3DB1">
        <w:t xml:space="preserve"> a </w:t>
      </w:r>
      <w:proofErr w:type="spellStart"/>
      <w:r w:rsidRPr="001D3DB1">
        <w:t>remodelaci</w:t>
      </w:r>
      <w:proofErr w:type="spellEnd"/>
      <w:r w:rsidRPr="001D3DB1">
        <w:t xml:space="preserve"> kosti v oblasti metafýz a diafýz. Tyto účinky nebyly pozorovány po chronickém podávání </w:t>
      </w:r>
      <w:proofErr w:type="spellStart"/>
      <w:r w:rsidR="003F36AA">
        <w:t>vericig</w:t>
      </w:r>
      <w:r w:rsidR="00C16C4E">
        <w:t>u</w:t>
      </w:r>
      <w:r w:rsidR="003F36AA">
        <w:t>átu</w:t>
      </w:r>
      <w:proofErr w:type="spellEnd"/>
      <w:r w:rsidRPr="001D3DB1">
        <w:t xml:space="preserve"> dospělým potkanům a téměř plně vzrostlým psům.</w:t>
      </w:r>
    </w:p>
    <w:p w14:paraId="1925554E" w14:textId="77777777" w:rsidR="007006DD" w:rsidRPr="001D3DB1" w:rsidRDefault="007006DD" w:rsidP="002861D5">
      <w:pPr>
        <w:spacing w:line="240" w:lineRule="auto"/>
        <w:rPr>
          <w:szCs w:val="22"/>
        </w:rPr>
      </w:pPr>
    </w:p>
    <w:p w14:paraId="4846542C" w14:textId="633543D7" w:rsidR="002952EA" w:rsidRPr="001D3DB1" w:rsidRDefault="00E51C91" w:rsidP="002B125E">
      <w:pPr>
        <w:keepNext/>
        <w:keepLines/>
        <w:spacing w:line="240" w:lineRule="auto"/>
        <w:rPr>
          <w:szCs w:val="22"/>
        </w:rPr>
      </w:pPr>
      <w:r w:rsidRPr="001D3DB1">
        <w:t xml:space="preserve">Studie provedená u březích potkanů prokázala, že </w:t>
      </w:r>
      <w:proofErr w:type="spellStart"/>
      <w:r w:rsidRPr="001D3DB1">
        <w:t>vericig</w:t>
      </w:r>
      <w:r w:rsidR="00DA371F">
        <w:t>u</w:t>
      </w:r>
      <w:r w:rsidR="00A8307B">
        <w:t>á</w:t>
      </w:r>
      <w:r w:rsidRPr="001D3DB1">
        <w:t>t</w:t>
      </w:r>
      <w:proofErr w:type="spellEnd"/>
      <w:r w:rsidRPr="001D3DB1">
        <w:t xml:space="preserve"> prochází placentou do plodu. Studie vývojové toxicity na potkanech s </w:t>
      </w:r>
      <w:proofErr w:type="spellStart"/>
      <w:r w:rsidR="005C2A55">
        <w:t>vericig</w:t>
      </w:r>
      <w:r w:rsidR="00C16C4E">
        <w:t>u</w:t>
      </w:r>
      <w:r w:rsidR="005C2A55">
        <w:t>átem</w:t>
      </w:r>
      <w:proofErr w:type="spellEnd"/>
      <w:r w:rsidRPr="001D3DB1">
        <w:t xml:space="preserve"> podávaným perorálně během </w:t>
      </w:r>
      <w:proofErr w:type="spellStart"/>
      <w:r w:rsidRPr="001D3DB1">
        <w:t>organogeze</w:t>
      </w:r>
      <w:proofErr w:type="spellEnd"/>
      <w:r w:rsidRPr="001D3DB1">
        <w:t xml:space="preserve"> neprokázala vývojovou toxicitu až do 21násobku expozice u člověka (na základě AUC nenavázaného léčiva) při maximální doporučené dávce u člověka (maximum </w:t>
      </w:r>
      <w:proofErr w:type="spellStart"/>
      <w:r w:rsidRPr="001D3DB1">
        <w:t>recommended</w:t>
      </w:r>
      <w:proofErr w:type="spellEnd"/>
      <w:r w:rsidRPr="001D3DB1">
        <w:t xml:space="preserve"> </w:t>
      </w:r>
      <w:proofErr w:type="spellStart"/>
      <w:r w:rsidRPr="001D3DB1">
        <w:t>human</w:t>
      </w:r>
      <w:proofErr w:type="spellEnd"/>
      <w:r w:rsidRPr="001D3DB1">
        <w:t xml:space="preserve"> dose, MRHD) 10 mg. U králíků byly pozorovány pozdní potraty a resorpce plodů při dávkách toxických pro matky, které byly ≥6krát vyšší než expozice u člověka při MRHD. Ve studii prenatální a postnatální toxicity u potkanů se při dávkách toxických pro matky snížilo přibývání mláďat na váze, což vedlo k mírnému zpoždění v prořezávání řezáků a k mírnému zpoždění při otevírání vaginy při expozici, která byla přibližně ≥21krát vyšší než expozice u člověka při MRHD. Při expozici, která byla 49krát vyšší než expozice u člověka při MRHD, byl pozorován zvýšený výskyt mrtvých plodů a snížené přežití mláďat a zpožděné oddělení žaludu a předkožky.</w:t>
      </w:r>
    </w:p>
    <w:p w14:paraId="4D17F6B9" w14:textId="77777777" w:rsidR="00812D16" w:rsidRPr="001D3DB1" w:rsidRDefault="00812D16" w:rsidP="00D6067C">
      <w:pPr>
        <w:keepNext/>
        <w:spacing w:line="240" w:lineRule="auto"/>
        <w:rPr>
          <w:szCs w:val="22"/>
        </w:rPr>
      </w:pPr>
    </w:p>
    <w:p w14:paraId="2B60EFC6" w14:textId="77777777" w:rsidR="00DF41CE" w:rsidRPr="001D3DB1" w:rsidRDefault="00DF41CE" w:rsidP="00DF41CE">
      <w:pPr>
        <w:spacing w:line="240" w:lineRule="auto"/>
        <w:rPr>
          <w:szCs w:val="22"/>
        </w:rPr>
      </w:pPr>
    </w:p>
    <w:p w14:paraId="40DB4D3B" w14:textId="77777777" w:rsidR="00812D16" w:rsidRPr="001D3DB1" w:rsidRDefault="00812D16" w:rsidP="005954DA">
      <w:pPr>
        <w:keepNext/>
        <w:suppressAutoHyphens/>
        <w:spacing w:line="240" w:lineRule="auto"/>
        <w:ind w:left="567" w:hanging="567"/>
        <w:outlineLvl w:val="1"/>
        <w:rPr>
          <w:b/>
          <w:szCs w:val="22"/>
        </w:rPr>
      </w:pPr>
      <w:r w:rsidRPr="001D3DB1">
        <w:rPr>
          <w:b/>
        </w:rPr>
        <w:t>6.</w:t>
      </w:r>
      <w:r w:rsidRPr="001D3DB1">
        <w:rPr>
          <w:b/>
        </w:rPr>
        <w:tab/>
        <w:t>FARMACEUTICKÉ ÚDAJE</w:t>
      </w:r>
    </w:p>
    <w:p w14:paraId="382EA328" w14:textId="77777777" w:rsidR="00812D16" w:rsidRPr="001D3DB1" w:rsidRDefault="00812D16" w:rsidP="00F40ABD">
      <w:pPr>
        <w:keepNext/>
        <w:spacing w:line="240" w:lineRule="auto"/>
        <w:rPr>
          <w:szCs w:val="22"/>
        </w:rPr>
      </w:pPr>
    </w:p>
    <w:p w14:paraId="7035FD63" w14:textId="77777777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szCs w:val="22"/>
        </w:rPr>
      </w:pPr>
      <w:r w:rsidRPr="001D3DB1">
        <w:rPr>
          <w:b/>
        </w:rPr>
        <w:t>6.1</w:t>
      </w:r>
      <w:r w:rsidRPr="001D3DB1">
        <w:rPr>
          <w:b/>
        </w:rPr>
        <w:tab/>
        <w:t>Seznam pomocných látek</w:t>
      </w:r>
    </w:p>
    <w:p w14:paraId="6246A038" w14:textId="77777777" w:rsidR="00812D16" w:rsidRPr="001D3DB1" w:rsidRDefault="00812D16" w:rsidP="00F40ABD">
      <w:pPr>
        <w:keepNext/>
        <w:spacing w:line="240" w:lineRule="auto"/>
        <w:rPr>
          <w:szCs w:val="22"/>
        </w:rPr>
      </w:pPr>
    </w:p>
    <w:p w14:paraId="4A7D7BDB" w14:textId="77777777" w:rsidR="007D6687" w:rsidRPr="001D3DB1" w:rsidRDefault="007D6687" w:rsidP="00F40ABD">
      <w:pPr>
        <w:keepNext/>
        <w:spacing w:line="240" w:lineRule="auto"/>
        <w:rPr>
          <w:szCs w:val="22"/>
          <w:u w:val="single"/>
        </w:rPr>
      </w:pPr>
      <w:r w:rsidRPr="001D3DB1">
        <w:rPr>
          <w:u w:val="single"/>
        </w:rPr>
        <w:t>Jádro tablety</w:t>
      </w:r>
    </w:p>
    <w:p w14:paraId="4B054F88" w14:textId="77777777" w:rsidR="007F1EAD" w:rsidRPr="001D3DB1" w:rsidRDefault="007F1EAD" w:rsidP="00F40ABD">
      <w:pPr>
        <w:keepNext/>
        <w:spacing w:line="240" w:lineRule="auto"/>
        <w:rPr>
          <w:szCs w:val="22"/>
        </w:rPr>
      </w:pPr>
    </w:p>
    <w:p w14:paraId="25C8FF7B" w14:textId="77777777" w:rsidR="007D6687" w:rsidRPr="001D3DB1" w:rsidRDefault="00A154C1" w:rsidP="00F40ABD">
      <w:pPr>
        <w:keepNext/>
        <w:spacing w:line="240" w:lineRule="auto"/>
        <w:rPr>
          <w:szCs w:val="22"/>
        </w:rPr>
      </w:pPr>
      <w:r w:rsidRPr="001D3DB1">
        <w:t>Mikrokrystalická celulóza</w:t>
      </w:r>
    </w:p>
    <w:p w14:paraId="2AFDDAD1" w14:textId="77777777" w:rsidR="007D6687" w:rsidRPr="001D3DB1" w:rsidRDefault="007D6687" w:rsidP="00F40ABD">
      <w:pPr>
        <w:keepNext/>
        <w:spacing w:line="240" w:lineRule="auto"/>
        <w:rPr>
          <w:szCs w:val="22"/>
        </w:rPr>
      </w:pPr>
      <w:r w:rsidRPr="001D3DB1">
        <w:t xml:space="preserve">Sodná sůl </w:t>
      </w:r>
      <w:proofErr w:type="spellStart"/>
      <w:r w:rsidRPr="001D3DB1">
        <w:t>kroskarmelózy</w:t>
      </w:r>
      <w:proofErr w:type="spellEnd"/>
    </w:p>
    <w:p w14:paraId="67C04230" w14:textId="69719338" w:rsidR="007D6687" w:rsidRPr="001D3DB1" w:rsidRDefault="007D7E93" w:rsidP="00F40ABD">
      <w:pPr>
        <w:keepNext/>
        <w:spacing w:line="240" w:lineRule="auto"/>
        <w:rPr>
          <w:szCs w:val="22"/>
        </w:rPr>
      </w:pPr>
      <w:proofErr w:type="spellStart"/>
      <w:r w:rsidRPr="001D3DB1">
        <w:t>Hypromelóza</w:t>
      </w:r>
      <w:proofErr w:type="spellEnd"/>
      <w:r w:rsidRPr="001D3DB1">
        <w:t xml:space="preserve"> 2910</w:t>
      </w:r>
    </w:p>
    <w:p w14:paraId="55B82977" w14:textId="454629F5" w:rsidR="007D6687" w:rsidRPr="001D3DB1" w:rsidRDefault="007D6687" w:rsidP="00F40ABD">
      <w:pPr>
        <w:keepNext/>
        <w:spacing w:line="240" w:lineRule="auto"/>
        <w:rPr>
          <w:szCs w:val="22"/>
        </w:rPr>
      </w:pPr>
      <w:r w:rsidRPr="001D3DB1">
        <w:t>Monohydrát laktózy</w:t>
      </w:r>
    </w:p>
    <w:p w14:paraId="151BA801" w14:textId="3DC23DC3" w:rsidR="007D6687" w:rsidRPr="001D3DB1" w:rsidRDefault="00686F05" w:rsidP="00F40ABD">
      <w:pPr>
        <w:keepNext/>
        <w:spacing w:line="240" w:lineRule="auto"/>
        <w:rPr>
          <w:szCs w:val="22"/>
        </w:rPr>
      </w:pPr>
      <w:proofErr w:type="gramStart"/>
      <w:r>
        <w:t>Magnesium</w:t>
      </w:r>
      <w:proofErr w:type="gramEnd"/>
      <w:r>
        <w:t>-stearát</w:t>
      </w:r>
    </w:p>
    <w:p w14:paraId="6108E5CF" w14:textId="4AD6252F" w:rsidR="007D6687" w:rsidRPr="001D3DB1" w:rsidRDefault="004B290C" w:rsidP="00F40ABD">
      <w:pPr>
        <w:keepNext/>
        <w:spacing w:line="240" w:lineRule="auto"/>
        <w:rPr>
          <w:szCs w:val="22"/>
        </w:rPr>
      </w:pPr>
      <w:r>
        <w:t>Natrium</w:t>
      </w:r>
      <w:r w:rsidR="00AC6433">
        <w:t>-</w:t>
      </w:r>
      <w:proofErr w:type="spellStart"/>
      <w:r w:rsidR="00AC6433">
        <w:t>lauryl</w:t>
      </w:r>
      <w:proofErr w:type="spellEnd"/>
      <w:r w:rsidR="00AC6433">
        <w:t>-sulfát</w:t>
      </w:r>
    </w:p>
    <w:p w14:paraId="2D651FED" w14:textId="77777777" w:rsidR="007D6687" w:rsidRPr="001D3DB1" w:rsidRDefault="007D6687" w:rsidP="007D6687">
      <w:pPr>
        <w:spacing w:line="240" w:lineRule="auto"/>
        <w:rPr>
          <w:szCs w:val="22"/>
          <w:u w:val="single"/>
        </w:rPr>
      </w:pPr>
    </w:p>
    <w:p w14:paraId="1B8685E4" w14:textId="77777777" w:rsidR="007D6687" w:rsidRPr="001D3DB1" w:rsidRDefault="007D6687" w:rsidP="00F40ABD">
      <w:pPr>
        <w:keepNext/>
        <w:spacing w:line="240" w:lineRule="auto"/>
        <w:rPr>
          <w:szCs w:val="22"/>
          <w:u w:val="single"/>
        </w:rPr>
      </w:pPr>
      <w:r w:rsidRPr="001D3DB1">
        <w:rPr>
          <w:u w:val="single"/>
        </w:rPr>
        <w:t>Potah tablety</w:t>
      </w:r>
    </w:p>
    <w:p w14:paraId="12CB378D" w14:textId="77777777" w:rsidR="007F1EAD" w:rsidRPr="001D3DB1" w:rsidRDefault="007F1EAD" w:rsidP="00F40ABD">
      <w:pPr>
        <w:keepNext/>
        <w:spacing w:line="240" w:lineRule="auto"/>
        <w:rPr>
          <w:szCs w:val="22"/>
        </w:rPr>
      </w:pPr>
    </w:p>
    <w:p w14:paraId="191EC6C9" w14:textId="4529B392" w:rsidR="007D6687" w:rsidRPr="001D3DB1" w:rsidRDefault="007D7E93" w:rsidP="00F40ABD">
      <w:pPr>
        <w:keepNext/>
        <w:spacing w:line="240" w:lineRule="auto"/>
        <w:rPr>
          <w:szCs w:val="22"/>
        </w:rPr>
      </w:pPr>
      <w:proofErr w:type="spellStart"/>
      <w:r w:rsidRPr="001D3DB1">
        <w:t>Hypromelóza</w:t>
      </w:r>
      <w:proofErr w:type="spellEnd"/>
      <w:r w:rsidRPr="001D3DB1">
        <w:t xml:space="preserve"> 2910</w:t>
      </w:r>
    </w:p>
    <w:p w14:paraId="4CBCC717" w14:textId="77777777" w:rsidR="007D6687" w:rsidRPr="001D3DB1" w:rsidRDefault="007D6687" w:rsidP="00F40ABD">
      <w:pPr>
        <w:keepNext/>
        <w:spacing w:line="240" w:lineRule="auto"/>
        <w:rPr>
          <w:szCs w:val="22"/>
        </w:rPr>
      </w:pPr>
      <w:r w:rsidRPr="001D3DB1">
        <w:t>Mastek</w:t>
      </w:r>
    </w:p>
    <w:p w14:paraId="012E8E6F" w14:textId="77777777" w:rsidR="00812D16" w:rsidRPr="001D3DB1" w:rsidRDefault="007D6687" w:rsidP="00F40ABD">
      <w:pPr>
        <w:keepNext/>
        <w:spacing w:line="240" w:lineRule="auto"/>
        <w:rPr>
          <w:szCs w:val="22"/>
        </w:rPr>
      </w:pPr>
      <w:r w:rsidRPr="001D3DB1">
        <w:t>Oxid titaničitý (E 171)</w:t>
      </w:r>
    </w:p>
    <w:p w14:paraId="721AD9F7" w14:textId="77777777" w:rsidR="006704EE" w:rsidRPr="001D3DB1" w:rsidRDefault="00B46914" w:rsidP="00DF288F">
      <w:pPr>
        <w:keepNext/>
        <w:spacing w:line="240" w:lineRule="auto"/>
        <w:ind w:left="567" w:hanging="567"/>
        <w:rPr>
          <w:szCs w:val="22"/>
        </w:rPr>
      </w:pPr>
      <w:r w:rsidRPr="001D3DB1">
        <w:t xml:space="preserve">Červený oxid železitý (E 172) (pouze </w:t>
      </w:r>
      <w:proofErr w:type="spellStart"/>
      <w:r w:rsidRPr="001D3DB1">
        <w:t>Verquvo</w:t>
      </w:r>
      <w:proofErr w:type="spellEnd"/>
      <w:r w:rsidRPr="001D3DB1">
        <w:t xml:space="preserve"> 5 mg)</w:t>
      </w:r>
    </w:p>
    <w:p w14:paraId="0B28C7EE" w14:textId="77777777" w:rsidR="006704EE" w:rsidRPr="001D3DB1" w:rsidRDefault="00B46914" w:rsidP="00DF288F">
      <w:pPr>
        <w:keepNext/>
        <w:spacing w:line="240" w:lineRule="auto"/>
        <w:ind w:left="567" w:hanging="567"/>
        <w:rPr>
          <w:szCs w:val="22"/>
        </w:rPr>
      </w:pPr>
      <w:r w:rsidRPr="001D3DB1">
        <w:t xml:space="preserve">Žlutý oxid železitý (E 172) (pouze </w:t>
      </w:r>
      <w:proofErr w:type="spellStart"/>
      <w:r w:rsidRPr="001D3DB1">
        <w:t>Verquvo</w:t>
      </w:r>
      <w:proofErr w:type="spellEnd"/>
      <w:r w:rsidRPr="001D3DB1">
        <w:t xml:space="preserve"> 10 mg)</w:t>
      </w:r>
    </w:p>
    <w:p w14:paraId="368AA365" w14:textId="77777777" w:rsidR="006704EE" w:rsidRPr="001D3DB1" w:rsidRDefault="006704EE" w:rsidP="00DF288F">
      <w:pPr>
        <w:spacing w:line="240" w:lineRule="auto"/>
        <w:ind w:left="567" w:hanging="567"/>
        <w:rPr>
          <w:szCs w:val="22"/>
        </w:rPr>
      </w:pPr>
    </w:p>
    <w:p w14:paraId="7FAB1A6D" w14:textId="77777777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szCs w:val="22"/>
        </w:rPr>
      </w:pPr>
      <w:r w:rsidRPr="001D3DB1">
        <w:rPr>
          <w:b/>
        </w:rPr>
        <w:lastRenderedPageBreak/>
        <w:t>6.2</w:t>
      </w:r>
      <w:r w:rsidRPr="001D3DB1">
        <w:rPr>
          <w:b/>
        </w:rPr>
        <w:tab/>
        <w:t>Inkompatibility</w:t>
      </w:r>
    </w:p>
    <w:p w14:paraId="6221C567" w14:textId="77777777" w:rsidR="00812D16" w:rsidRPr="001D3DB1" w:rsidRDefault="00812D16" w:rsidP="00F40ABD">
      <w:pPr>
        <w:keepNext/>
        <w:spacing w:line="240" w:lineRule="auto"/>
        <w:rPr>
          <w:szCs w:val="22"/>
        </w:rPr>
      </w:pPr>
    </w:p>
    <w:p w14:paraId="449ED95C" w14:textId="77777777" w:rsidR="00812D16" w:rsidRPr="001D3DB1" w:rsidRDefault="007D6687" w:rsidP="00F40ABD">
      <w:pPr>
        <w:keepNext/>
        <w:spacing w:line="240" w:lineRule="auto"/>
        <w:rPr>
          <w:szCs w:val="22"/>
        </w:rPr>
      </w:pPr>
      <w:r w:rsidRPr="001D3DB1">
        <w:t>Neuplatňuje se.</w:t>
      </w:r>
    </w:p>
    <w:p w14:paraId="1D056934" w14:textId="77777777" w:rsidR="00812D16" w:rsidRPr="001D3DB1" w:rsidRDefault="00812D16" w:rsidP="00204AAB">
      <w:pPr>
        <w:spacing w:line="240" w:lineRule="auto"/>
        <w:rPr>
          <w:szCs w:val="22"/>
        </w:rPr>
      </w:pPr>
    </w:p>
    <w:p w14:paraId="73A1AE01" w14:textId="77777777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szCs w:val="22"/>
        </w:rPr>
      </w:pPr>
      <w:r w:rsidRPr="001D3DB1">
        <w:rPr>
          <w:b/>
        </w:rPr>
        <w:t>6.3</w:t>
      </w:r>
      <w:r w:rsidRPr="001D3DB1">
        <w:rPr>
          <w:b/>
        </w:rPr>
        <w:tab/>
        <w:t>Doba použitelnosti</w:t>
      </w:r>
    </w:p>
    <w:p w14:paraId="1C9D4C75" w14:textId="77777777" w:rsidR="00812D16" w:rsidRPr="001D3DB1" w:rsidRDefault="00812D16" w:rsidP="00F40ABD">
      <w:pPr>
        <w:keepNext/>
        <w:spacing w:line="240" w:lineRule="auto"/>
        <w:rPr>
          <w:szCs w:val="22"/>
        </w:rPr>
      </w:pPr>
    </w:p>
    <w:p w14:paraId="598AF427" w14:textId="77777777" w:rsidR="00697F56" w:rsidRPr="001D3DB1" w:rsidRDefault="00697F56" w:rsidP="00F40ABD">
      <w:pPr>
        <w:keepNext/>
        <w:spacing w:line="240" w:lineRule="auto"/>
        <w:rPr>
          <w:szCs w:val="22"/>
        </w:rPr>
      </w:pPr>
      <w:r w:rsidRPr="001D3DB1">
        <w:t>3 roky</w:t>
      </w:r>
    </w:p>
    <w:p w14:paraId="42C5593B" w14:textId="77777777" w:rsidR="00812D16" w:rsidRPr="001D3DB1" w:rsidRDefault="00812D16" w:rsidP="00204AAB">
      <w:pPr>
        <w:spacing w:line="240" w:lineRule="auto"/>
        <w:rPr>
          <w:szCs w:val="22"/>
        </w:rPr>
      </w:pPr>
    </w:p>
    <w:p w14:paraId="27FCF6D7" w14:textId="77777777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b/>
          <w:szCs w:val="22"/>
        </w:rPr>
      </w:pPr>
      <w:r w:rsidRPr="001D3DB1">
        <w:rPr>
          <w:b/>
        </w:rPr>
        <w:t>6.4</w:t>
      </w:r>
      <w:r w:rsidRPr="001D3DB1">
        <w:rPr>
          <w:b/>
        </w:rPr>
        <w:tab/>
        <w:t>Zvláštní opatření pro uchovávání</w:t>
      </w:r>
    </w:p>
    <w:p w14:paraId="2E9657BE" w14:textId="77777777" w:rsidR="005108A3" w:rsidRPr="001D3DB1" w:rsidRDefault="005108A3" w:rsidP="00DF288F">
      <w:pPr>
        <w:keepNext/>
        <w:spacing w:line="240" w:lineRule="auto"/>
        <w:ind w:left="567" w:hanging="567"/>
        <w:rPr>
          <w:szCs w:val="22"/>
        </w:rPr>
      </w:pPr>
    </w:p>
    <w:p w14:paraId="58B0F25B" w14:textId="2FC47326" w:rsidR="00812D16" w:rsidRPr="001D3DB1" w:rsidRDefault="007D6687" w:rsidP="00F40ABD">
      <w:pPr>
        <w:keepNext/>
        <w:spacing w:line="240" w:lineRule="auto"/>
        <w:rPr>
          <w:szCs w:val="22"/>
        </w:rPr>
      </w:pPr>
      <w:r w:rsidRPr="001D3DB1">
        <w:t>Tento léčivý přípravek nevyžaduje žádné zvláštní podmínky uchovávání.</w:t>
      </w:r>
    </w:p>
    <w:p w14:paraId="174E8133" w14:textId="77777777" w:rsidR="00A67550" w:rsidRPr="001D3DB1" w:rsidRDefault="00A67550" w:rsidP="00204AAB">
      <w:pPr>
        <w:spacing w:line="240" w:lineRule="auto"/>
        <w:rPr>
          <w:szCs w:val="22"/>
        </w:rPr>
      </w:pPr>
    </w:p>
    <w:p w14:paraId="39BF49D5" w14:textId="6265F43B" w:rsidR="00812D16" w:rsidRPr="001D3DB1" w:rsidRDefault="00F9016F" w:rsidP="005954DA">
      <w:pPr>
        <w:keepNext/>
        <w:spacing w:line="240" w:lineRule="auto"/>
        <w:ind w:left="567" w:hanging="567"/>
        <w:outlineLvl w:val="2"/>
        <w:rPr>
          <w:b/>
          <w:szCs w:val="22"/>
        </w:rPr>
      </w:pPr>
      <w:r w:rsidRPr="001D3DB1">
        <w:rPr>
          <w:b/>
        </w:rPr>
        <w:t>6.5</w:t>
      </w:r>
      <w:r w:rsidRPr="001D3DB1">
        <w:rPr>
          <w:b/>
        </w:rPr>
        <w:tab/>
        <w:t>Druh obalu a obsah balení</w:t>
      </w:r>
    </w:p>
    <w:p w14:paraId="7A805514" w14:textId="77777777" w:rsidR="00DB7510" w:rsidRPr="001D3DB1" w:rsidRDefault="00DB7510" w:rsidP="00DB7510">
      <w:pPr>
        <w:keepNext/>
        <w:rPr>
          <w:b/>
        </w:rPr>
      </w:pPr>
    </w:p>
    <w:p w14:paraId="284CE544" w14:textId="248AEDCC" w:rsidR="00071718" w:rsidRPr="001D3DB1" w:rsidRDefault="00E45B5A" w:rsidP="00DF288F">
      <w:pPr>
        <w:suppressLineNumbers/>
        <w:spacing w:line="240" w:lineRule="atLeast"/>
      </w:pPr>
      <w:r w:rsidRPr="001D3DB1">
        <w:t>Blistry z PVC/PVDC/</w:t>
      </w:r>
      <w:r w:rsidR="00A84059">
        <w:t>hliníkové</w:t>
      </w:r>
      <w:r w:rsidR="00A84059" w:rsidRPr="001D3DB1">
        <w:t xml:space="preserve"> </w:t>
      </w:r>
      <w:r w:rsidRPr="001D3DB1">
        <w:t xml:space="preserve">fólie v krabičkách obsahujících 14, 28 nebo 98 potahovaných tablet nebo perforované </w:t>
      </w:r>
      <w:proofErr w:type="spellStart"/>
      <w:r w:rsidR="00796C53">
        <w:t>jednodávkové</w:t>
      </w:r>
      <w:proofErr w:type="spellEnd"/>
      <w:r w:rsidR="00796C53">
        <w:t xml:space="preserve"> </w:t>
      </w:r>
      <w:r w:rsidRPr="001D3DB1">
        <w:t>blistry v krabičkách obsahujících 10 × 1 nebo 100 × 1 potahovan</w:t>
      </w:r>
      <w:r w:rsidR="003114DE">
        <w:t>ou</w:t>
      </w:r>
      <w:r w:rsidRPr="001D3DB1">
        <w:t xml:space="preserve"> tablet</w:t>
      </w:r>
      <w:r w:rsidR="00DD642D">
        <w:t>u</w:t>
      </w:r>
      <w:r w:rsidRPr="001D3DB1">
        <w:t>.</w:t>
      </w:r>
    </w:p>
    <w:p w14:paraId="29042511" w14:textId="7D79D2DE" w:rsidR="00811E30" w:rsidRPr="001D3DB1" w:rsidRDefault="00811E30" w:rsidP="00DF288F">
      <w:pPr>
        <w:suppressLineNumbers/>
        <w:spacing w:line="240" w:lineRule="atLeast"/>
      </w:pPr>
      <w:r w:rsidRPr="001D3DB1">
        <w:t xml:space="preserve">Blistry z PP/aluminiové fólie v krabičkách obsahujících 14, 28 nebo 98 potahovaných tablet nebo perforované </w:t>
      </w:r>
      <w:proofErr w:type="spellStart"/>
      <w:r w:rsidR="00796C53">
        <w:t>jednodávkové</w:t>
      </w:r>
      <w:proofErr w:type="spellEnd"/>
      <w:r w:rsidR="00796C53">
        <w:t xml:space="preserve"> </w:t>
      </w:r>
      <w:r w:rsidRPr="001D3DB1">
        <w:t>blistry v krabičkách obsahujících 10 × 1 nebo 100 × 1 potahovan</w:t>
      </w:r>
      <w:r w:rsidR="00DD642D">
        <w:t>ou</w:t>
      </w:r>
      <w:r w:rsidRPr="001D3DB1">
        <w:t xml:space="preserve"> tablet</w:t>
      </w:r>
      <w:r w:rsidR="00DD642D">
        <w:t>u</w:t>
      </w:r>
      <w:r w:rsidRPr="001D3DB1">
        <w:t>.</w:t>
      </w:r>
    </w:p>
    <w:p w14:paraId="1F0EBBF8" w14:textId="781A9787" w:rsidR="00DB7510" w:rsidRPr="001D3DB1" w:rsidRDefault="00BE4204" w:rsidP="00DF288F">
      <w:pPr>
        <w:suppressLineNumbers/>
        <w:spacing w:line="240" w:lineRule="atLeast"/>
      </w:pPr>
      <w:r w:rsidRPr="001D3DB1">
        <w:t xml:space="preserve">HDPE </w:t>
      </w:r>
      <w:r w:rsidR="00D22AF4">
        <w:t>l</w:t>
      </w:r>
      <w:r w:rsidR="00737617" w:rsidRPr="001D3DB1">
        <w:t xml:space="preserve">ahvičky s </w:t>
      </w:r>
      <w:r w:rsidRPr="001D3DB1">
        <w:t xml:space="preserve">PP </w:t>
      </w:r>
      <w:r w:rsidR="00737617" w:rsidRPr="001D3DB1">
        <w:t>šroubovacím uzávěrem obsahující 100 potahovaných tablet.</w:t>
      </w:r>
    </w:p>
    <w:p w14:paraId="134DD4D1" w14:textId="77777777" w:rsidR="000E6A31" w:rsidRPr="001D3DB1" w:rsidRDefault="000E6A31" w:rsidP="000E6A31"/>
    <w:p w14:paraId="2BEA007D" w14:textId="77777777" w:rsidR="00DB7510" w:rsidRPr="001D3DB1" w:rsidRDefault="00DB7510" w:rsidP="00DB7510">
      <w:pPr>
        <w:suppressLineNumbers/>
        <w:spacing w:line="240" w:lineRule="atLeast"/>
      </w:pPr>
      <w:r w:rsidRPr="001D3DB1">
        <w:t>Na trhu nemusí být všechny velikosti balení.</w:t>
      </w:r>
    </w:p>
    <w:p w14:paraId="4B21757B" w14:textId="77777777" w:rsidR="00812D16" w:rsidRPr="001D3DB1" w:rsidRDefault="00812D16" w:rsidP="00204AAB">
      <w:pPr>
        <w:spacing w:line="240" w:lineRule="auto"/>
        <w:rPr>
          <w:szCs w:val="22"/>
        </w:rPr>
      </w:pPr>
    </w:p>
    <w:p w14:paraId="5DA4C0C1" w14:textId="0456A768" w:rsidR="00812D16" w:rsidRPr="001D3DB1" w:rsidRDefault="00812D16" w:rsidP="005954DA">
      <w:pPr>
        <w:keepNext/>
        <w:spacing w:line="240" w:lineRule="auto"/>
        <w:ind w:left="567" w:hanging="567"/>
        <w:outlineLvl w:val="2"/>
        <w:rPr>
          <w:szCs w:val="22"/>
        </w:rPr>
      </w:pPr>
      <w:bookmarkStart w:id="1" w:name="OLE_LINK1"/>
      <w:r w:rsidRPr="001D3DB1">
        <w:rPr>
          <w:b/>
        </w:rPr>
        <w:t>6.6</w:t>
      </w:r>
      <w:r w:rsidRPr="001D3DB1">
        <w:rPr>
          <w:b/>
        </w:rPr>
        <w:tab/>
        <w:t>Zvláštní opatření pro likvidaci přípravku</w:t>
      </w:r>
    </w:p>
    <w:p w14:paraId="14839A7C" w14:textId="77777777" w:rsidR="007C05E4" w:rsidRPr="001D3DB1" w:rsidRDefault="007C05E4" w:rsidP="00F40ABD">
      <w:pPr>
        <w:keepNext/>
        <w:spacing w:line="240" w:lineRule="auto"/>
        <w:rPr>
          <w:rFonts w:cs="Arial"/>
          <w:shd w:val="pct15" w:color="auto" w:fill="FFFFFF"/>
        </w:rPr>
      </w:pPr>
    </w:p>
    <w:p w14:paraId="17CA4FE1" w14:textId="0B610186" w:rsidR="00812D16" w:rsidRPr="001D3DB1" w:rsidRDefault="00812D16" w:rsidP="00D6067C">
      <w:pPr>
        <w:keepNext/>
        <w:spacing w:line="240" w:lineRule="auto"/>
      </w:pPr>
      <w:r w:rsidRPr="001D3DB1">
        <w:t>Veškerý nepoužitý léčivý přípravek nebo odpad musí být zlikvidován v souladu s místními požadavky.</w:t>
      </w:r>
    </w:p>
    <w:bookmarkEnd w:id="1"/>
    <w:p w14:paraId="4767337E" w14:textId="77777777" w:rsidR="00812D16" w:rsidRPr="001D3DB1" w:rsidRDefault="00812D16" w:rsidP="00D6067C">
      <w:pPr>
        <w:keepNext/>
        <w:spacing w:line="240" w:lineRule="auto"/>
      </w:pPr>
    </w:p>
    <w:p w14:paraId="5D2F50EC" w14:textId="77777777" w:rsidR="00812D16" w:rsidRPr="001D3DB1" w:rsidRDefault="00812D16" w:rsidP="00204AAB">
      <w:pPr>
        <w:spacing w:line="240" w:lineRule="auto"/>
        <w:rPr>
          <w:szCs w:val="22"/>
        </w:rPr>
      </w:pPr>
    </w:p>
    <w:p w14:paraId="7B405A01" w14:textId="5A14935B" w:rsidR="00812D16" w:rsidRPr="001D3DB1" w:rsidRDefault="00812D16" w:rsidP="005954DA">
      <w:pPr>
        <w:keepNext/>
        <w:spacing w:line="240" w:lineRule="auto"/>
        <w:ind w:left="567" w:hanging="567"/>
        <w:outlineLvl w:val="1"/>
        <w:rPr>
          <w:szCs w:val="22"/>
        </w:rPr>
      </w:pPr>
      <w:r w:rsidRPr="001D3DB1">
        <w:rPr>
          <w:b/>
        </w:rPr>
        <w:t>7.</w:t>
      </w:r>
      <w:r w:rsidRPr="001D3DB1">
        <w:rPr>
          <w:b/>
        </w:rPr>
        <w:tab/>
        <w:t>DRŽITEL ROZHODNUTÍ O REGISTRACI</w:t>
      </w:r>
    </w:p>
    <w:p w14:paraId="6EC9C442" w14:textId="77777777" w:rsidR="00812D16" w:rsidRPr="001D3DB1" w:rsidRDefault="00812D16" w:rsidP="00F40ABD">
      <w:pPr>
        <w:keepNext/>
        <w:spacing w:line="240" w:lineRule="auto"/>
        <w:rPr>
          <w:szCs w:val="22"/>
        </w:rPr>
      </w:pPr>
    </w:p>
    <w:p w14:paraId="4D7B0765" w14:textId="77777777" w:rsidR="00812D16" w:rsidRPr="001D3DB1" w:rsidRDefault="007C05E4" w:rsidP="00F40ABD">
      <w:pPr>
        <w:keepNext/>
        <w:spacing w:line="240" w:lineRule="auto"/>
        <w:rPr>
          <w:szCs w:val="22"/>
        </w:rPr>
      </w:pPr>
      <w:r w:rsidRPr="001D3DB1">
        <w:t>Bayer AG</w:t>
      </w:r>
    </w:p>
    <w:p w14:paraId="03D78B6E" w14:textId="77777777" w:rsidR="007C05E4" w:rsidRPr="001D3DB1" w:rsidRDefault="007C05E4" w:rsidP="00F40ABD">
      <w:pPr>
        <w:keepNext/>
        <w:spacing w:line="240" w:lineRule="auto"/>
        <w:rPr>
          <w:szCs w:val="22"/>
        </w:rPr>
      </w:pPr>
      <w:r w:rsidRPr="001D3DB1">
        <w:t xml:space="preserve">51368 </w:t>
      </w:r>
      <w:proofErr w:type="spellStart"/>
      <w:r w:rsidRPr="001D3DB1">
        <w:t>Leverkusen</w:t>
      </w:r>
      <w:proofErr w:type="spellEnd"/>
    </w:p>
    <w:p w14:paraId="7F0CB75A" w14:textId="77777777" w:rsidR="007C05E4" w:rsidRPr="001D3DB1" w:rsidRDefault="007C05E4" w:rsidP="00F40ABD">
      <w:pPr>
        <w:keepNext/>
        <w:spacing w:line="240" w:lineRule="auto"/>
        <w:rPr>
          <w:szCs w:val="22"/>
        </w:rPr>
      </w:pPr>
      <w:r w:rsidRPr="001D3DB1">
        <w:t>Německo</w:t>
      </w:r>
    </w:p>
    <w:p w14:paraId="25E2E0F9" w14:textId="77777777" w:rsidR="00812D16" w:rsidRPr="001D3DB1" w:rsidRDefault="00812D16" w:rsidP="00D6067C">
      <w:pPr>
        <w:keepNext/>
        <w:spacing w:line="240" w:lineRule="auto"/>
        <w:rPr>
          <w:szCs w:val="22"/>
        </w:rPr>
      </w:pPr>
    </w:p>
    <w:p w14:paraId="0BDD6BE1" w14:textId="77777777" w:rsidR="00812D16" w:rsidRPr="001D3DB1" w:rsidRDefault="00812D16" w:rsidP="00204AAB">
      <w:pPr>
        <w:spacing w:line="240" w:lineRule="auto"/>
        <w:rPr>
          <w:szCs w:val="22"/>
        </w:rPr>
      </w:pPr>
    </w:p>
    <w:p w14:paraId="48804BCA" w14:textId="238422C3" w:rsidR="00812D16" w:rsidRPr="001D3DB1" w:rsidRDefault="00812D16" w:rsidP="005954DA">
      <w:pPr>
        <w:keepNext/>
        <w:spacing w:line="240" w:lineRule="auto"/>
        <w:ind w:left="567" w:hanging="567"/>
        <w:outlineLvl w:val="1"/>
        <w:rPr>
          <w:b/>
          <w:szCs w:val="22"/>
        </w:rPr>
      </w:pPr>
      <w:r w:rsidRPr="001D3DB1">
        <w:rPr>
          <w:b/>
        </w:rPr>
        <w:t>8.</w:t>
      </w:r>
      <w:r w:rsidRPr="001D3DB1">
        <w:rPr>
          <w:b/>
        </w:rPr>
        <w:tab/>
        <w:t>REGISTRAČNÍ ČÍSLO/REGISTRAČNÍ ČÍSLA</w:t>
      </w:r>
    </w:p>
    <w:p w14:paraId="7CE84EEF" w14:textId="77777777" w:rsidR="00812D16" w:rsidRPr="001D3DB1" w:rsidRDefault="00812D16" w:rsidP="00F40ABD">
      <w:pPr>
        <w:keepNext/>
        <w:spacing w:line="240" w:lineRule="auto"/>
        <w:rPr>
          <w:szCs w:val="22"/>
        </w:rPr>
      </w:pPr>
    </w:p>
    <w:p w14:paraId="77291CC2" w14:textId="77777777" w:rsidR="006C10E6" w:rsidRPr="001D3DB1" w:rsidRDefault="00EF2C3F" w:rsidP="00F40ABD">
      <w:pPr>
        <w:keepNext/>
        <w:spacing w:line="240" w:lineRule="auto"/>
        <w:rPr>
          <w:szCs w:val="22"/>
          <w:u w:val="single"/>
        </w:rPr>
      </w:pPr>
      <w:proofErr w:type="spellStart"/>
      <w:r w:rsidRPr="001D3DB1">
        <w:rPr>
          <w:u w:val="single"/>
        </w:rPr>
        <w:t>Verquvo</w:t>
      </w:r>
      <w:proofErr w:type="spellEnd"/>
      <w:r w:rsidRPr="001D3DB1">
        <w:rPr>
          <w:u w:val="single"/>
        </w:rPr>
        <w:t xml:space="preserve"> 2,5 mg potahované tablety</w:t>
      </w:r>
    </w:p>
    <w:p w14:paraId="7F413B14" w14:textId="77777777" w:rsidR="007F1EAD" w:rsidRPr="001D3DB1" w:rsidRDefault="007F1EAD" w:rsidP="00F40ABD">
      <w:pPr>
        <w:keepNext/>
        <w:spacing w:line="240" w:lineRule="auto"/>
        <w:rPr>
          <w:szCs w:val="22"/>
          <w:u w:val="single"/>
        </w:rPr>
      </w:pPr>
    </w:p>
    <w:p w14:paraId="0484712B" w14:textId="139A2C55" w:rsidR="006C10E6" w:rsidRPr="001D3DB1" w:rsidRDefault="00655DDD" w:rsidP="00D6067C">
      <w:pPr>
        <w:keepNext/>
        <w:tabs>
          <w:tab w:val="clear" w:pos="567"/>
          <w:tab w:val="left" w:pos="1843"/>
        </w:tabs>
        <w:spacing w:line="240" w:lineRule="auto"/>
        <w:ind w:left="1843" w:hanging="1843"/>
      </w:pPr>
      <w:r>
        <w:t>EU/1/21/</w:t>
      </w:r>
      <w:r w:rsidR="00FA4952">
        <w:t>1561/</w:t>
      </w:r>
      <w:r w:rsidR="001B29AB" w:rsidRPr="001D3DB1">
        <w:t>001–011</w:t>
      </w:r>
    </w:p>
    <w:p w14:paraId="67F63EAF" w14:textId="77777777" w:rsidR="006C10E6" w:rsidRPr="001D3DB1" w:rsidRDefault="006C10E6" w:rsidP="00F31BB9">
      <w:pPr>
        <w:tabs>
          <w:tab w:val="clear" w:pos="567"/>
          <w:tab w:val="left" w:pos="1843"/>
        </w:tabs>
        <w:spacing w:line="240" w:lineRule="auto"/>
        <w:ind w:left="1843" w:hanging="1843"/>
      </w:pPr>
    </w:p>
    <w:p w14:paraId="6CCFA506" w14:textId="77777777" w:rsidR="006C10E6" w:rsidRPr="001D3DB1" w:rsidRDefault="00EF2C3F" w:rsidP="006C10E6">
      <w:pPr>
        <w:keepNext/>
        <w:spacing w:line="240" w:lineRule="auto"/>
        <w:rPr>
          <w:szCs w:val="22"/>
          <w:u w:val="single"/>
        </w:rPr>
      </w:pPr>
      <w:proofErr w:type="spellStart"/>
      <w:r w:rsidRPr="001D3DB1">
        <w:rPr>
          <w:u w:val="single"/>
        </w:rPr>
        <w:t>Verquvo</w:t>
      </w:r>
      <w:proofErr w:type="spellEnd"/>
      <w:r w:rsidRPr="001D3DB1">
        <w:rPr>
          <w:u w:val="single"/>
        </w:rPr>
        <w:t xml:space="preserve"> 5 mg potahované tablety</w:t>
      </w:r>
    </w:p>
    <w:p w14:paraId="74FAD522" w14:textId="77777777" w:rsidR="007F1EAD" w:rsidRPr="001D3DB1" w:rsidRDefault="007F1EAD" w:rsidP="006C10E6">
      <w:pPr>
        <w:keepNext/>
        <w:spacing w:line="240" w:lineRule="auto"/>
        <w:rPr>
          <w:szCs w:val="22"/>
          <w:u w:val="single"/>
        </w:rPr>
      </w:pPr>
    </w:p>
    <w:p w14:paraId="55CF603A" w14:textId="1CA36936" w:rsidR="006C10E6" w:rsidRPr="001D3DB1" w:rsidRDefault="009961FF" w:rsidP="00D6067C">
      <w:pPr>
        <w:keepNext/>
        <w:tabs>
          <w:tab w:val="clear" w:pos="567"/>
          <w:tab w:val="left" w:pos="1843"/>
        </w:tabs>
        <w:spacing w:line="240" w:lineRule="auto"/>
        <w:ind w:left="1843" w:hanging="1843"/>
      </w:pPr>
      <w:r>
        <w:t>EU/1/21/</w:t>
      </w:r>
      <w:r w:rsidR="00E469CC">
        <w:t>1561</w:t>
      </w:r>
      <w:r w:rsidR="006C10E6" w:rsidRPr="001D3DB1">
        <w:t>/012–022</w:t>
      </w:r>
    </w:p>
    <w:p w14:paraId="0FAB7A0C" w14:textId="77777777" w:rsidR="006C10E6" w:rsidRPr="001D3DB1" w:rsidRDefault="006C10E6" w:rsidP="00F31BB9">
      <w:pPr>
        <w:tabs>
          <w:tab w:val="clear" w:pos="567"/>
          <w:tab w:val="left" w:pos="1843"/>
        </w:tabs>
        <w:spacing w:line="240" w:lineRule="auto"/>
        <w:ind w:left="1843" w:hanging="1843"/>
      </w:pPr>
    </w:p>
    <w:p w14:paraId="4075E431" w14:textId="77777777" w:rsidR="00357CE5" w:rsidRPr="001D3DB1" w:rsidRDefault="00EF2C3F" w:rsidP="00357CE5">
      <w:pPr>
        <w:keepNext/>
        <w:spacing w:line="240" w:lineRule="auto"/>
        <w:rPr>
          <w:szCs w:val="22"/>
          <w:u w:val="single"/>
        </w:rPr>
      </w:pPr>
      <w:proofErr w:type="spellStart"/>
      <w:r w:rsidRPr="001D3DB1">
        <w:rPr>
          <w:u w:val="single"/>
        </w:rPr>
        <w:t>Verquvo</w:t>
      </w:r>
      <w:proofErr w:type="spellEnd"/>
      <w:r w:rsidRPr="001D3DB1">
        <w:rPr>
          <w:u w:val="single"/>
        </w:rPr>
        <w:t xml:space="preserve"> 10 mg potahované tablety</w:t>
      </w:r>
    </w:p>
    <w:p w14:paraId="05C010BC" w14:textId="77777777" w:rsidR="007F1EAD" w:rsidRPr="001D3DB1" w:rsidRDefault="007F1EAD" w:rsidP="00357CE5">
      <w:pPr>
        <w:keepNext/>
        <w:spacing w:line="240" w:lineRule="auto"/>
        <w:rPr>
          <w:szCs w:val="22"/>
          <w:u w:val="single"/>
        </w:rPr>
      </w:pPr>
    </w:p>
    <w:p w14:paraId="344EA31C" w14:textId="4407F62A" w:rsidR="00357CE5" w:rsidRPr="001D3DB1" w:rsidRDefault="00121C6B" w:rsidP="00D6067C">
      <w:pPr>
        <w:keepNext/>
        <w:tabs>
          <w:tab w:val="clear" w:pos="567"/>
          <w:tab w:val="left" w:pos="1843"/>
        </w:tabs>
        <w:spacing w:line="240" w:lineRule="auto"/>
        <w:ind w:left="1843" w:hanging="1843"/>
      </w:pPr>
      <w:r>
        <w:t>EU/1/21/1561</w:t>
      </w:r>
      <w:r w:rsidR="00357CE5" w:rsidRPr="001D3DB1">
        <w:t>/023–033</w:t>
      </w:r>
    </w:p>
    <w:p w14:paraId="47D44675" w14:textId="77777777" w:rsidR="00812D16" w:rsidRPr="001D3DB1" w:rsidRDefault="00812D16" w:rsidP="00D6067C">
      <w:pPr>
        <w:keepNext/>
        <w:spacing w:line="240" w:lineRule="auto"/>
        <w:rPr>
          <w:szCs w:val="22"/>
        </w:rPr>
      </w:pPr>
    </w:p>
    <w:p w14:paraId="359FD5D0" w14:textId="77777777" w:rsidR="0005680A" w:rsidRPr="001D3DB1" w:rsidRDefault="0005680A" w:rsidP="00204AAB">
      <w:pPr>
        <w:spacing w:line="240" w:lineRule="auto"/>
        <w:rPr>
          <w:szCs w:val="22"/>
        </w:rPr>
      </w:pPr>
    </w:p>
    <w:p w14:paraId="4FDA6833" w14:textId="77777777" w:rsidR="00812D16" w:rsidRPr="001D3DB1" w:rsidRDefault="00812D16" w:rsidP="005954DA">
      <w:pPr>
        <w:keepNext/>
        <w:spacing w:line="240" w:lineRule="auto"/>
        <w:ind w:left="567" w:hanging="567"/>
        <w:outlineLvl w:val="1"/>
        <w:rPr>
          <w:szCs w:val="22"/>
        </w:rPr>
      </w:pPr>
      <w:r w:rsidRPr="001D3DB1">
        <w:rPr>
          <w:b/>
        </w:rPr>
        <w:t>9.</w:t>
      </w:r>
      <w:r w:rsidRPr="001D3DB1">
        <w:rPr>
          <w:b/>
        </w:rPr>
        <w:tab/>
        <w:t>DATUM PRVNÍ REGISTRACE/PRODLOUŽENÍ REGISTRACE</w:t>
      </w:r>
    </w:p>
    <w:p w14:paraId="08DC4BFD" w14:textId="77777777" w:rsidR="00812D16" w:rsidRPr="001D3DB1" w:rsidRDefault="00812D16" w:rsidP="00F40ABD">
      <w:pPr>
        <w:keepNext/>
        <w:spacing w:line="240" w:lineRule="auto"/>
        <w:rPr>
          <w:i/>
          <w:szCs w:val="22"/>
        </w:rPr>
      </w:pPr>
    </w:p>
    <w:p w14:paraId="065BEC20" w14:textId="2CFFDAA2" w:rsidR="00812D16" w:rsidRPr="001D3DB1" w:rsidRDefault="00812D16" w:rsidP="00F40ABD">
      <w:pPr>
        <w:keepNext/>
        <w:spacing w:line="240" w:lineRule="auto"/>
        <w:rPr>
          <w:i/>
          <w:szCs w:val="22"/>
        </w:rPr>
      </w:pPr>
      <w:r w:rsidRPr="001D3DB1">
        <w:t>Datum první registrace:</w:t>
      </w:r>
      <w:r w:rsidR="00C016B1">
        <w:t xml:space="preserve"> </w:t>
      </w:r>
      <w:r w:rsidR="00C016B1" w:rsidRPr="00C016B1">
        <w:t>16. července 2021</w:t>
      </w:r>
    </w:p>
    <w:p w14:paraId="0F7E387B" w14:textId="77777777" w:rsidR="00812D16" w:rsidRPr="001D3DB1" w:rsidRDefault="00812D16" w:rsidP="00204AAB">
      <w:pPr>
        <w:spacing w:line="240" w:lineRule="auto"/>
        <w:rPr>
          <w:szCs w:val="22"/>
        </w:rPr>
      </w:pPr>
    </w:p>
    <w:p w14:paraId="78498AA4" w14:textId="77777777" w:rsidR="00812D16" w:rsidRPr="001D3DB1" w:rsidRDefault="00812D16" w:rsidP="00204AAB">
      <w:pPr>
        <w:spacing w:line="240" w:lineRule="auto"/>
        <w:rPr>
          <w:szCs w:val="22"/>
        </w:rPr>
      </w:pPr>
    </w:p>
    <w:p w14:paraId="3858AC1E" w14:textId="77777777" w:rsidR="00812D16" w:rsidRDefault="00812D16" w:rsidP="005954DA">
      <w:pPr>
        <w:keepNext/>
        <w:spacing w:line="240" w:lineRule="auto"/>
        <w:ind w:left="567" w:hanging="567"/>
        <w:outlineLvl w:val="1"/>
        <w:rPr>
          <w:b/>
        </w:rPr>
      </w:pPr>
      <w:r w:rsidRPr="001D3DB1">
        <w:rPr>
          <w:b/>
        </w:rPr>
        <w:lastRenderedPageBreak/>
        <w:t>10.</w:t>
      </w:r>
      <w:r w:rsidRPr="001D3DB1">
        <w:rPr>
          <w:b/>
        </w:rPr>
        <w:tab/>
        <w:t>DATUM REVIZE TEXTU</w:t>
      </w:r>
    </w:p>
    <w:p w14:paraId="7AF5EABB" w14:textId="77777777" w:rsidR="00F914ED" w:rsidRPr="001D3DB1" w:rsidRDefault="00F914ED" w:rsidP="005954DA">
      <w:pPr>
        <w:keepNext/>
        <w:spacing w:line="240" w:lineRule="auto"/>
        <w:ind w:left="567" w:hanging="567"/>
        <w:outlineLvl w:val="1"/>
        <w:rPr>
          <w:b/>
          <w:szCs w:val="22"/>
        </w:rPr>
      </w:pPr>
    </w:p>
    <w:p w14:paraId="3CCFBC29" w14:textId="553D5A4D" w:rsidR="00812D16" w:rsidRPr="001D3DB1" w:rsidRDefault="00F914ED" w:rsidP="00F40ABD">
      <w:pPr>
        <w:keepNext/>
        <w:spacing w:line="240" w:lineRule="auto"/>
        <w:rPr>
          <w:szCs w:val="22"/>
        </w:rPr>
      </w:pPr>
      <w:r>
        <w:rPr>
          <w:szCs w:val="22"/>
        </w:rPr>
        <w:t>24.10.2025</w:t>
      </w:r>
    </w:p>
    <w:p w14:paraId="087252C1" w14:textId="77777777" w:rsidR="004D0C38" w:rsidRPr="001D3DB1" w:rsidRDefault="004D0C38" w:rsidP="00D6067C">
      <w:pPr>
        <w:keepNext/>
        <w:rPr>
          <w:szCs w:val="22"/>
        </w:rPr>
      </w:pPr>
    </w:p>
    <w:p w14:paraId="24DD7222" w14:textId="3292F2A7" w:rsidR="001B0C60" w:rsidRPr="001D3DB1" w:rsidRDefault="001B0C60" w:rsidP="008A7053">
      <w:pPr>
        <w:keepNext/>
        <w:tabs>
          <w:tab w:val="clear" w:pos="567"/>
        </w:tabs>
        <w:rPr>
          <w:b/>
          <w:szCs w:val="22"/>
        </w:rPr>
      </w:pPr>
      <w:r w:rsidRPr="001D3DB1">
        <w:t xml:space="preserve">Podrobné informace o tomto léčivém přípravku jsou k dispozici na webových stránkách Evropské agentury pro léčivé přípravky </w:t>
      </w:r>
      <w:hyperlink r:id="rId25" w:history="1">
        <w:r w:rsidR="0010099E" w:rsidRPr="0010099E">
          <w:rPr>
            <w:rStyle w:val="Hypertextovodkaz"/>
          </w:rPr>
          <w:t>https://www.ema.europa.eu</w:t>
        </w:r>
      </w:hyperlink>
      <w:r w:rsidRPr="001D3DB1">
        <w:t>.</w:t>
      </w:r>
    </w:p>
    <w:p w14:paraId="5E7048C8" w14:textId="77777777" w:rsidR="004D0C38" w:rsidRPr="001D3DB1" w:rsidRDefault="004D0C38" w:rsidP="004D0C38">
      <w:pPr>
        <w:rPr>
          <w:szCs w:val="22"/>
        </w:rPr>
      </w:pPr>
    </w:p>
    <w:p w14:paraId="7F66D578" w14:textId="3DC4652C" w:rsidR="00812D16" w:rsidRPr="001D3DB1" w:rsidRDefault="00812D16" w:rsidP="00FE5CB3">
      <w:pPr>
        <w:widowControl w:val="0"/>
        <w:autoSpaceDE w:val="0"/>
        <w:autoSpaceDN w:val="0"/>
        <w:adjustRightInd w:val="0"/>
        <w:spacing w:line="240" w:lineRule="auto"/>
      </w:pPr>
      <w:bookmarkStart w:id="2" w:name="page_total_master7"/>
      <w:bookmarkStart w:id="3" w:name="page_total"/>
      <w:bookmarkEnd w:id="2"/>
      <w:bookmarkEnd w:id="3"/>
    </w:p>
    <w:sectPr w:rsidR="00812D16" w:rsidRPr="001D3DB1" w:rsidSect="000A54CD">
      <w:headerReference w:type="even" r:id="rId26"/>
      <w:footerReference w:type="default" r:id="rId27"/>
      <w:footerReference w:type="first" r:id="rId2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D949" w14:textId="77777777" w:rsidR="006D0863" w:rsidRDefault="006D0863">
      <w:r>
        <w:separator/>
      </w:r>
    </w:p>
  </w:endnote>
  <w:endnote w:type="continuationSeparator" w:id="0">
    <w:p w14:paraId="5543DFB3" w14:textId="77777777" w:rsidR="006D0863" w:rsidRDefault="006D0863">
      <w:r>
        <w:continuationSeparator/>
      </w:r>
    </w:p>
  </w:endnote>
  <w:endnote w:type="continuationNotice" w:id="1">
    <w:p w14:paraId="4F56B7EB" w14:textId="77777777" w:rsidR="006D0863" w:rsidRDefault="006D08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1096" w14:textId="16F7BBF4" w:rsidR="004A19A0" w:rsidRDefault="004A19A0">
    <w:pPr>
      <w:pStyle w:val="Zp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</w:rPr>
      <w:t>51</w:t>
    </w:r>
    <w:r>
      <w:rPr>
        <w:rStyle w:val="slostrnk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F87F" w14:textId="77777777" w:rsidR="004A19A0" w:rsidRDefault="004A19A0">
    <w:pPr>
      <w:pStyle w:val="Zp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</w:rPr>
      <w:t>1</w:t>
    </w:r>
    <w:r>
      <w:rPr>
        <w:rStyle w:val="slostrnk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8F98" w14:textId="77777777" w:rsidR="006D0863" w:rsidRDefault="006D0863">
      <w:r>
        <w:separator/>
      </w:r>
    </w:p>
  </w:footnote>
  <w:footnote w:type="continuationSeparator" w:id="0">
    <w:p w14:paraId="0BAB59E5" w14:textId="77777777" w:rsidR="006D0863" w:rsidRDefault="006D0863">
      <w:r>
        <w:continuationSeparator/>
      </w:r>
    </w:p>
  </w:footnote>
  <w:footnote w:type="continuationNotice" w:id="1">
    <w:p w14:paraId="05DA6BC2" w14:textId="77777777" w:rsidR="006D0863" w:rsidRDefault="006D08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79E3" w14:textId="77777777" w:rsidR="004A19A0" w:rsidRDefault="00000000">
    <w:pPr>
      <w:pStyle w:val="Zhlav"/>
    </w:pPr>
    <w:r>
      <w:pict w14:anchorId="1183EB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39400" o:spid="_x0000_s1026" type="#_x0000_t136" style="position:absolute;margin-left:0;margin-top:0;width:456.75pt;height:182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K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3pt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71E88"/>
    <w:multiLevelType w:val="hybridMultilevel"/>
    <w:tmpl w:val="F7528A0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1CE6"/>
    <w:multiLevelType w:val="hybridMultilevel"/>
    <w:tmpl w:val="B62AFE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05FF"/>
    <w:multiLevelType w:val="hybridMultilevel"/>
    <w:tmpl w:val="D34CC63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D8B3418"/>
    <w:multiLevelType w:val="hybridMultilevel"/>
    <w:tmpl w:val="56D6D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5BB3"/>
    <w:multiLevelType w:val="hybridMultilevel"/>
    <w:tmpl w:val="4B82497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A3A8E"/>
    <w:multiLevelType w:val="hybridMultilevel"/>
    <w:tmpl w:val="4F26C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119A"/>
    <w:multiLevelType w:val="hybridMultilevel"/>
    <w:tmpl w:val="FC3AF0E8"/>
    <w:lvl w:ilvl="0" w:tplc="6F52F84A">
      <w:start w:val="4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1C89667A"/>
    <w:multiLevelType w:val="hybridMultilevel"/>
    <w:tmpl w:val="893AF5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4164"/>
    <w:multiLevelType w:val="hybridMultilevel"/>
    <w:tmpl w:val="88D616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E3E8C"/>
    <w:multiLevelType w:val="hybridMultilevel"/>
    <w:tmpl w:val="7EC6D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32B1C"/>
    <w:multiLevelType w:val="hybridMultilevel"/>
    <w:tmpl w:val="031A425E"/>
    <w:lvl w:ilvl="0" w:tplc="6F52F8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3510C"/>
    <w:multiLevelType w:val="hybridMultilevel"/>
    <w:tmpl w:val="DAE40DDC"/>
    <w:lvl w:ilvl="0" w:tplc="23EC6C2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266BE"/>
    <w:multiLevelType w:val="hybridMultilevel"/>
    <w:tmpl w:val="2F2E6B0C"/>
    <w:lvl w:ilvl="0" w:tplc="1A1E6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D3010"/>
    <w:multiLevelType w:val="hybridMultilevel"/>
    <w:tmpl w:val="3740EB6E"/>
    <w:lvl w:ilvl="0" w:tplc="3B36D55A">
      <w:start w:val="1"/>
      <w:numFmt w:val="bullet"/>
      <w:pStyle w:val="BulletBayer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C627A"/>
    <w:multiLevelType w:val="hybridMultilevel"/>
    <w:tmpl w:val="F1F4C50C"/>
    <w:lvl w:ilvl="0" w:tplc="6F52F84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FF6E22"/>
    <w:multiLevelType w:val="hybridMultilevel"/>
    <w:tmpl w:val="BB66CFC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9F86654"/>
    <w:multiLevelType w:val="hybridMultilevel"/>
    <w:tmpl w:val="4550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E73C6"/>
    <w:multiLevelType w:val="hybridMultilevel"/>
    <w:tmpl w:val="025CC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8552C"/>
    <w:multiLevelType w:val="hybridMultilevel"/>
    <w:tmpl w:val="7840A37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9949AB"/>
    <w:multiLevelType w:val="hybridMultilevel"/>
    <w:tmpl w:val="B61CD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101D6"/>
    <w:multiLevelType w:val="hybridMultilevel"/>
    <w:tmpl w:val="08FADDC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DD4407"/>
    <w:multiLevelType w:val="hybridMultilevel"/>
    <w:tmpl w:val="F25E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13155"/>
    <w:multiLevelType w:val="hybridMultilevel"/>
    <w:tmpl w:val="913C11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C7C2C"/>
    <w:multiLevelType w:val="hybridMultilevel"/>
    <w:tmpl w:val="14AC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E3CA7"/>
    <w:multiLevelType w:val="hybridMultilevel"/>
    <w:tmpl w:val="DD50E79A"/>
    <w:lvl w:ilvl="0" w:tplc="6F52F84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6F5C37"/>
    <w:multiLevelType w:val="hybridMultilevel"/>
    <w:tmpl w:val="ECD09E86"/>
    <w:lvl w:ilvl="0" w:tplc="BEA44368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5A530CC"/>
    <w:multiLevelType w:val="hybridMultilevel"/>
    <w:tmpl w:val="7A8A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77042"/>
    <w:multiLevelType w:val="hybridMultilevel"/>
    <w:tmpl w:val="CAE8C2C2"/>
    <w:lvl w:ilvl="0" w:tplc="DCD0BE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B555D"/>
    <w:multiLevelType w:val="hybridMultilevel"/>
    <w:tmpl w:val="2B6EA13C"/>
    <w:lvl w:ilvl="0" w:tplc="F6FA5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41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CF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48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0C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84F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AC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744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05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13857"/>
    <w:multiLevelType w:val="hybridMultilevel"/>
    <w:tmpl w:val="B39E2BF8"/>
    <w:lvl w:ilvl="0" w:tplc="3C5282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967261">
    <w:abstractNumId w:val="15"/>
  </w:num>
  <w:num w:numId="2" w16cid:durableId="1391344257">
    <w:abstractNumId w:val="19"/>
  </w:num>
  <w:num w:numId="3" w16cid:durableId="961769611">
    <w:abstractNumId w:val="21"/>
  </w:num>
  <w:num w:numId="4" w16cid:durableId="3773209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6173" w:hanging="360"/>
        </w:pPr>
      </w:lvl>
    </w:lvlOverride>
  </w:num>
  <w:num w:numId="5" w16cid:durableId="1090195899">
    <w:abstractNumId w:val="14"/>
  </w:num>
  <w:num w:numId="6" w16cid:durableId="1660158186">
    <w:abstractNumId w:val="16"/>
  </w:num>
  <w:num w:numId="7" w16cid:durableId="2054497481">
    <w:abstractNumId w:val="3"/>
  </w:num>
  <w:num w:numId="8" w16cid:durableId="1382630542">
    <w:abstractNumId w:val="25"/>
  </w:num>
  <w:num w:numId="9" w16cid:durableId="987855361">
    <w:abstractNumId w:val="26"/>
  </w:num>
  <w:num w:numId="10" w16cid:durableId="1821145354">
    <w:abstractNumId w:val="1"/>
  </w:num>
  <w:num w:numId="11" w16cid:durableId="994525232">
    <w:abstractNumId w:val="18"/>
  </w:num>
  <w:num w:numId="12" w16cid:durableId="1806847601">
    <w:abstractNumId w:val="4"/>
  </w:num>
  <w:num w:numId="13" w16cid:durableId="1140727600">
    <w:abstractNumId w:val="28"/>
  </w:num>
  <w:num w:numId="14" w16cid:durableId="121924277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 w16cid:durableId="1181747586">
    <w:abstractNumId w:val="27"/>
  </w:num>
  <w:num w:numId="16" w16cid:durableId="1429810741">
    <w:abstractNumId w:val="30"/>
  </w:num>
  <w:num w:numId="17" w16cid:durableId="184028920">
    <w:abstractNumId w:val="12"/>
  </w:num>
  <w:num w:numId="18" w16cid:durableId="1730230567">
    <w:abstractNumId w:val="2"/>
  </w:num>
  <w:num w:numId="19" w16cid:durableId="679435283">
    <w:abstractNumId w:val="30"/>
  </w:num>
  <w:num w:numId="20" w16cid:durableId="285040727">
    <w:abstractNumId w:val="6"/>
  </w:num>
  <w:num w:numId="21" w16cid:durableId="192354040">
    <w:abstractNumId w:val="5"/>
  </w:num>
  <w:num w:numId="22" w16cid:durableId="1870223120">
    <w:abstractNumId w:val="23"/>
  </w:num>
  <w:num w:numId="23" w16cid:durableId="2068840737">
    <w:abstractNumId w:val="29"/>
  </w:num>
  <w:num w:numId="24" w16cid:durableId="1089696474">
    <w:abstractNumId w:val="13"/>
  </w:num>
  <w:num w:numId="25" w16cid:durableId="1671903599">
    <w:abstractNumId w:val="20"/>
  </w:num>
  <w:num w:numId="26" w16cid:durableId="2086956251">
    <w:abstractNumId w:val="22"/>
  </w:num>
  <w:num w:numId="27" w16cid:durableId="1526092642">
    <w:abstractNumId w:val="22"/>
  </w:num>
  <w:num w:numId="28" w16cid:durableId="1918978510">
    <w:abstractNumId w:val="17"/>
  </w:num>
  <w:num w:numId="29" w16cid:durableId="1395198867">
    <w:abstractNumId w:val="11"/>
  </w:num>
  <w:num w:numId="30" w16cid:durableId="1380932328">
    <w:abstractNumId w:val="24"/>
  </w:num>
  <w:num w:numId="31" w16cid:durableId="1748308891">
    <w:abstractNumId w:val="8"/>
  </w:num>
  <w:num w:numId="32" w16cid:durableId="36514182">
    <w:abstractNumId w:val="31"/>
  </w:num>
  <w:num w:numId="33" w16cid:durableId="681467319">
    <w:abstractNumId w:val="9"/>
  </w:num>
  <w:num w:numId="34" w16cid:durableId="1161114307">
    <w:abstractNumId w:val="7"/>
  </w:num>
  <w:num w:numId="35" w16cid:durableId="169935358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185D"/>
    <w:rsid w:val="00002C19"/>
    <w:rsid w:val="00002C72"/>
    <w:rsid w:val="00002E94"/>
    <w:rsid w:val="0000332E"/>
    <w:rsid w:val="00003507"/>
    <w:rsid w:val="0000362A"/>
    <w:rsid w:val="000037DB"/>
    <w:rsid w:val="0000384A"/>
    <w:rsid w:val="00003AEF"/>
    <w:rsid w:val="00004051"/>
    <w:rsid w:val="00004E64"/>
    <w:rsid w:val="0000564A"/>
    <w:rsid w:val="00005701"/>
    <w:rsid w:val="0000575D"/>
    <w:rsid w:val="0000624C"/>
    <w:rsid w:val="00006E44"/>
    <w:rsid w:val="00007189"/>
    <w:rsid w:val="00007375"/>
    <w:rsid w:val="00007528"/>
    <w:rsid w:val="00007827"/>
    <w:rsid w:val="00007C58"/>
    <w:rsid w:val="00010772"/>
    <w:rsid w:val="00010DA2"/>
    <w:rsid w:val="0001164F"/>
    <w:rsid w:val="0001174A"/>
    <w:rsid w:val="00011C2D"/>
    <w:rsid w:val="000141DE"/>
    <w:rsid w:val="00014869"/>
    <w:rsid w:val="00014C54"/>
    <w:rsid w:val="000150D3"/>
    <w:rsid w:val="000153D3"/>
    <w:rsid w:val="000166C1"/>
    <w:rsid w:val="000175B5"/>
    <w:rsid w:val="00017783"/>
    <w:rsid w:val="000178DD"/>
    <w:rsid w:val="00017E18"/>
    <w:rsid w:val="0002006B"/>
    <w:rsid w:val="00020287"/>
    <w:rsid w:val="0002064A"/>
    <w:rsid w:val="00020AE8"/>
    <w:rsid w:val="00020E05"/>
    <w:rsid w:val="000212BB"/>
    <w:rsid w:val="00022933"/>
    <w:rsid w:val="000237FC"/>
    <w:rsid w:val="00023A2C"/>
    <w:rsid w:val="00023F93"/>
    <w:rsid w:val="00025258"/>
    <w:rsid w:val="00025587"/>
    <w:rsid w:val="00025A72"/>
    <w:rsid w:val="00025B19"/>
    <w:rsid w:val="00025EBE"/>
    <w:rsid w:val="0002671A"/>
    <w:rsid w:val="00026BF2"/>
    <w:rsid w:val="000271F6"/>
    <w:rsid w:val="000273A5"/>
    <w:rsid w:val="000277DF"/>
    <w:rsid w:val="00027D22"/>
    <w:rsid w:val="00027D9A"/>
    <w:rsid w:val="00027E33"/>
    <w:rsid w:val="00030445"/>
    <w:rsid w:val="00030A6C"/>
    <w:rsid w:val="00030C76"/>
    <w:rsid w:val="00030FCA"/>
    <w:rsid w:val="000312C1"/>
    <w:rsid w:val="00031663"/>
    <w:rsid w:val="000317A5"/>
    <w:rsid w:val="000318C7"/>
    <w:rsid w:val="00031BEF"/>
    <w:rsid w:val="000324AF"/>
    <w:rsid w:val="00032B7D"/>
    <w:rsid w:val="0003312F"/>
    <w:rsid w:val="0003321B"/>
    <w:rsid w:val="00033D26"/>
    <w:rsid w:val="00033FDB"/>
    <w:rsid w:val="000344F6"/>
    <w:rsid w:val="0003458F"/>
    <w:rsid w:val="0003514C"/>
    <w:rsid w:val="000355AC"/>
    <w:rsid w:val="000356A3"/>
    <w:rsid w:val="00035BCD"/>
    <w:rsid w:val="00036657"/>
    <w:rsid w:val="00036778"/>
    <w:rsid w:val="000368EE"/>
    <w:rsid w:val="0003690A"/>
    <w:rsid w:val="00037562"/>
    <w:rsid w:val="0003788D"/>
    <w:rsid w:val="00041985"/>
    <w:rsid w:val="00042263"/>
    <w:rsid w:val="0004254B"/>
    <w:rsid w:val="00042CF9"/>
    <w:rsid w:val="00043505"/>
    <w:rsid w:val="00043B40"/>
    <w:rsid w:val="00043C70"/>
    <w:rsid w:val="00043D0E"/>
    <w:rsid w:val="00043E88"/>
    <w:rsid w:val="00043F0A"/>
    <w:rsid w:val="00044042"/>
    <w:rsid w:val="000441F0"/>
    <w:rsid w:val="0004465C"/>
    <w:rsid w:val="000446E0"/>
    <w:rsid w:val="000449C8"/>
    <w:rsid w:val="000453BB"/>
    <w:rsid w:val="000457AA"/>
    <w:rsid w:val="00045869"/>
    <w:rsid w:val="000458F8"/>
    <w:rsid w:val="000474D2"/>
    <w:rsid w:val="000479C5"/>
    <w:rsid w:val="00047AEA"/>
    <w:rsid w:val="00050DFD"/>
    <w:rsid w:val="000515F7"/>
    <w:rsid w:val="000525DA"/>
    <w:rsid w:val="00052E91"/>
    <w:rsid w:val="00052EE3"/>
    <w:rsid w:val="00053090"/>
    <w:rsid w:val="00053809"/>
    <w:rsid w:val="00053914"/>
    <w:rsid w:val="00054756"/>
    <w:rsid w:val="000547EA"/>
    <w:rsid w:val="00054A20"/>
    <w:rsid w:val="0005546F"/>
    <w:rsid w:val="000556C8"/>
    <w:rsid w:val="000560C5"/>
    <w:rsid w:val="000561D8"/>
    <w:rsid w:val="0005680A"/>
    <w:rsid w:val="0005698B"/>
    <w:rsid w:val="00056C49"/>
    <w:rsid w:val="00056FE0"/>
    <w:rsid w:val="00060090"/>
    <w:rsid w:val="000603C8"/>
    <w:rsid w:val="000605A7"/>
    <w:rsid w:val="000608A4"/>
    <w:rsid w:val="00060AA1"/>
    <w:rsid w:val="00060F0C"/>
    <w:rsid w:val="00061593"/>
    <w:rsid w:val="00061708"/>
    <w:rsid w:val="00061872"/>
    <w:rsid w:val="00061B30"/>
    <w:rsid w:val="00061FEE"/>
    <w:rsid w:val="0006223B"/>
    <w:rsid w:val="000627C5"/>
    <w:rsid w:val="00062847"/>
    <w:rsid w:val="000631B8"/>
    <w:rsid w:val="000631FD"/>
    <w:rsid w:val="0006321A"/>
    <w:rsid w:val="000633D7"/>
    <w:rsid w:val="00063538"/>
    <w:rsid w:val="00064341"/>
    <w:rsid w:val="000643D3"/>
    <w:rsid w:val="000646BA"/>
    <w:rsid w:val="000654B5"/>
    <w:rsid w:val="00066006"/>
    <w:rsid w:val="00066266"/>
    <w:rsid w:val="0006687D"/>
    <w:rsid w:val="000669B5"/>
    <w:rsid w:val="00067450"/>
    <w:rsid w:val="00067590"/>
    <w:rsid w:val="00067B16"/>
    <w:rsid w:val="00067B71"/>
    <w:rsid w:val="000701E9"/>
    <w:rsid w:val="000704EA"/>
    <w:rsid w:val="00070809"/>
    <w:rsid w:val="00070FDC"/>
    <w:rsid w:val="00071214"/>
    <w:rsid w:val="0007132F"/>
    <w:rsid w:val="00071718"/>
    <w:rsid w:val="00071A33"/>
    <w:rsid w:val="00071F8A"/>
    <w:rsid w:val="000720C7"/>
    <w:rsid w:val="00072586"/>
    <w:rsid w:val="00072D5E"/>
    <w:rsid w:val="00072E75"/>
    <w:rsid w:val="00072E87"/>
    <w:rsid w:val="00073E04"/>
    <w:rsid w:val="00073E8F"/>
    <w:rsid w:val="0007401B"/>
    <w:rsid w:val="000747BD"/>
    <w:rsid w:val="00074AA1"/>
    <w:rsid w:val="00075398"/>
    <w:rsid w:val="000757B2"/>
    <w:rsid w:val="000757C2"/>
    <w:rsid w:val="00075FFC"/>
    <w:rsid w:val="0007616C"/>
    <w:rsid w:val="0007628D"/>
    <w:rsid w:val="000762C6"/>
    <w:rsid w:val="000762FE"/>
    <w:rsid w:val="00076EF7"/>
    <w:rsid w:val="00077051"/>
    <w:rsid w:val="00077EEF"/>
    <w:rsid w:val="0008065F"/>
    <w:rsid w:val="00081DAB"/>
    <w:rsid w:val="00081FD6"/>
    <w:rsid w:val="0008273B"/>
    <w:rsid w:val="00083B67"/>
    <w:rsid w:val="00083F90"/>
    <w:rsid w:val="00084581"/>
    <w:rsid w:val="000851A6"/>
    <w:rsid w:val="000853C8"/>
    <w:rsid w:val="000858E4"/>
    <w:rsid w:val="00085915"/>
    <w:rsid w:val="000860CE"/>
    <w:rsid w:val="000862C2"/>
    <w:rsid w:val="00086872"/>
    <w:rsid w:val="00087326"/>
    <w:rsid w:val="00087929"/>
    <w:rsid w:val="000900D0"/>
    <w:rsid w:val="0009070A"/>
    <w:rsid w:val="00090CCF"/>
    <w:rsid w:val="00090FA5"/>
    <w:rsid w:val="00090FFD"/>
    <w:rsid w:val="0009109A"/>
    <w:rsid w:val="000913CC"/>
    <w:rsid w:val="0009181C"/>
    <w:rsid w:val="00091D04"/>
    <w:rsid w:val="00091EB3"/>
    <w:rsid w:val="0009242E"/>
    <w:rsid w:val="00092829"/>
    <w:rsid w:val="00092975"/>
    <w:rsid w:val="00092B09"/>
    <w:rsid w:val="000933A2"/>
    <w:rsid w:val="0009351E"/>
    <w:rsid w:val="000943FA"/>
    <w:rsid w:val="0009479A"/>
    <w:rsid w:val="000949E9"/>
    <w:rsid w:val="00094AD6"/>
    <w:rsid w:val="00094C0A"/>
    <w:rsid w:val="00094E95"/>
    <w:rsid w:val="000950C2"/>
    <w:rsid w:val="000950E0"/>
    <w:rsid w:val="00095806"/>
    <w:rsid w:val="000958C0"/>
    <w:rsid w:val="00095D61"/>
    <w:rsid w:val="00095E44"/>
    <w:rsid w:val="00096503"/>
    <w:rsid w:val="000966CF"/>
    <w:rsid w:val="00096D8D"/>
    <w:rsid w:val="0009755A"/>
    <w:rsid w:val="000A0D19"/>
    <w:rsid w:val="000A1232"/>
    <w:rsid w:val="000A1760"/>
    <w:rsid w:val="000A1D41"/>
    <w:rsid w:val="000A25AE"/>
    <w:rsid w:val="000A2950"/>
    <w:rsid w:val="000A30E5"/>
    <w:rsid w:val="000A3543"/>
    <w:rsid w:val="000A3DE2"/>
    <w:rsid w:val="000A40D0"/>
    <w:rsid w:val="000A458F"/>
    <w:rsid w:val="000A5265"/>
    <w:rsid w:val="000A54CD"/>
    <w:rsid w:val="000A64E9"/>
    <w:rsid w:val="000A6A9D"/>
    <w:rsid w:val="000B0097"/>
    <w:rsid w:val="000B101F"/>
    <w:rsid w:val="000B16EF"/>
    <w:rsid w:val="000B1A41"/>
    <w:rsid w:val="000B1F4B"/>
    <w:rsid w:val="000B26B6"/>
    <w:rsid w:val="000B272B"/>
    <w:rsid w:val="000B2F27"/>
    <w:rsid w:val="000B2F58"/>
    <w:rsid w:val="000B37A8"/>
    <w:rsid w:val="000B3B1E"/>
    <w:rsid w:val="000B4BE2"/>
    <w:rsid w:val="000B4DF3"/>
    <w:rsid w:val="000B4E39"/>
    <w:rsid w:val="000B51D9"/>
    <w:rsid w:val="000B52BB"/>
    <w:rsid w:val="000B56E9"/>
    <w:rsid w:val="000B5DB2"/>
    <w:rsid w:val="000B65E0"/>
    <w:rsid w:val="000B679F"/>
    <w:rsid w:val="000B6CA9"/>
    <w:rsid w:val="000B7248"/>
    <w:rsid w:val="000B7AAE"/>
    <w:rsid w:val="000B7AEF"/>
    <w:rsid w:val="000B7B91"/>
    <w:rsid w:val="000C03FB"/>
    <w:rsid w:val="000C1468"/>
    <w:rsid w:val="000C308F"/>
    <w:rsid w:val="000C324B"/>
    <w:rsid w:val="000C47DB"/>
    <w:rsid w:val="000C4BAE"/>
    <w:rsid w:val="000C4C86"/>
    <w:rsid w:val="000C4E82"/>
    <w:rsid w:val="000C4EEC"/>
    <w:rsid w:val="000C527C"/>
    <w:rsid w:val="000C5350"/>
    <w:rsid w:val="000C5A4E"/>
    <w:rsid w:val="000C5FA2"/>
    <w:rsid w:val="000C6183"/>
    <w:rsid w:val="000C618D"/>
    <w:rsid w:val="000C635D"/>
    <w:rsid w:val="000C65E5"/>
    <w:rsid w:val="000C6EC2"/>
    <w:rsid w:val="000C7A54"/>
    <w:rsid w:val="000C7F49"/>
    <w:rsid w:val="000D13BA"/>
    <w:rsid w:val="000D1A30"/>
    <w:rsid w:val="000D1AB6"/>
    <w:rsid w:val="000D1AEE"/>
    <w:rsid w:val="000D1F4F"/>
    <w:rsid w:val="000D295F"/>
    <w:rsid w:val="000D2A16"/>
    <w:rsid w:val="000D31A5"/>
    <w:rsid w:val="000D3360"/>
    <w:rsid w:val="000D3599"/>
    <w:rsid w:val="000D39F3"/>
    <w:rsid w:val="000D3B4F"/>
    <w:rsid w:val="000D3D67"/>
    <w:rsid w:val="000D4463"/>
    <w:rsid w:val="000D4D07"/>
    <w:rsid w:val="000D4E1F"/>
    <w:rsid w:val="000D537B"/>
    <w:rsid w:val="000D6738"/>
    <w:rsid w:val="000D68D0"/>
    <w:rsid w:val="000D6BE1"/>
    <w:rsid w:val="000D7535"/>
    <w:rsid w:val="000E1208"/>
    <w:rsid w:val="000E165D"/>
    <w:rsid w:val="000E16BD"/>
    <w:rsid w:val="000E18E5"/>
    <w:rsid w:val="000E1BAF"/>
    <w:rsid w:val="000E223E"/>
    <w:rsid w:val="000E2491"/>
    <w:rsid w:val="000E24CE"/>
    <w:rsid w:val="000E2713"/>
    <w:rsid w:val="000E2B74"/>
    <w:rsid w:val="000E2BD2"/>
    <w:rsid w:val="000E2EA9"/>
    <w:rsid w:val="000E397B"/>
    <w:rsid w:val="000E3B60"/>
    <w:rsid w:val="000E3B88"/>
    <w:rsid w:val="000E3C70"/>
    <w:rsid w:val="000E4066"/>
    <w:rsid w:val="000E46A3"/>
    <w:rsid w:val="000E4E88"/>
    <w:rsid w:val="000E5726"/>
    <w:rsid w:val="000E58C9"/>
    <w:rsid w:val="000E62B1"/>
    <w:rsid w:val="000E65BC"/>
    <w:rsid w:val="000E6A31"/>
    <w:rsid w:val="000E6C94"/>
    <w:rsid w:val="000E6F20"/>
    <w:rsid w:val="000E7106"/>
    <w:rsid w:val="000E76D6"/>
    <w:rsid w:val="000E7C21"/>
    <w:rsid w:val="000E7E34"/>
    <w:rsid w:val="000F0973"/>
    <w:rsid w:val="000F0E52"/>
    <w:rsid w:val="000F165E"/>
    <w:rsid w:val="000F1750"/>
    <w:rsid w:val="000F1A52"/>
    <w:rsid w:val="000F1BB2"/>
    <w:rsid w:val="000F1D3B"/>
    <w:rsid w:val="000F2107"/>
    <w:rsid w:val="000F217A"/>
    <w:rsid w:val="000F251C"/>
    <w:rsid w:val="000F2E7D"/>
    <w:rsid w:val="000F3193"/>
    <w:rsid w:val="000F3D5B"/>
    <w:rsid w:val="000F3F94"/>
    <w:rsid w:val="000F490C"/>
    <w:rsid w:val="000F5235"/>
    <w:rsid w:val="000F5B21"/>
    <w:rsid w:val="000F5C98"/>
    <w:rsid w:val="000F63FF"/>
    <w:rsid w:val="000F67F9"/>
    <w:rsid w:val="000F6F64"/>
    <w:rsid w:val="000F7656"/>
    <w:rsid w:val="0010023A"/>
    <w:rsid w:val="00100983"/>
    <w:rsid w:val="0010099E"/>
    <w:rsid w:val="00100E87"/>
    <w:rsid w:val="001010F7"/>
    <w:rsid w:val="00101336"/>
    <w:rsid w:val="0010216E"/>
    <w:rsid w:val="001028BD"/>
    <w:rsid w:val="001029DA"/>
    <w:rsid w:val="00102FB1"/>
    <w:rsid w:val="00103501"/>
    <w:rsid w:val="00103B2D"/>
    <w:rsid w:val="00103CD2"/>
    <w:rsid w:val="00104061"/>
    <w:rsid w:val="001041D3"/>
    <w:rsid w:val="00104D82"/>
    <w:rsid w:val="001056D5"/>
    <w:rsid w:val="00105E7E"/>
    <w:rsid w:val="00106F8D"/>
    <w:rsid w:val="00106FF2"/>
    <w:rsid w:val="00107186"/>
    <w:rsid w:val="00107236"/>
    <w:rsid w:val="0010743D"/>
    <w:rsid w:val="001074B3"/>
    <w:rsid w:val="00107FD0"/>
    <w:rsid w:val="001101A2"/>
    <w:rsid w:val="001106F7"/>
    <w:rsid w:val="00110878"/>
    <w:rsid w:val="001108A9"/>
    <w:rsid w:val="00110A8C"/>
    <w:rsid w:val="00111CD0"/>
    <w:rsid w:val="00111D3A"/>
    <w:rsid w:val="00111F00"/>
    <w:rsid w:val="00112214"/>
    <w:rsid w:val="0011270D"/>
    <w:rsid w:val="0011277F"/>
    <w:rsid w:val="00112EDA"/>
    <w:rsid w:val="00113070"/>
    <w:rsid w:val="00113422"/>
    <w:rsid w:val="001135A5"/>
    <w:rsid w:val="00113EE4"/>
    <w:rsid w:val="00113FFF"/>
    <w:rsid w:val="00114174"/>
    <w:rsid w:val="001147AB"/>
    <w:rsid w:val="00114BB0"/>
    <w:rsid w:val="00114FAA"/>
    <w:rsid w:val="001154F5"/>
    <w:rsid w:val="00115800"/>
    <w:rsid w:val="0011582B"/>
    <w:rsid w:val="00115F44"/>
    <w:rsid w:val="00116058"/>
    <w:rsid w:val="00116B17"/>
    <w:rsid w:val="00117222"/>
    <w:rsid w:val="00117699"/>
    <w:rsid w:val="00117B4A"/>
    <w:rsid w:val="00117C1D"/>
    <w:rsid w:val="00117DE6"/>
    <w:rsid w:val="00117FB8"/>
    <w:rsid w:val="0012056B"/>
    <w:rsid w:val="0012172E"/>
    <w:rsid w:val="00121C6B"/>
    <w:rsid w:val="00122EA4"/>
    <w:rsid w:val="00122F3F"/>
    <w:rsid w:val="0012302D"/>
    <w:rsid w:val="0012356A"/>
    <w:rsid w:val="00123688"/>
    <w:rsid w:val="00124DE8"/>
    <w:rsid w:val="00125247"/>
    <w:rsid w:val="001254BD"/>
    <w:rsid w:val="0012593A"/>
    <w:rsid w:val="00126679"/>
    <w:rsid w:val="00126766"/>
    <w:rsid w:val="00126CC2"/>
    <w:rsid w:val="00126EA0"/>
    <w:rsid w:val="00127F47"/>
    <w:rsid w:val="0013076C"/>
    <w:rsid w:val="00130C1A"/>
    <w:rsid w:val="00130C41"/>
    <w:rsid w:val="00131418"/>
    <w:rsid w:val="0013173B"/>
    <w:rsid w:val="00131AE3"/>
    <w:rsid w:val="001321C2"/>
    <w:rsid w:val="00132582"/>
    <w:rsid w:val="00133572"/>
    <w:rsid w:val="00133630"/>
    <w:rsid w:val="00133AB8"/>
    <w:rsid w:val="00133CD7"/>
    <w:rsid w:val="00133EE2"/>
    <w:rsid w:val="0013487E"/>
    <w:rsid w:val="00134E4A"/>
    <w:rsid w:val="00135A1F"/>
    <w:rsid w:val="001364FB"/>
    <w:rsid w:val="001365F2"/>
    <w:rsid w:val="00136B8B"/>
    <w:rsid w:val="00136D52"/>
    <w:rsid w:val="00136D7A"/>
    <w:rsid w:val="00136FEE"/>
    <w:rsid w:val="001374C5"/>
    <w:rsid w:val="00140743"/>
    <w:rsid w:val="001412F9"/>
    <w:rsid w:val="00141470"/>
    <w:rsid w:val="00141540"/>
    <w:rsid w:val="001417C6"/>
    <w:rsid w:val="00143774"/>
    <w:rsid w:val="001449DF"/>
    <w:rsid w:val="0014530B"/>
    <w:rsid w:val="001455E1"/>
    <w:rsid w:val="0014569B"/>
    <w:rsid w:val="001458C7"/>
    <w:rsid w:val="001467CC"/>
    <w:rsid w:val="00146894"/>
    <w:rsid w:val="001470C8"/>
    <w:rsid w:val="001470E0"/>
    <w:rsid w:val="0015003B"/>
    <w:rsid w:val="00150060"/>
    <w:rsid w:val="00151CBE"/>
    <w:rsid w:val="00152EF6"/>
    <w:rsid w:val="001536C1"/>
    <w:rsid w:val="00153D6D"/>
    <w:rsid w:val="0015482B"/>
    <w:rsid w:val="00154A01"/>
    <w:rsid w:val="00154AEB"/>
    <w:rsid w:val="00154C69"/>
    <w:rsid w:val="00155FDD"/>
    <w:rsid w:val="00156A5E"/>
    <w:rsid w:val="00156D1C"/>
    <w:rsid w:val="0015704C"/>
    <w:rsid w:val="00157801"/>
    <w:rsid w:val="00157895"/>
    <w:rsid w:val="00157986"/>
    <w:rsid w:val="001600B9"/>
    <w:rsid w:val="00160808"/>
    <w:rsid w:val="00160C4D"/>
    <w:rsid w:val="00161384"/>
    <w:rsid w:val="00161701"/>
    <w:rsid w:val="00161D4C"/>
    <w:rsid w:val="00161E87"/>
    <w:rsid w:val="0016212B"/>
    <w:rsid w:val="00162443"/>
    <w:rsid w:val="00163762"/>
    <w:rsid w:val="00164DA0"/>
    <w:rsid w:val="00164F17"/>
    <w:rsid w:val="00165565"/>
    <w:rsid w:val="0016566C"/>
    <w:rsid w:val="00165C86"/>
    <w:rsid w:val="0016620F"/>
    <w:rsid w:val="00166270"/>
    <w:rsid w:val="00166474"/>
    <w:rsid w:val="001664AE"/>
    <w:rsid w:val="001664B0"/>
    <w:rsid w:val="00166EB9"/>
    <w:rsid w:val="00167D91"/>
    <w:rsid w:val="0017165E"/>
    <w:rsid w:val="00171843"/>
    <w:rsid w:val="00171A06"/>
    <w:rsid w:val="00171C2D"/>
    <w:rsid w:val="001727F0"/>
    <w:rsid w:val="00172B06"/>
    <w:rsid w:val="00172CA5"/>
    <w:rsid w:val="0017347E"/>
    <w:rsid w:val="00174076"/>
    <w:rsid w:val="0017488F"/>
    <w:rsid w:val="001752D8"/>
    <w:rsid w:val="001756AF"/>
    <w:rsid w:val="00175931"/>
    <w:rsid w:val="00175CD1"/>
    <w:rsid w:val="00176349"/>
    <w:rsid w:val="00176B25"/>
    <w:rsid w:val="001779E7"/>
    <w:rsid w:val="00180744"/>
    <w:rsid w:val="00180841"/>
    <w:rsid w:val="00180DB4"/>
    <w:rsid w:val="0018191A"/>
    <w:rsid w:val="00181F54"/>
    <w:rsid w:val="0018238B"/>
    <w:rsid w:val="00183325"/>
    <w:rsid w:val="00183419"/>
    <w:rsid w:val="001837E8"/>
    <w:rsid w:val="0018394A"/>
    <w:rsid w:val="00183C43"/>
    <w:rsid w:val="00183E86"/>
    <w:rsid w:val="001840E6"/>
    <w:rsid w:val="00184DCC"/>
    <w:rsid w:val="00185342"/>
    <w:rsid w:val="00185A2C"/>
    <w:rsid w:val="00185CFF"/>
    <w:rsid w:val="00185FE9"/>
    <w:rsid w:val="00186A9D"/>
    <w:rsid w:val="00186DDE"/>
    <w:rsid w:val="001874A6"/>
    <w:rsid w:val="0018765B"/>
    <w:rsid w:val="00187797"/>
    <w:rsid w:val="00187AED"/>
    <w:rsid w:val="001904AE"/>
    <w:rsid w:val="001908D2"/>
    <w:rsid w:val="00190913"/>
    <w:rsid w:val="00191062"/>
    <w:rsid w:val="001915FE"/>
    <w:rsid w:val="00191B7A"/>
    <w:rsid w:val="00191B7F"/>
    <w:rsid w:val="001920DE"/>
    <w:rsid w:val="001920F3"/>
    <w:rsid w:val="0019236A"/>
    <w:rsid w:val="001924E4"/>
    <w:rsid w:val="00192701"/>
    <w:rsid w:val="0019356D"/>
    <w:rsid w:val="0019393E"/>
    <w:rsid w:val="00193B21"/>
    <w:rsid w:val="00193DD3"/>
    <w:rsid w:val="0019459C"/>
    <w:rsid w:val="00194715"/>
    <w:rsid w:val="001948AA"/>
    <w:rsid w:val="00194B15"/>
    <w:rsid w:val="00194C46"/>
    <w:rsid w:val="0019508B"/>
    <w:rsid w:val="001957AB"/>
    <w:rsid w:val="00195F65"/>
    <w:rsid w:val="00196809"/>
    <w:rsid w:val="00196FC5"/>
    <w:rsid w:val="00197069"/>
    <w:rsid w:val="001973D5"/>
    <w:rsid w:val="001A0769"/>
    <w:rsid w:val="001A07E2"/>
    <w:rsid w:val="001A0A5D"/>
    <w:rsid w:val="001A0BD3"/>
    <w:rsid w:val="001A165A"/>
    <w:rsid w:val="001A1D8C"/>
    <w:rsid w:val="001A2018"/>
    <w:rsid w:val="001A219B"/>
    <w:rsid w:val="001A2C7F"/>
    <w:rsid w:val="001A33C5"/>
    <w:rsid w:val="001A4608"/>
    <w:rsid w:val="001A47C7"/>
    <w:rsid w:val="001A4A18"/>
    <w:rsid w:val="001A56F1"/>
    <w:rsid w:val="001A56FA"/>
    <w:rsid w:val="001A57BE"/>
    <w:rsid w:val="001A5D0E"/>
    <w:rsid w:val="001A5E7E"/>
    <w:rsid w:val="001A6E1E"/>
    <w:rsid w:val="001A79A4"/>
    <w:rsid w:val="001A7F01"/>
    <w:rsid w:val="001B01C8"/>
    <w:rsid w:val="001B050C"/>
    <w:rsid w:val="001B0B52"/>
    <w:rsid w:val="001B0C60"/>
    <w:rsid w:val="001B13F6"/>
    <w:rsid w:val="001B1747"/>
    <w:rsid w:val="001B1DBF"/>
    <w:rsid w:val="001B26D1"/>
    <w:rsid w:val="001B29AB"/>
    <w:rsid w:val="001B2A94"/>
    <w:rsid w:val="001B2C42"/>
    <w:rsid w:val="001B2D44"/>
    <w:rsid w:val="001B31FD"/>
    <w:rsid w:val="001B3E49"/>
    <w:rsid w:val="001B4A07"/>
    <w:rsid w:val="001B52ED"/>
    <w:rsid w:val="001B5A69"/>
    <w:rsid w:val="001B5D63"/>
    <w:rsid w:val="001B618B"/>
    <w:rsid w:val="001B649B"/>
    <w:rsid w:val="001B752A"/>
    <w:rsid w:val="001B7562"/>
    <w:rsid w:val="001C12FB"/>
    <w:rsid w:val="001C2A8E"/>
    <w:rsid w:val="001C2DB4"/>
    <w:rsid w:val="001C3228"/>
    <w:rsid w:val="001C35E9"/>
    <w:rsid w:val="001C36BD"/>
    <w:rsid w:val="001C3733"/>
    <w:rsid w:val="001C439A"/>
    <w:rsid w:val="001C49B3"/>
    <w:rsid w:val="001C4E00"/>
    <w:rsid w:val="001C5B30"/>
    <w:rsid w:val="001C5E34"/>
    <w:rsid w:val="001C61B6"/>
    <w:rsid w:val="001C672C"/>
    <w:rsid w:val="001C6AC6"/>
    <w:rsid w:val="001C6C6F"/>
    <w:rsid w:val="001D0229"/>
    <w:rsid w:val="001D0DBD"/>
    <w:rsid w:val="001D0FAF"/>
    <w:rsid w:val="001D241F"/>
    <w:rsid w:val="001D2953"/>
    <w:rsid w:val="001D2A46"/>
    <w:rsid w:val="001D2F78"/>
    <w:rsid w:val="001D34ED"/>
    <w:rsid w:val="001D3A21"/>
    <w:rsid w:val="001D3C05"/>
    <w:rsid w:val="001D3DB1"/>
    <w:rsid w:val="001D4D72"/>
    <w:rsid w:val="001D5861"/>
    <w:rsid w:val="001D6AF4"/>
    <w:rsid w:val="001D7C38"/>
    <w:rsid w:val="001E0534"/>
    <w:rsid w:val="001E08FF"/>
    <w:rsid w:val="001E0C3B"/>
    <w:rsid w:val="001E0CC1"/>
    <w:rsid w:val="001E1209"/>
    <w:rsid w:val="001E1C10"/>
    <w:rsid w:val="001E1F3B"/>
    <w:rsid w:val="001E2396"/>
    <w:rsid w:val="001E29BA"/>
    <w:rsid w:val="001E2D80"/>
    <w:rsid w:val="001E3481"/>
    <w:rsid w:val="001E35E3"/>
    <w:rsid w:val="001E39BE"/>
    <w:rsid w:val="001E3CC0"/>
    <w:rsid w:val="001E4ECD"/>
    <w:rsid w:val="001E514B"/>
    <w:rsid w:val="001E55D3"/>
    <w:rsid w:val="001E571A"/>
    <w:rsid w:val="001E5772"/>
    <w:rsid w:val="001E5948"/>
    <w:rsid w:val="001E5D1E"/>
    <w:rsid w:val="001E6171"/>
    <w:rsid w:val="001E64A8"/>
    <w:rsid w:val="001E6E61"/>
    <w:rsid w:val="001E77C3"/>
    <w:rsid w:val="001E7943"/>
    <w:rsid w:val="001F00E6"/>
    <w:rsid w:val="001F090B"/>
    <w:rsid w:val="001F0932"/>
    <w:rsid w:val="001F0C34"/>
    <w:rsid w:val="001F0FC5"/>
    <w:rsid w:val="001F1568"/>
    <w:rsid w:val="001F1616"/>
    <w:rsid w:val="001F164B"/>
    <w:rsid w:val="001F180A"/>
    <w:rsid w:val="001F1A28"/>
    <w:rsid w:val="001F1AD0"/>
    <w:rsid w:val="001F1B74"/>
    <w:rsid w:val="001F2251"/>
    <w:rsid w:val="001F2414"/>
    <w:rsid w:val="001F2C97"/>
    <w:rsid w:val="001F2DC5"/>
    <w:rsid w:val="001F35E8"/>
    <w:rsid w:val="001F4014"/>
    <w:rsid w:val="001F412B"/>
    <w:rsid w:val="001F445E"/>
    <w:rsid w:val="001F45A6"/>
    <w:rsid w:val="001F474D"/>
    <w:rsid w:val="001F538D"/>
    <w:rsid w:val="001F6423"/>
    <w:rsid w:val="001F64CB"/>
    <w:rsid w:val="001F65DF"/>
    <w:rsid w:val="001F66C2"/>
    <w:rsid w:val="001F6CA3"/>
    <w:rsid w:val="001F72A5"/>
    <w:rsid w:val="001F798A"/>
    <w:rsid w:val="001F7FFB"/>
    <w:rsid w:val="00200097"/>
    <w:rsid w:val="002006BD"/>
    <w:rsid w:val="00201213"/>
    <w:rsid w:val="0020125F"/>
    <w:rsid w:val="0020165E"/>
    <w:rsid w:val="002019EF"/>
    <w:rsid w:val="00201C7E"/>
    <w:rsid w:val="00201D56"/>
    <w:rsid w:val="00201EEB"/>
    <w:rsid w:val="0020272E"/>
    <w:rsid w:val="00202E50"/>
    <w:rsid w:val="0020310B"/>
    <w:rsid w:val="00203768"/>
    <w:rsid w:val="00203B66"/>
    <w:rsid w:val="00203D2C"/>
    <w:rsid w:val="00203E34"/>
    <w:rsid w:val="00204016"/>
    <w:rsid w:val="00204AAB"/>
    <w:rsid w:val="00205180"/>
    <w:rsid w:val="002054C8"/>
    <w:rsid w:val="002055D5"/>
    <w:rsid w:val="002056B7"/>
    <w:rsid w:val="00205A4B"/>
    <w:rsid w:val="00205DF8"/>
    <w:rsid w:val="00206930"/>
    <w:rsid w:val="00206D7E"/>
    <w:rsid w:val="00207191"/>
    <w:rsid w:val="00207273"/>
    <w:rsid w:val="00207832"/>
    <w:rsid w:val="00207F81"/>
    <w:rsid w:val="002108AF"/>
    <w:rsid w:val="002108F6"/>
    <w:rsid w:val="002109F4"/>
    <w:rsid w:val="00211FDA"/>
    <w:rsid w:val="00212C51"/>
    <w:rsid w:val="00213297"/>
    <w:rsid w:val="002138C5"/>
    <w:rsid w:val="0021392A"/>
    <w:rsid w:val="00213A6F"/>
    <w:rsid w:val="00213D48"/>
    <w:rsid w:val="00213EFE"/>
    <w:rsid w:val="00215132"/>
    <w:rsid w:val="00215D1D"/>
    <w:rsid w:val="00215FDA"/>
    <w:rsid w:val="002160C2"/>
    <w:rsid w:val="0021614E"/>
    <w:rsid w:val="0021646B"/>
    <w:rsid w:val="00216587"/>
    <w:rsid w:val="0021676E"/>
    <w:rsid w:val="00216E85"/>
    <w:rsid w:val="0021711E"/>
    <w:rsid w:val="00217DEA"/>
    <w:rsid w:val="0022043E"/>
    <w:rsid w:val="00220E17"/>
    <w:rsid w:val="0022129B"/>
    <w:rsid w:val="002216A0"/>
    <w:rsid w:val="002216BA"/>
    <w:rsid w:val="00221A9F"/>
    <w:rsid w:val="00221E67"/>
    <w:rsid w:val="00222BB9"/>
    <w:rsid w:val="002231EC"/>
    <w:rsid w:val="00223666"/>
    <w:rsid w:val="002246D0"/>
    <w:rsid w:val="00224AC2"/>
    <w:rsid w:val="00224CA2"/>
    <w:rsid w:val="00224D37"/>
    <w:rsid w:val="00225556"/>
    <w:rsid w:val="002256B6"/>
    <w:rsid w:val="002258D6"/>
    <w:rsid w:val="00225D2D"/>
    <w:rsid w:val="00226C96"/>
    <w:rsid w:val="002274FB"/>
    <w:rsid w:val="002276BC"/>
    <w:rsid w:val="00230162"/>
    <w:rsid w:val="002308F2"/>
    <w:rsid w:val="002309D2"/>
    <w:rsid w:val="002309D8"/>
    <w:rsid w:val="00231898"/>
    <w:rsid w:val="00231B61"/>
    <w:rsid w:val="00232F2B"/>
    <w:rsid w:val="0023315B"/>
    <w:rsid w:val="002340A8"/>
    <w:rsid w:val="00234280"/>
    <w:rsid w:val="002342F1"/>
    <w:rsid w:val="002347FE"/>
    <w:rsid w:val="00234937"/>
    <w:rsid w:val="0023519F"/>
    <w:rsid w:val="002351A9"/>
    <w:rsid w:val="002355FB"/>
    <w:rsid w:val="00235795"/>
    <w:rsid w:val="00235909"/>
    <w:rsid w:val="002360B5"/>
    <w:rsid w:val="002360D3"/>
    <w:rsid w:val="00236902"/>
    <w:rsid w:val="00236C80"/>
    <w:rsid w:val="00237C25"/>
    <w:rsid w:val="00237C53"/>
    <w:rsid w:val="002409B1"/>
    <w:rsid w:val="0024178D"/>
    <w:rsid w:val="00243103"/>
    <w:rsid w:val="0024392B"/>
    <w:rsid w:val="00243A69"/>
    <w:rsid w:val="00244DF7"/>
    <w:rsid w:val="002450C6"/>
    <w:rsid w:val="00245204"/>
    <w:rsid w:val="0024563A"/>
    <w:rsid w:val="00245660"/>
    <w:rsid w:val="00245864"/>
    <w:rsid w:val="00245DCF"/>
    <w:rsid w:val="00245EC2"/>
    <w:rsid w:val="00246103"/>
    <w:rsid w:val="00246293"/>
    <w:rsid w:val="00246673"/>
    <w:rsid w:val="0024689E"/>
    <w:rsid w:val="00246C65"/>
    <w:rsid w:val="00246EF4"/>
    <w:rsid w:val="00246EFC"/>
    <w:rsid w:val="00246F98"/>
    <w:rsid w:val="0024721F"/>
    <w:rsid w:val="00247B4B"/>
    <w:rsid w:val="00247B5E"/>
    <w:rsid w:val="002504A8"/>
    <w:rsid w:val="002504DF"/>
    <w:rsid w:val="00250791"/>
    <w:rsid w:val="002509C0"/>
    <w:rsid w:val="00250F80"/>
    <w:rsid w:val="0025174D"/>
    <w:rsid w:val="00251A10"/>
    <w:rsid w:val="00251AD8"/>
    <w:rsid w:val="00252BFF"/>
    <w:rsid w:val="002530C5"/>
    <w:rsid w:val="002533B0"/>
    <w:rsid w:val="00253520"/>
    <w:rsid w:val="00253732"/>
    <w:rsid w:val="002539AC"/>
    <w:rsid w:val="002542A8"/>
    <w:rsid w:val="00254B1F"/>
    <w:rsid w:val="00254DF1"/>
    <w:rsid w:val="00254E2A"/>
    <w:rsid w:val="00255065"/>
    <w:rsid w:val="002553B2"/>
    <w:rsid w:val="00255F2B"/>
    <w:rsid w:val="0025643A"/>
    <w:rsid w:val="00256860"/>
    <w:rsid w:val="0026051E"/>
    <w:rsid w:val="0026068D"/>
    <w:rsid w:val="00260A11"/>
    <w:rsid w:val="0026169A"/>
    <w:rsid w:val="00262763"/>
    <w:rsid w:val="00262F18"/>
    <w:rsid w:val="00263529"/>
    <w:rsid w:val="0026381F"/>
    <w:rsid w:val="00263FAE"/>
    <w:rsid w:val="00264BEA"/>
    <w:rsid w:val="002657FB"/>
    <w:rsid w:val="00265AAF"/>
    <w:rsid w:val="002662DC"/>
    <w:rsid w:val="002666BD"/>
    <w:rsid w:val="00266C62"/>
    <w:rsid w:val="00266C8D"/>
    <w:rsid w:val="00266F7F"/>
    <w:rsid w:val="002672D6"/>
    <w:rsid w:val="00267419"/>
    <w:rsid w:val="00267850"/>
    <w:rsid w:val="00271032"/>
    <w:rsid w:val="00271114"/>
    <w:rsid w:val="002711EF"/>
    <w:rsid w:val="00271706"/>
    <w:rsid w:val="00271992"/>
    <w:rsid w:val="00271ABC"/>
    <w:rsid w:val="00271D6C"/>
    <w:rsid w:val="00272E55"/>
    <w:rsid w:val="00273C39"/>
    <w:rsid w:val="00273E3E"/>
    <w:rsid w:val="00274147"/>
    <w:rsid w:val="00274FA4"/>
    <w:rsid w:val="002750F9"/>
    <w:rsid w:val="00275189"/>
    <w:rsid w:val="00275415"/>
    <w:rsid w:val="002756DC"/>
    <w:rsid w:val="002757C4"/>
    <w:rsid w:val="002758DE"/>
    <w:rsid w:val="00275B20"/>
    <w:rsid w:val="0027614A"/>
    <w:rsid w:val="00276412"/>
    <w:rsid w:val="00276437"/>
    <w:rsid w:val="0027727C"/>
    <w:rsid w:val="002779A2"/>
    <w:rsid w:val="00277FFB"/>
    <w:rsid w:val="00280053"/>
    <w:rsid w:val="0028063F"/>
    <w:rsid w:val="00280740"/>
    <w:rsid w:val="00280C3D"/>
    <w:rsid w:val="00280F9E"/>
    <w:rsid w:val="00281773"/>
    <w:rsid w:val="00282A68"/>
    <w:rsid w:val="00283739"/>
    <w:rsid w:val="00283833"/>
    <w:rsid w:val="00283B02"/>
    <w:rsid w:val="00283C5D"/>
    <w:rsid w:val="002844B0"/>
    <w:rsid w:val="002845E6"/>
    <w:rsid w:val="002857D1"/>
    <w:rsid w:val="00285FE6"/>
    <w:rsid w:val="002861D5"/>
    <w:rsid w:val="002861E3"/>
    <w:rsid w:val="00286301"/>
    <w:rsid w:val="00286322"/>
    <w:rsid w:val="00287104"/>
    <w:rsid w:val="00287453"/>
    <w:rsid w:val="00287765"/>
    <w:rsid w:val="00290762"/>
    <w:rsid w:val="00291260"/>
    <w:rsid w:val="00291408"/>
    <w:rsid w:val="00291A41"/>
    <w:rsid w:val="002928F4"/>
    <w:rsid w:val="00292FB3"/>
    <w:rsid w:val="002932CE"/>
    <w:rsid w:val="00293347"/>
    <w:rsid w:val="00293F31"/>
    <w:rsid w:val="00294102"/>
    <w:rsid w:val="00294880"/>
    <w:rsid w:val="002952EA"/>
    <w:rsid w:val="00295711"/>
    <w:rsid w:val="00296B03"/>
    <w:rsid w:val="00296B54"/>
    <w:rsid w:val="00296C1F"/>
    <w:rsid w:val="00297AA4"/>
    <w:rsid w:val="00297D95"/>
    <w:rsid w:val="002A181E"/>
    <w:rsid w:val="002A201E"/>
    <w:rsid w:val="002A2E06"/>
    <w:rsid w:val="002A3495"/>
    <w:rsid w:val="002A3B86"/>
    <w:rsid w:val="002A3FD3"/>
    <w:rsid w:val="002A41E6"/>
    <w:rsid w:val="002A44C8"/>
    <w:rsid w:val="002A4D29"/>
    <w:rsid w:val="002A5112"/>
    <w:rsid w:val="002A545A"/>
    <w:rsid w:val="002A5E48"/>
    <w:rsid w:val="002A61AC"/>
    <w:rsid w:val="002A6298"/>
    <w:rsid w:val="002A63F3"/>
    <w:rsid w:val="002A6AB7"/>
    <w:rsid w:val="002A6FB8"/>
    <w:rsid w:val="002A7624"/>
    <w:rsid w:val="002A7947"/>
    <w:rsid w:val="002A798F"/>
    <w:rsid w:val="002A7E2C"/>
    <w:rsid w:val="002A7FF2"/>
    <w:rsid w:val="002B0059"/>
    <w:rsid w:val="002B03E4"/>
    <w:rsid w:val="002B0455"/>
    <w:rsid w:val="002B0E92"/>
    <w:rsid w:val="002B125E"/>
    <w:rsid w:val="002B12AD"/>
    <w:rsid w:val="002B21A2"/>
    <w:rsid w:val="002B261C"/>
    <w:rsid w:val="002B2BEE"/>
    <w:rsid w:val="002B35C5"/>
    <w:rsid w:val="002B3935"/>
    <w:rsid w:val="002B406A"/>
    <w:rsid w:val="002B40C5"/>
    <w:rsid w:val="002B41D4"/>
    <w:rsid w:val="002B43DA"/>
    <w:rsid w:val="002B472B"/>
    <w:rsid w:val="002B4A2A"/>
    <w:rsid w:val="002B4AD8"/>
    <w:rsid w:val="002B531E"/>
    <w:rsid w:val="002B543F"/>
    <w:rsid w:val="002B5504"/>
    <w:rsid w:val="002B5817"/>
    <w:rsid w:val="002B58D8"/>
    <w:rsid w:val="002B6165"/>
    <w:rsid w:val="002B7A2F"/>
    <w:rsid w:val="002B7D73"/>
    <w:rsid w:val="002C06E3"/>
    <w:rsid w:val="002C0801"/>
    <w:rsid w:val="002C0F34"/>
    <w:rsid w:val="002C124B"/>
    <w:rsid w:val="002C145F"/>
    <w:rsid w:val="002C19B9"/>
    <w:rsid w:val="002C1BFB"/>
    <w:rsid w:val="002C24AA"/>
    <w:rsid w:val="002C24F0"/>
    <w:rsid w:val="002C33B3"/>
    <w:rsid w:val="002C39A4"/>
    <w:rsid w:val="002C3C94"/>
    <w:rsid w:val="002C3F5A"/>
    <w:rsid w:val="002C44B0"/>
    <w:rsid w:val="002C4A5E"/>
    <w:rsid w:val="002C4E07"/>
    <w:rsid w:val="002C4EF0"/>
    <w:rsid w:val="002C6042"/>
    <w:rsid w:val="002C6100"/>
    <w:rsid w:val="002C648D"/>
    <w:rsid w:val="002C6554"/>
    <w:rsid w:val="002C7693"/>
    <w:rsid w:val="002C7EE6"/>
    <w:rsid w:val="002D0586"/>
    <w:rsid w:val="002D0623"/>
    <w:rsid w:val="002D0923"/>
    <w:rsid w:val="002D1023"/>
    <w:rsid w:val="002D1459"/>
    <w:rsid w:val="002D1470"/>
    <w:rsid w:val="002D1663"/>
    <w:rsid w:val="002D21CF"/>
    <w:rsid w:val="002D28C3"/>
    <w:rsid w:val="002D387F"/>
    <w:rsid w:val="002D3B48"/>
    <w:rsid w:val="002D3DB7"/>
    <w:rsid w:val="002D3FA6"/>
    <w:rsid w:val="002D46B4"/>
    <w:rsid w:val="002D4705"/>
    <w:rsid w:val="002D5006"/>
    <w:rsid w:val="002D519E"/>
    <w:rsid w:val="002D56C5"/>
    <w:rsid w:val="002D5B3F"/>
    <w:rsid w:val="002D5B65"/>
    <w:rsid w:val="002D62EB"/>
    <w:rsid w:val="002D6396"/>
    <w:rsid w:val="002D6416"/>
    <w:rsid w:val="002D76D6"/>
    <w:rsid w:val="002D7E5E"/>
    <w:rsid w:val="002E043A"/>
    <w:rsid w:val="002E07BA"/>
    <w:rsid w:val="002E07EF"/>
    <w:rsid w:val="002E0C63"/>
    <w:rsid w:val="002E0D06"/>
    <w:rsid w:val="002E0D95"/>
    <w:rsid w:val="002E1194"/>
    <w:rsid w:val="002E13B1"/>
    <w:rsid w:val="002E1810"/>
    <w:rsid w:val="002E2092"/>
    <w:rsid w:val="002E234A"/>
    <w:rsid w:val="002E239D"/>
    <w:rsid w:val="002E310B"/>
    <w:rsid w:val="002E38E5"/>
    <w:rsid w:val="002E392F"/>
    <w:rsid w:val="002E40C2"/>
    <w:rsid w:val="002E4E94"/>
    <w:rsid w:val="002E5449"/>
    <w:rsid w:val="002E59D2"/>
    <w:rsid w:val="002E609F"/>
    <w:rsid w:val="002E690C"/>
    <w:rsid w:val="002E6C4C"/>
    <w:rsid w:val="002E7DE5"/>
    <w:rsid w:val="002E7E2F"/>
    <w:rsid w:val="002F014F"/>
    <w:rsid w:val="002F09D7"/>
    <w:rsid w:val="002F0A6A"/>
    <w:rsid w:val="002F1184"/>
    <w:rsid w:val="002F1926"/>
    <w:rsid w:val="002F1BD9"/>
    <w:rsid w:val="002F1F28"/>
    <w:rsid w:val="002F27C1"/>
    <w:rsid w:val="002F2A05"/>
    <w:rsid w:val="002F300E"/>
    <w:rsid w:val="002F4232"/>
    <w:rsid w:val="002F43CA"/>
    <w:rsid w:val="002F4578"/>
    <w:rsid w:val="002F4581"/>
    <w:rsid w:val="002F46D7"/>
    <w:rsid w:val="002F479A"/>
    <w:rsid w:val="002F4856"/>
    <w:rsid w:val="002F4B3C"/>
    <w:rsid w:val="002F4F20"/>
    <w:rsid w:val="002F5614"/>
    <w:rsid w:val="002F5674"/>
    <w:rsid w:val="002F57AA"/>
    <w:rsid w:val="002F5F5A"/>
    <w:rsid w:val="002F61FB"/>
    <w:rsid w:val="002F6EF7"/>
    <w:rsid w:val="002F714C"/>
    <w:rsid w:val="002F71F2"/>
    <w:rsid w:val="002F77BF"/>
    <w:rsid w:val="002F7A8D"/>
    <w:rsid w:val="003004A2"/>
    <w:rsid w:val="00300821"/>
    <w:rsid w:val="003009DB"/>
    <w:rsid w:val="00300AB1"/>
    <w:rsid w:val="00300E8B"/>
    <w:rsid w:val="00303143"/>
    <w:rsid w:val="00303563"/>
    <w:rsid w:val="003039C8"/>
    <w:rsid w:val="00303DD5"/>
    <w:rsid w:val="0030619E"/>
    <w:rsid w:val="003066C8"/>
    <w:rsid w:val="00307B74"/>
    <w:rsid w:val="0031007D"/>
    <w:rsid w:val="00310764"/>
    <w:rsid w:val="0031145A"/>
    <w:rsid w:val="00311496"/>
    <w:rsid w:val="003114DE"/>
    <w:rsid w:val="0031153E"/>
    <w:rsid w:val="00311BFD"/>
    <w:rsid w:val="00311C39"/>
    <w:rsid w:val="0031250C"/>
    <w:rsid w:val="00312A9C"/>
    <w:rsid w:val="00312C78"/>
    <w:rsid w:val="00312E6E"/>
    <w:rsid w:val="00313A2E"/>
    <w:rsid w:val="00313A59"/>
    <w:rsid w:val="00314443"/>
    <w:rsid w:val="00314496"/>
    <w:rsid w:val="00314718"/>
    <w:rsid w:val="0031488A"/>
    <w:rsid w:val="00314CC3"/>
    <w:rsid w:val="003154E2"/>
    <w:rsid w:val="00316AAA"/>
    <w:rsid w:val="00317141"/>
    <w:rsid w:val="003175E1"/>
    <w:rsid w:val="00320203"/>
    <w:rsid w:val="00321097"/>
    <w:rsid w:val="0032141B"/>
    <w:rsid w:val="00321805"/>
    <w:rsid w:val="00322002"/>
    <w:rsid w:val="00322424"/>
    <w:rsid w:val="00322EBE"/>
    <w:rsid w:val="00323542"/>
    <w:rsid w:val="00323B41"/>
    <w:rsid w:val="00323B8B"/>
    <w:rsid w:val="00323FFC"/>
    <w:rsid w:val="003247B0"/>
    <w:rsid w:val="00324923"/>
    <w:rsid w:val="00325E81"/>
    <w:rsid w:val="0032693F"/>
    <w:rsid w:val="00326948"/>
    <w:rsid w:val="00327052"/>
    <w:rsid w:val="00327181"/>
    <w:rsid w:val="00327308"/>
    <w:rsid w:val="00327552"/>
    <w:rsid w:val="00327677"/>
    <w:rsid w:val="0032772F"/>
    <w:rsid w:val="00327819"/>
    <w:rsid w:val="003304BC"/>
    <w:rsid w:val="0033120A"/>
    <w:rsid w:val="00331A40"/>
    <w:rsid w:val="0033385D"/>
    <w:rsid w:val="0033486D"/>
    <w:rsid w:val="00335228"/>
    <w:rsid w:val="0033544B"/>
    <w:rsid w:val="00336248"/>
    <w:rsid w:val="003367C4"/>
    <w:rsid w:val="00336D8E"/>
    <w:rsid w:val="003376B3"/>
    <w:rsid w:val="003379D2"/>
    <w:rsid w:val="00337AB7"/>
    <w:rsid w:val="00337D16"/>
    <w:rsid w:val="00337F2C"/>
    <w:rsid w:val="00340A12"/>
    <w:rsid w:val="003410F8"/>
    <w:rsid w:val="00341230"/>
    <w:rsid w:val="003413F0"/>
    <w:rsid w:val="003415F9"/>
    <w:rsid w:val="00341E2D"/>
    <w:rsid w:val="00342DBA"/>
    <w:rsid w:val="00344146"/>
    <w:rsid w:val="003443D9"/>
    <w:rsid w:val="00345E0B"/>
    <w:rsid w:val="00345EB7"/>
    <w:rsid w:val="00345F9C"/>
    <w:rsid w:val="00346A64"/>
    <w:rsid w:val="00346B0D"/>
    <w:rsid w:val="00347285"/>
    <w:rsid w:val="00347776"/>
    <w:rsid w:val="00347BE8"/>
    <w:rsid w:val="00350D34"/>
    <w:rsid w:val="00350F57"/>
    <w:rsid w:val="003511E8"/>
    <w:rsid w:val="003512D0"/>
    <w:rsid w:val="00351A91"/>
    <w:rsid w:val="00351F15"/>
    <w:rsid w:val="003520C4"/>
    <w:rsid w:val="0035292F"/>
    <w:rsid w:val="00352A26"/>
    <w:rsid w:val="00352FBF"/>
    <w:rsid w:val="003533AE"/>
    <w:rsid w:val="003538F5"/>
    <w:rsid w:val="003540DF"/>
    <w:rsid w:val="0035428A"/>
    <w:rsid w:val="00355A84"/>
    <w:rsid w:val="00355E14"/>
    <w:rsid w:val="00356234"/>
    <w:rsid w:val="0035633C"/>
    <w:rsid w:val="003563B3"/>
    <w:rsid w:val="00356E86"/>
    <w:rsid w:val="00357C5E"/>
    <w:rsid w:val="00357CE5"/>
    <w:rsid w:val="003606AA"/>
    <w:rsid w:val="003607B6"/>
    <w:rsid w:val="003608BD"/>
    <w:rsid w:val="00360E7E"/>
    <w:rsid w:val="00360F81"/>
    <w:rsid w:val="00361280"/>
    <w:rsid w:val="003615F1"/>
    <w:rsid w:val="00361A6E"/>
    <w:rsid w:val="00361E72"/>
    <w:rsid w:val="003626AF"/>
    <w:rsid w:val="003635BC"/>
    <w:rsid w:val="00363BF4"/>
    <w:rsid w:val="00363D7F"/>
    <w:rsid w:val="00363F48"/>
    <w:rsid w:val="00363FE2"/>
    <w:rsid w:val="0036525E"/>
    <w:rsid w:val="00365329"/>
    <w:rsid w:val="00365BD1"/>
    <w:rsid w:val="00365D85"/>
    <w:rsid w:val="00366315"/>
    <w:rsid w:val="0036655E"/>
    <w:rsid w:val="00366671"/>
    <w:rsid w:val="00366A44"/>
    <w:rsid w:val="00367320"/>
    <w:rsid w:val="003673F5"/>
    <w:rsid w:val="00367C66"/>
    <w:rsid w:val="003700B2"/>
    <w:rsid w:val="003701B2"/>
    <w:rsid w:val="00370BEF"/>
    <w:rsid w:val="00371046"/>
    <w:rsid w:val="00371DF9"/>
    <w:rsid w:val="00371E6F"/>
    <w:rsid w:val="00372332"/>
    <w:rsid w:val="0037233D"/>
    <w:rsid w:val="003724C8"/>
    <w:rsid w:val="00372BB5"/>
    <w:rsid w:val="00373461"/>
    <w:rsid w:val="003736EF"/>
    <w:rsid w:val="003737E3"/>
    <w:rsid w:val="003739CD"/>
    <w:rsid w:val="00374207"/>
    <w:rsid w:val="00374A62"/>
    <w:rsid w:val="00376170"/>
    <w:rsid w:val="00376179"/>
    <w:rsid w:val="00376653"/>
    <w:rsid w:val="0037698E"/>
    <w:rsid w:val="00376EAD"/>
    <w:rsid w:val="00377310"/>
    <w:rsid w:val="003807A1"/>
    <w:rsid w:val="00380A1A"/>
    <w:rsid w:val="00380D80"/>
    <w:rsid w:val="00381346"/>
    <w:rsid w:val="0038153F"/>
    <w:rsid w:val="003820C5"/>
    <w:rsid w:val="00382C8F"/>
    <w:rsid w:val="00382D00"/>
    <w:rsid w:val="003835DC"/>
    <w:rsid w:val="00383BF6"/>
    <w:rsid w:val="003844E0"/>
    <w:rsid w:val="0038500E"/>
    <w:rsid w:val="003853C3"/>
    <w:rsid w:val="00385C00"/>
    <w:rsid w:val="00386417"/>
    <w:rsid w:val="0038675E"/>
    <w:rsid w:val="003867E1"/>
    <w:rsid w:val="00386909"/>
    <w:rsid w:val="0038761D"/>
    <w:rsid w:val="0038797C"/>
    <w:rsid w:val="003879F5"/>
    <w:rsid w:val="00387A4C"/>
    <w:rsid w:val="00387CCE"/>
    <w:rsid w:val="003906F8"/>
    <w:rsid w:val="00391C0F"/>
    <w:rsid w:val="00391C7B"/>
    <w:rsid w:val="003926DF"/>
    <w:rsid w:val="0039282F"/>
    <w:rsid w:val="003929D3"/>
    <w:rsid w:val="00392EA1"/>
    <w:rsid w:val="0039327D"/>
    <w:rsid w:val="0039340A"/>
    <w:rsid w:val="003935EE"/>
    <w:rsid w:val="00393EE9"/>
    <w:rsid w:val="0039408A"/>
    <w:rsid w:val="003945F5"/>
    <w:rsid w:val="00395CBB"/>
    <w:rsid w:val="0039673D"/>
    <w:rsid w:val="00396750"/>
    <w:rsid w:val="003968E7"/>
    <w:rsid w:val="00396DBD"/>
    <w:rsid w:val="003975DA"/>
    <w:rsid w:val="0039779C"/>
    <w:rsid w:val="00397893"/>
    <w:rsid w:val="003979EF"/>
    <w:rsid w:val="003A138F"/>
    <w:rsid w:val="003A1B94"/>
    <w:rsid w:val="003A231B"/>
    <w:rsid w:val="003A2407"/>
    <w:rsid w:val="003A2CF0"/>
    <w:rsid w:val="003A309B"/>
    <w:rsid w:val="003A31E7"/>
    <w:rsid w:val="003A33D3"/>
    <w:rsid w:val="003A3504"/>
    <w:rsid w:val="003A3880"/>
    <w:rsid w:val="003A38BB"/>
    <w:rsid w:val="003A4B52"/>
    <w:rsid w:val="003A503D"/>
    <w:rsid w:val="003A5BC5"/>
    <w:rsid w:val="003A5D17"/>
    <w:rsid w:val="003A5D55"/>
    <w:rsid w:val="003A75E6"/>
    <w:rsid w:val="003B09C5"/>
    <w:rsid w:val="003B0ACC"/>
    <w:rsid w:val="003B0C90"/>
    <w:rsid w:val="003B1901"/>
    <w:rsid w:val="003B1D1A"/>
    <w:rsid w:val="003B255B"/>
    <w:rsid w:val="003B26F6"/>
    <w:rsid w:val="003B32D6"/>
    <w:rsid w:val="003B3317"/>
    <w:rsid w:val="003B3D87"/>
    <w:rsid w:val="003B48A0"/>
    <w:rsid w:val="003B4B2F"/>
    <w:rsid w:val="003B4C50"/>
    <w:rsid w:val="003B4E6A"/>
    <w:rsid w:val="003B52D4"/>
    <w:rsid w:val="003B700B"/>
    <w:rsid w:val="003B7585"/>
    <w:rsid w:val="003B7A2F"/>
    <w:rsid w:val="003B7A34"/>
    <w:rsid w:val="003C02F3"/>
    <w:rsid w:val="003C0657"/>
    <w:rsid w:val="003C1487"/>
    <w:rsid w:val="003C15E0"/>
    <w:rsid w:val="003C161A"/>
    <w:rsid w:val="003C1CA5"/>
    <w:rsid w:val="003C1DAB"/>
    <w:rsid w:val="003C1EC7"/>
    <w:rsid w:val="003C3705"/>
    <w:rsid w:val="003C3AA2"/>
    <w:rsid w:val="003C3D8E"/>
    <w:rsid w:val="003C4564"/>
    <w:rsid w:val="003C46C8"/>
    <w:rsid w:val="003C4E10"/>
    <w:rsid w:val="003C57C5"/>
    <w:rsid w:val="003C5E61"/>
    <w:rsid w:val="003C6319"/>
    <w:rsid w:val="003C64A0"/>
    <w:rsid w:val="003C6F0B"/>
    <w:rsid w:val="003C7251"/>
    <w:rsid w:val="003C77EF"/>
    <w:rsid w:val="003C7BA3"/>
    <w:rsid w:val="003D0746"/>
    <w:rsid w:val="003D0E87"/>
    <w:rsid w:val="003D135F"/>
    <w:rsid w:val="003D16EC"/>
    <w:rsid w:val="003D1D4D"/>
    <w:rsid w:val="003D217E"/>
    <w:rsid w:val="003D2211"/>
    <w:rsid w:val="003D2279"/>
    <w:rsid w:val="003D2B3D"/>
    <w:rsid w:val="003D302A"/>
    <w:rsid w:val="003D34FA"/>
    <w:rsid w:val="003D3642"/>
    <w:rsid w:val="003D3D4B"/>
    <w:rsid w:val="003D3F6A"/>
    <w:rsid w:val="003D42DC"/>
    <w:rsid w:val="003D4684"/>
    <w:rsid w:val="003D4727"/>
    <w:rsid w:val="003D473D"/>
    <w:rsid w:val="003D47BC"/>
    <w:rsid w:val="003D4E63"/>
    <w:rsid w:val="003D4E9C"/>
    <w:rsid w:val="003D5EE8"/>
    <w:rsid w:val="003D6295"/>
    <w:rsid w:val="003D7712"/>
    <w:rsid w:val="003D7B43"/>
    <w:rsid w:val="003D7C1A"/>
    <w:rsid w:val="003D7D33"/>
    <w:rsid w:val="003E0893"/>
    <w:rsid w:val="003E0D78"/>
    <w:rsid w:val="003E0E57"/>
    <w:rsid w:val="003E14B1"/>
    <w:rsid w:val="003E1CB1"/>
    <w:rsid w:val="003E221E"/>
    <w:rsid w:val="003E2E7A"/>
    <w:rsid w:val="003E32D3"/>
    <w:rsid w:val="003E3A1D"/>
    <w:rsid w:val="003E3B4D"/>
    <w:rsid w:val="003E3F28"/>
    <w:rsid w:val="003E4196"/>
    <w:rsid w:val="003E6464"/>
    <w:rsid w:val="003E6844"/>
    <w:rsid w:val="003E68B7"/>
    <w:rsid w:val="003E6C7F"/>
    <w:rsid w:val="003E6CA0"/>
    <w:rsid w:val="003E7154"/>
    <w:rsid w:val="003E758F"/>
    <w:rsid w:val="003E7813"/>
    <w:rsid w:val="003E7A2E"/>
    <w:rsid w:val="003F035D"/>
    <w:rsid w:val="003F052D"/>
    <w:rsid w:val="003F06CC"/>
    <w:rsid w:val="003F0D04"/>
    <w:rsid w:val="003F151F"/>
    <w:rsid w:val="003F1F41"/>
    <w:rsid w:val="003F22EB"/>
    <w:rsid w:val="003F2D92"/>
    <w:rsid w:val="003F2FDE"/>
    <w:rsid w:val="003F330B"/>
    <w:rsid w:val="003F35C2"/>
    <w:rsid w:val="003F36AA"/>
    <w:rsid w:val="003F41BE"/>
    <w:rsid w:val="003F4F73"/>
    <w:rsid w:val="003F50FA"/>
    <w:rsid w:val="003F53E2"/>
    <w:rsid w:val="003F59C9"/>
    <w:rsid w:val="003F625C"/>
    <w:rsid w:val="003F646B"/>
    <w:rsid w:val="003F6E40"/>
    <w:rsid w:val="003F6FDF"/>
    <w:rsid w:val="003F70FE"/>
    <w:rsid w:val="003F7A0B"/>
    <w:rsid w:val="004009A5"/>
    <w:rsid w:val="00400ED9"/>
    <w:rsid w:val="00401052"/>
    <w:rsid w:val="00401275"/>
    <w:rsid w:val="004016F5"/>
    <w:rsid w:val="00401AA0"/>
    <w:rsid w:val="004039D8"/>
    <w:rsid w:val="0040433B"/>
    <w:rsid w:val="00404459"/>
    <w:rsid w:val="004045AA"/>
    <w:rsid w:val="00404DDB"/>
    <w:rsid w:val="00405391"/>
    <w:rsid w:val="0040549A"/>
    <w:rsid w:val="00405B71"/>
    <w:rsid w:val="00405CC9"/>
    <w:rsid w:val="0040629B"/>
    <w:rsid w:val="00406B6E"/>
    <w:rsid w:val="00407103"/>
    <w:rsid w:val="0040711E"/>
    <w:rsid w:val="00407D67"/>
    <w:rsid w:val="00407F13"/>
    <w:rsid w:val="0041017E"/>
    <w:rsid w:val="00410C6E"/>
    <w:rsid w:val="00412450"/>
    <w:rsid w:val="004134C9"/>
    <w:rsid w:val="004138DE"/>
    <w:rsid w:val="00413B39"/>
    <w:rsid w:val="00413BF6"/>
    <w:rsid w:val="00413F44"/>
    <w:rsid w:val="0041468A"/>
    <w:rsid w:val="00414B2F"/>
    <w:rsid w:val="00415E58"/>
    <w:rsid w:val="00416231"/>
    <w:rsid w:val="00416487"/>
    <w:rsid w:val="00416E3A"/>
    <w:rsid w:val="00417A6E"/>
    <w:rsid w:val="00420088"/>
    <w:rsid w:val="00420357"/>
    <w:rsid w:val="00420462"/>
    <w:rsid w:val="0042067C"/>
    <w:rsid w:val="00420769"/>
    <w:rsid w:val="004208AB"/>
    <w:rsid w:val="004219EF"/>
    <w:rsid w:val="00421A72"/>
    <w:rsid w:val="00421DA2"/>
    <w:rsid w:val="00422FC3"/>
    <w:rsid w:val="0042338D"/>
    <w:rsid w:val="004234CD"/>
    <w:rsid w:val="00424348"/>
    <w:rsid w:val="004247E2"/>
    <w:rsid w:val="00425A3D"/>
    <w:rsid w:val="00426818"/>
    <w:rsid w:val="00426CD9"/>
    <w:rsid w:val="00427464"/>
    <w:rsid w:val="004274B0"/>
    <w:rsid w:val="00427C8A"/>
    <w:rsid w:val="0043023A"/>
    <w:rsid w:val="004303C3"/>
    <w:rsid w:val="00430FEB"/>
    <w:rsid w:val="004310EE"/>
    <w:rsid w:val="004313F5"/>
    <w:rsid w:val="00431779"/>
    <w:rsid w:val="004322C9"/>
    <w:rsid w:val="00433519"/>
    <w:rsid w:val="00433677"/>
    <w:rsid w:val="004340D5"/>
    <w:rsid w:val="00434880"/>
    <w:rsid w:val="00434A21"/>
    <w:rsid w:val="0043526D"/>
    <w:rsid w:val="00435427"/>
    <w:rsid w:val="00436297"/>
    <w:rsid w:val="0043674B"/>
    <w:rsid w:val="00437623"/>
    <w:rsid w:val="00437A46"/>
    <w:rsid w:val="0044029B"/>
    <w:rsid w:val="00440A88"/>
    <w:rsid w:val="00441065"/>
    <w:rsid w:val="00441879"/>
    <w:rsid w:val="00442158"/>
    <w:rsid w:val="00444230"/>
    <w:rsid w:val="004443A3"/>
    <w:rsid w:val="0044445B"/>
    <w:rsid w:val="004451A3"/>
    <w:rsid w:val="0044589D"/>
    <w:rsid w:val="004458CC"/>
    <w:rsid w:val="004460E9"/>
    <w:rsid w:val="00446A2D"/>
    <w:rsid w:val="00447B6F"/>
    <w:rsid w:val="004508AE"/>
    <w:rsid w:val="00450C60"/>
    <w:rsid w:val="00451120"/>
    <w:rsid w:val="0045339D"/>
    <w:rsid w:val="004534DA"/>
    <w:rsid w:val="00453623"/>
    <w:rsid w:val="00453C11"/>
    <w:rsid w:val="004541A4"/>
    <w:rsid w:val="00454504"/>
    <w:rsid w:val="00454743"/>
    <w:rsid w:val="0045559F"/>
    <w:rsid w:val="004557B0"/>
    <w:rsid w:val="00455923"/>
    <w:rsid w:val="004569DF"/>
    <w:rsid w:val="00456C8B"/>
    <w:rsid w:val="00456D5F"/>
    <w:rsid w:val="00456D8B"/>
    <w:rsid w:val="00456EC4"/>
    <w:rsid w:val="00457057"/>
    <w:rsid w:val="00457946"/>
    <w:rsid w:val="004579FF"/>
    <w:rsid w:val="00457D8B"/>
    <w:rsid w:val="00460618"/>
    <w:rsid w:val="0046068D"/>
    <w:rsid w:val="00460A17"/>
    <w:rsid w:val="00460AC9"/>
    <w:rsid w:val="00460E66"/>
    <w:rsid w:val="0046120A"/>
    <w:rsid w:val="00462227"/>
    <w:rsid w:val="00462359"/>
    <w:rsid w:val="00462987"/>
    <w:rsid w:val="0046298D"/>
    <w:rsid w:val="004629D0"/>
    <w:rsid w:val="00462F79"/>
    <w:rsid w:val="00463049"/>
    <w:rsid w:val="00463438"/>
    <w:rsid w:val="00463A32"/>
    <w:rsid w:val="00463ECE"/>
    <w:rsid w:val="00464677"/>
    <w:rsid w:val="00465388"/>
    <w:rsid w:val="004654CA"/>
    <w:rsid w:val="00465F1E"/>
    <w:rsid w:val="00465FEB"/>
    <w:rsid w:val="00466B11"/>
    <w:rsid w:val="004677C9"/>
    <w:rsid w:val="00467C17"/>
    <w:rsid w:val="00467E60"/>
    <w:rsid w:val="00467FAE"/>
    <w:rsid w:val="00467FFA"/>
    <w:rsid w:val="00470B7F"/>
    <w:rsid w:val="00470CB5"/>
    <w:rsid w:val="00470D82"/>
    <w:rsid w:val="0047162C"/>
    <w:rsid w:val="0047188E"/>
    <w:rsid w:val="00471EAB"/>
    <w:rsid w:val="00471F21"/>
    <w:rsid w:val="004723EE"/>
    <w:rsid w:val="00472E97"/>
    <w:rsid w:val="004730C0"/>
    <w:rsid w:val="004749D3"/>
    <w:rsid w:val="00474D9D"/>
    <w:rsid w:val="00474F9F"/>
    <w:rsid w:val="00475168"/>
    <w:rsid w:val="00475319"/>
    <w:rsid w:val="004758EB"/>
    <w:rsid w:val="00475A92"/>
    <w:rsid w:val="004763D5"/>
    <w:rsid w:val="00476EE3"/>
    <w:rsid w:val="0047773B"/>
    <w:rsid w:val="00477BB9"/>
    <w:rsid w:val="00477DEE"/>
    <w:rsid w:val="00477E3A"/>
    <w:rsid w:val="00477E90"/>
    <w:rsid w:val="00480009"/>
    <w:rsid w:val="004814A1"/>
    <w:rsid w:val="00481B3A"/>
    <w:rsid w:val="004832DA"/>
    <w:rsid w:val="00483E46"/>
    <w:rsid w:val="0048445B"/>
    <w:rsid w:val="0048483E"/>
    <w:rsid w:val="00485241"/>
    <w:rsid w:val="004859EE"/>
    <w:rsid w:val="00485D95"/>
    <w:rsid w:val="0048658C"/>
    <w:rsid w:val="00486E5E"/>
    <w:rsid w:val="00487366"/>
    <w:rsid w:val="004873E4"/>
    <w:rsid w:val="00487B0E"/>
    <w:rsid w:val="00487DBB"/>
    <w:rsid w:val="004901F0"/>
    <w:rsid w:val="0049045D"/>
    <w:rsid w:val="004906A5"/>
    <w:rsid w:val="0049072C"/>
    <w:rsid w:val="00490B62"/>
    <w:rsid w:val="00490FD1"/>
    <w:rsid w:val="00491518"/>
    <w:rsid w:val="00491AD2"/>
    <w:rsid w:val="00492371"/>
    <w:rsid w:val="0049254E"/>
    <w:rsid w:val="00492894"/>
    <w:rsid w:val="00493044"/>
    <w:rsid w:val="004932E8"/>
    <w:rsid w:val="004935C0"/>
    <w:rsid w:val="00493775"/>
    <w:rsid w:val="004937E6"/>
    <w:rsid w:val="00493B18"/>
    <w:rsid w:val="00493B43"/>
    <w:rsid w:val="00493ECC"/>
    <w:rsid w:val="00494076"/>
    <w:rsid w:val="00494105"/>
    <w:rsid w:val="00494388"/>
    <w:rsid w:val="004944F2"/>
    <w:rsid w:val="00494BA1"/>
    <w:rsid w:val="00494EB1"/>
    <w:rsid w:val="004961B9"/>
    <w:rsid w:val="00496414"/>
    <w:rsid w:val="00497A38"/>
    <w:rsid w:val="00497DD4"/>
    <w:rsid w:val="004A00D0"/>
    <w:rsid w:val="004A03FB"/>
    <w:rsid w:val="004A07AB"/>
    <w:rsid w:val="004A1032"/>
    <w:rsid w:val="004A19A0"/>
    <w:rsid w:val="004A1DAB"/>
    <w:rsid w:val="004A1DB4"/>
    <w:rsid w:val="004A2A92"/>
    <w:rsid w:val="004A3283"/>
    <w:rsid w:val="004A3BBA"/>
    <w:rsid w:val="004A45BD"/>
    <w:rsid w:val="004A4656"/>
    <w:rsid w:val="004A479D"/>
    <w:rsid w:val="004A4EEB"/>
    <w:rsid w:val="004A4F3A"/>
    <w:rsid w:val="004A4F4B"/>
    <w:rsid w:val="004A5989"/>
    <w:rsid w:val="004A5B25"/>
    <w:rsid w:val="004A5C3C"/>
    <w:rsid w:val="004A60DB"/>
    <w:rsid w:val="004A62D7"/>
    <w:rsid w:val="004A6A5B"/>
    <w:rsid w:val="004A7142"/>
    <w:rsid w:val="004A7314"/>
    <w:rsid w:val="004A77B0"/>
    <w:rsid w:val="004B03C9"/>
    <w:rsid w:val="004B08A9"/>
    <w:rsid w:val="004B0A0D"/>
    <w:rsid w:val="004B0E46"/>
    <w:rsid w:val="004B1348"/>
    <w:rsid w:val="004B1CED"/>
    <w:rsid w:val="004B1F35"/>
    <w:rsid w:val="004B290C"/>
    <w:rsid w:val="004B34A7"/>
    <w:rsid w:val="004B3B06"/>
    <w:rsid w:val="004B3E78"/>
    <w:rsid w:val="004B3ED5"/>
    <w:rsid w:val="004B4404"/>
    <w:rsid w:val="004B4643"/>
    <w:rsid w:val="004B61CB"/>
    <w:rsid w:val="004B6566"/>
    <w:rsid w:val="004B6579"/>
    <w:rsid w:val="004B6795"/>
    <w:rsid w:val="004B6A2E"/>
    <w:rsid w:val="004B7F67"/>
    <w:rsid w:val="004C0084"/>
    <w:rsid w:val="004C0155"/>
    <w:rsid w:val="004C041D"/>
    <w:rsid w:val="004C06BE"/>
    <w:rsid w:val="004C0938"/>
    <w:rsid w:val="004C16DB"/>
    <w:rsid w:val="004C1994"/>
    <w:rsid w:val="004C1E1F"/>
    <w:rsid w:val="004C2A48"/>
    <w:rsid w:val="004C2B18"/>
    <w:rsid w:val="004C2D57"/>
    <w:rsid w:val="004C2ED6"/>
    <w:rsid w:val="004C3820"/>
    <w:rsid w:val="004C43B0"/>
    <w:rsid w:val="004C4809"/>
    <w:rsid w:val="004C480E"/>
    <w:rsid w:val="004C4A18"/>
    <w:rsid w:val="004C630F"/>
    <w:rsid w:val="004C68C8"/>
    <w:rsid w:val="004C6BA8"/>
    <w:rsid w:val="004C6FF1"/>
    <w:rsid w:val="004C70FC"/>
    <w:rsid w:val="004C73D5"/>
    <w:rsid w:val="004C776F"/>
    <w:rsid w:val="004C7C4D"/>
    <w:rsid w:val="004C7E9A"/>
    <w:rsid w:val="004D00DF"/>
    <w:rsid w:val="004D022C"/>
    <w:rsid w:val="004D027C"/>
    <w:rsid w:val="004D0C38"/>
    <w:rsid w:val="004D24E8"/>
    <w:rsid w:val="004D2675"/>
    <w:rsid w:val="004D2F59"/>
    <w:rsid w:val="004D30F0"/>
    <w:rsid w:val="004D3D19"/>
    <w:rsid w:val="004D4080"/>
    <w:rsid w:val="004D4528"/>
    <w:rsid w:val="004D47BF"/>
    <w:rsid w:val="004D4EA3"/>
    <w:rsid w:val="004D5EAE"/>
    <w:rsid w:val="004D68C2"/>
    <w:rsid w:val="004D6A32"/>
    <w:rsid w:val="004D7AF3"/>
    <w:rsid w:val="004D7EE6"/>
    <w:rsid w:val="004E03E1"/>
    <w:rsid w:val="004E05FD"/>
    <w:rsid w:val="004E0791"/>
    <w:rsid w:val="004E07DE"/>
    <w:rsid w:val="004E088D"/>
    <w:rsid w:val="004E0985"/>
    <w:rsid w:val="004E0D7D"/>
    <w:rsid w:val="004E156E"/>
    <w:rsid w:val="004E1A0D"/>
    <w:rsid w:val="004E23F5"/>
    <w:rsid w:val="004E2E90"/>
    <w:rsid w:val="004E4BAF"/>
    <w:rsid w:val="004E5418"/>
    <w:rsid w:val="004E5924"/>
    <w:rsid w:val="004E63E5"/>
    <w:rsid w:val="004E6A47"/>
    <w:rsid w:val="004E6B76"/>
    <w:rsid w:val="004E6D8F"/>
    <w:rsid w:val="004E6E3E"/>
    <w:rsid w:val="004E73EB"/>
    <w:rsid w:val="004E7C37"/>
    <w:rsid w:val="004F1349"/>
    <w:rsid w:val="004F1437"/>
    <w:rsid w:val="004F3540"/>
    <w:rsid w:val="004F3562"/>
    <w:rsid w:val="004F3794"/>
    <w:rsid w:val="004F4475"/>
    <w:rsid w:val="004F4BAC"/>
    <w:rsid w:val="004F52DB"/>
    <w:rsid w:val="004F5624"/>
    <w:rsid w:val="004F5A7B"/>
    <w:rsid w:val="004F5DA4"/>
    <w:rsid w:val="004F600F"/>
    <w:rsid w:val="004F62B2"/>
    <w:rsid w:val="004F6424"/>
    <w:rsid w:val="004F671A"/>
    <w:rsid w:val="004F6EA2"/>
    <w:rsid w:val="005007A6"/>
    <w:rsid w:val="00500831"/>
    <w:rsid w:val="00500CDA"/>
    <w:rsid w:val="00501A85"/>
    <w:rsid w:val="00502220"/>
    <w:rsid w:val="00502251"/>
    <w:rsid w:val="00502761"/>
    <w:rsid w:val="00502D0F"/>
    <w:rsid w:val="005030DC"/>
    <w:rsid w:val="005040CD"/>
    <w:rsid w:val="00504159"/>
    <w:rsid w:val="00504229"/>
    <w:rsid w:val="005051B1"/>
    <w:rsid w:val="00505229"/>
    <w:rsid w:val="0050603D"/>
    <w:rsid w:val="0050654E"/>
    <w:rsid w:val="0050664B"/>
    <w:rsid w:val="0050692B"/>
    <w:rsid w:val="005069AE"/>
    <w:rsid w:val="00506FA8"/>
    <w:rsid w:val="00507CDB"/>
    <w:rsid w:val="00507D6D"/>
    <w:rsid w:val="00507F98"/>
    <w:rsid w:val="00510706"/>
    <w:rsid w:val="005108A3"/>
    <w:rsid w:val="00510997"/>
    <w:rsid w:val="00510AA4"/>
    <w:rsid w:val="00510D5E"/>
    <w:rsid w:val="00510DB5"/>
    <w:rsid w:val="00510EB4"/>
    <w:rsid w:val="00510F6E"/>
    <w:rsid w:val="005112BC"/>
    <w:rsid w:val="00511422"/>
    <w:rsid w:val="005118AE"/>
    <w:rsid w:val="0051212F"/>
    <w:rsid w:val="005121D4"/>
    <w:rsid w:val="00512967"/>
    <w:rsid w:val="00513132"/>
    <w:rsid w:val="0051359E"/>
    <w:rsid w:val="00514128"/>
    <w:rsid w:val="00514E36"/>
    <w:rsid w:val="0051500B"/>
    <w:rsid w:val="00515343"/>
    <w:rsid w:val="0051587A"/>
    <w:rsid w:val="005158FA"/>
    <w:rsid w:val="00515EEB"/>
    <w:rsid w:val="00516867"/>
    <w:rsid w:val="005168CC"/>
    <w:rsid w:val="005169AD"/>
    <w:rsid w:val="00516F30"/>
    <w:rsid w:val="00517887"/>
    <w:rsid w:val="00517B8F"/>
    <w:rsid w:val="00520842"/>
    <w:rsid w:val="005208B9"/>
    <w:rsid w:val="00520945"/>
    <w:rsid w:val="00520CC0"/>
    <w:rsid w:val="00521630"/>
    <w:rsid w:val="005217D6"/>
    <w:rsid w:val="005218B3"/>
    <w:rsid w:val="005221F0"/>
    <w:rsid w:val="00522577"/>
    <w:rsid w:val="005236B2"/>
    <w:rsid w:val="005239C0"/>
    <w:rsid w:val="00524807"/>
    <w:rsid w:val="00524B31"/>
    <w:rsid w:val="00524C53"/>
    <w:rsid w:val="00524CB4"/>
    <w:rsid w:val="00524EC0"/>
    <w:rsid w:val="005252FE"/>
    <w:rsid w:val="0052534A"/>
    <w:rsid w:val="005257A1"/>
    <w:rsid w:val="00525FF9"/>
    <w:rsid w:val="0052608C"/>
    <w:rsid w:val="00526A42"/>
    <w:rsid w:val="00527482"/>
    <w:rsid w:val="00527684"/>
    <w:rsid w:val="00527AC8"/>
    <w:rsid w:val="00527E28"/>
    <w:rsid w:val="005300B9"/>
    <w:rsid w:val="00531078"/>
    <w:rsid w:val="005313B3"/>
    <w:rsid w:val="00531457"/>
    <w:rsid w:val="00531511"/>
    <w:rsid w:val="005315CF"/>
    <w:rsid w:val="005322C9"/>
    <w:rsid w:val="0053280D"/>
    <w:rsid w:val="00532C41"/>
    <w:rsid w:val="00532D3F"/>
    <w:rsid w:val="0053386D"/>
    <w:rsid w:val="00533B1D"/>
    <w:rsid w:val="00534700"/>
    <w:rsid w:val="0053514C"/>
    <w:rsid w:val="0053642D"/>
    <w:rsid w:val="00536A86"/>
    <w:rsid w:val="00537199"/>
    <w:rsid w:val="00537864"/>
    <w:rsid w:val="0053791F"/>
    <w:rsid w:val="00537B59"/>
    <w:rsid w:val="00537D71"/>
    <w:rsid w:val="00540054"/>
    <w:rsid w:val="005401DE"/>
    <w:rsid w:val="005402F8"/>
    <w:rsid w:val="005406A0"/>
    <w:rsid w:val="005407C8"/>
    <w:rsid w:val="00540A66"/>
    <w:rsid w:val="00540E00"/>
    <w:rsid w:val="00543492"/>
    <w:rsid w:val="00543E25"/>
    <w:rsid w:val="005445CA"/>
    <w:rsid w:val="005446DF"/>
    <w:rsid w:val="00544FA4"/>
    <w:rsid w:val="005455DD"/>
    <w:rsid w:val="0054593C"/>
    <w:rsid w:val="0054625F"/>
    <w:rsid w:val="00546622"/>
    <w:rsid w:val="00546C73"/>
    <w:rsid w:val="00546D6A"/>
    <w:rsid w:val="005470F9"/>
    <w:rsid w:val="0054713C"/>
    <w:rsid w:val="0054717A"/>
    <w:rsid w:val="00547538"/>
    <w:rsid w:val="00550BF6"/>
    <w:rsid w:val="00550CF6"/>
    <w:rsid w:val="0055178D"/>
    <w:rsid w:val="00551C84"/>
    <w:rsid w:val="00552084"/>
    <w:rsid w:val="005522CB"/>
    <w:rsid w:val="00552455"/>
    <w:rsid w:val="005527B8"/>
    <w:rsid w:val="0055347D"/>
    <w:rsid w:val="00553847"/>
    <w:rsid w:val="00553BFA"/>
    <w:rsid w:val="0055478D"/>
    <w:rsid w:val="00554D05"/>
    <w:rsid w:val="00555096"/>
    <w:rsid w:val="0055596B"/>
    <w:rsid w:val="00555E40"/>
    <w:rsid w:val="005569B5"/>
    <w:rsid w:val="00556B49"/>
    <w:rsid w:val="005574AA"/>
    <w:rsid w:val="00557818"/>
    <w:rsid w:val="005578EA"/>
    <w:rsid w:val="00557E42"/>
    <w:rsid w:val="00560029"/>
    <w:rsid w:val="0056062A"/>
    <w:rsid w:val="00560664"/>
    <w:rsid w:val="0056077E"/>
    <w:rsid w:val="00560EDA"/>
    <w:rsid w:val="00561071"/>
    <w:rsid w:val="005618D7"/>
    <w:rsid w:val="00561CEB"/>
    <w:rsid w:val="005622A9"/>
    <w:rsid w:val="0056237E"/>
    <w:rsid w:val="005629EE"/>
    <w:rsid w:val="00563596"/>
    <w:rsid w:val="005635A3"/>
    <w:rsid w:val="00564216"/>
    <w:rsid w:val="005648A9"/>
    <w:rsid w:val="005648FA"/>
    <w:rsid w:val="00564D50"/>
    <w:rsid w:val="005656BC"/>
    <w:rsid w:val="005671AA"/>
    <w:rsid w:val="00567346"/>
    <w:rsid w:val="00567B80"/>
    <w:rsid w:val="005702F1"/>
    <w:rsid w:val="00570739"/>
    <w:rsid w:val="00571592"/>
    <w:rsid w:val="00571869"/>
    <w:rsid w:val="00571B45"/>
    <w:rsid w:val="005729D4"/>
    <w:rsid w:val="00572CDE"/>
    <w:rsid w:val="00573171"/>
    <w:rsid w:val="00573310"/>
    <w:rsid w:val="005734DC"/>
    <w:rsid w:val="0057371B"/>
    <w:rsid w:val="00573DF7"/>
    <w:rsid w:val="00575EA2"/>
    <w:rsid w:val="00575EB8"/>
    <w:rsid w:val="00576019"/>
    <w:rsid w:val="0057613A"/>
    <w:rsid w:val="00576B2F"/>
    <w:rsid w:val="005770FE"/>
    <w:rsid w:val="00577D78"/>
    <w:rsid w:val="005804E3"/>
    <w:rsid w:val="005807B8"/>
    <w:rsid w:val="005808C2"/>
    <w:rsid w:val="00580AA8"/>
    <w:rsid w:val="00580BE0"/>
    <w:rsid w:val="00580F42"/>
    <w:rsid w:val="00581114"/>
    <w:rsid w:val="0058194C"/>
    <w:rsid w:val="00582550"/>
    <w:rsid w:val="00582556"/>
    <w:rsid w:val="005829EF"/>
    <w:rsid w:val="00582A9B"/>
    <w:rsid w:val="00582B15"/>
    <w:rsid w:val="0058324E"/>
    <w:rsid w:val="005832AB"/>
    <w:rsid w:val="00583EE0"/>
    <w:rsid w:val="0058437C"/>
    <w:rsid w:val="0058586C"/>
    <w:rsid w:val="00586E10"/>
    <w:rsid w:val="00586ECA"/>
    <w:rsid w:val="005870D7"/>
    <w:rsid w:val="005900CE"/>
    <w:rsid w:val="00590707"/>
    <w:rsid w:val="005917E1"/>
    <w:rsid w:val="00591B11"/>
    <w:rsid w:val="00591F17"/>
    <w:rsid w:val="00592394"/>
    <w:rsid w:val="005928BE"/>
    <w:rsid w:val="00592917"/>
    <w:rsid w:val="005935F4"/>
    <w:rsid w:val="00593E0A"/>
    <w:rsid w:val="005940DB"/>
    <w:rsid w:val="00594254"/>
    <w:rsid w:val="005942E9"/>
    <w:rsid w:val="0059454D"/>
    <w:rsid w:val="005950F9"/>
    <w:rsid w:val="005954DA"/>
    <w:rsid w:val="005955AD"/>
    <w:rsid w:val="00595D74"/>
    <w:rsid w:val="005A167F"/>
    <w:rsid w:val="005A1990"/>
    <w:rsid w:val="005A1CC3"/>
    <w:rsid w:val="005A20E6"/>
    <w:rsid w:val="005A2A1C"/>
    <w:rsid w:val="005A2B91"/>
    <w:rsid w:val="005A301F"/>
    <w:rsid w:val="005A30A0"/>
    <w:rsid w:val="005A3274"/>
    <w:rsid w:val="005A346E"/>
    <w:rsid w:val="005A37D2"/>
    <w:rsid w:val="005A3B12"/>
    <w:rsid w:val="005A47CF"/>
    <w:rsid w:val="005A48E2"/>
    <w:rsid w:val="005A5537"/>
    <w:rsid w:val="005A5621"/>
    <w:rsid w:val="005A689B"/>
    <w:rsid w:val="005A7017"/>
    <w:rsid w:val="005A73CF"/>
    <w:rsid w:val="005A7579"/>
    <w:rsid w:val="005A7E1B"/>
    <w:rsid w:val="005A7EE8"/>
    <w:rsid w:val="005B06E5"/>
    <w:rsid w:val="005B0E65"/>
    <w:rsid w:val="005B0E9A"/>
    <w:rsid w:val="005B118D"/>
    <w:rsid w:val="005B1BDF"/>
    <w:rsid w:val="005B27ED"/>
    <w:rsid w:val="005B37A0"/>
    <w:rsid w:val="005B3EB1"/>
    <w:rsid w:val="005B3F6F"/>
    <w:rsid w:val="005B43EB"/>
    <w:rsid w:val="005B45BF"/>
    <w:rsid w:val="005B4BFC"/>
    <w:rsid w:val="005B56DB"/>
    <w:rsid w:val="005B5BEF"/>
    <w:rsid w:val="005B70CE"/>
    <w:rsid w:val="005B798B"/>
    <w:rsid w:val="005B7A47"/>
    <w:rsid w:val="005C0285"/>
    <w:rsid w:val="005C0C60"/>
    <w:rsid w:val="005C1782"/>
    <w:rsid w:val="005C1F1E"/>
    <w:rsid w:val="005C1FAE"/>
    <w:rsid w:val="005C20AF"/>
    <w:rsid w:val="005C2A55"/>
    <w:rsid w:val="005C337B"/>
    <w:rsid w:val="005C39E8"/>
    <w:rsid w:val="005C3BA9"/>
    <w:rsid w:val="005C4E48"/>
    <w:rsid w:val="005C4E9F"/>
    <w:rsid w:val="005C520E"/>
    <w:rsid w:val="005C53F0"/>
    <w:rsid w:val="005C5660"/>
    <w:rsid w:val="005C62CE"/>
    <w:rsid w:val="005C64F3"/>
    <w:rsid w:val="005C71E4"/>
    <w:rsid w:val="005C72E3"/>
    <w:rsid w:val="005C7BBD"/>
    <w:rsid w:val="005D0457"/>
    <w:rsid w:val="005D09FB"/>
    <w:rsid w:val="005D0F47"/>
    <w:rsid w:val="005D1071"/>
    <w:rsid w:val="005D11B2"/>
    <w:rsid w:val="005D14DE"/>
    <w:rsid w:val="005D1696"/>
    <w:rsid w:val="005D274B"/>
    <w:rsid w:val="005D29DB"/>
    <w:rsid w:val="005D34CE"/>
    <w:rsid w:val="005D42CB"/>
    <w:rsid w:val="005D4923"/>
    <w:rsid w:val="005D4B68"/>
    <w:rsid w:val="005D4F05"/>
    <w:rsid w:val="005D5BA5"/>
    <w:rsid w:val="005D60C4"/>
    <w:rsid w:val="005D6666"/>
    <w:rsid w:val="005D68F5"/>
    <w:rsid w:val="005D6935"/>
    <w:rsid w:val="005E06CE"/>
    <w:rsid w:val="005E0996"/>
    <w:rsid w:val="005E0B02"/>
    <w:rsid w:val="005E10B7"/>
    <w:rsid w:val="005E11C1"/>
    <w:rsid w:val="005E2057"/>
    <w:rsid w:val="005E20BF"/>
    <w:rsid w:val="005E2563"/>
    <w:rsid w:val="005E2E2F"/>
    <w:rsid w:val="005E30FF"/>
    <w:rsid w:val="005E3927"/>
    <w:rsid w:val="005E394C"/>
    <w:rsid w:val="005E3D5F"/>
    <w:rsid w:val="005E3FAF"/>
    <w:rsid w:val="005E40C3"/>
    <w:rsid w:val="005E4205"/>
    <w:rsid w:val="005E42BF"/>
    <w:rsid w:val="005E4E70"/>
    <w:rsid w:val="005E55C5"/>
    <w:rsid w:val="005E5759"/>
    <w:rsid w:val="005E62B1"/>
    <w:rsid w:val="005E65BB"/>
    <w:rsid w:val="005E7772"/>
    <w:rsid w:val="005F0142"/>
    <w:rsid w:val="005F052B"/>
    <w:rsid w:val="005F074B"/>
    <w:rsid w:val="005F0DA0"/>
    <w:rsid w:val="005F0FA8"/>
    <w:rsid w:val="005F1C1B"/>
    <w:rsid w:val="005F1D99"/>
    <w:rsid w:val="005F23DB"/>
    <w:rsid w:val="005F2767"/>
    <w:rsid w:val="005F2A75"/>
    <w:rsid w:val="005F2F3C"/>
    <w:rsid w:val="005F33AD"/>
    <w:rsid w:val="005F3405"/>
    <w:rsid w:val="005F35EB"/>
    <w:rsid w:val="005F3BA7"/>
    <w:rsid w:val="005F42D1"/>
    <w:rsid w:val="005F4690"/>
    <w:rsid w:val="005F4790"/>
    <w:rsid w:val="005F4914"/>
    <w:rsid w:val="005F49FC"/>
    <w:rsid w:val="005F4B2C"/>
    <w:rsid w:val="005F4D21"/>
    <w:rsid w:val="005F5F6E"/>
    <w:rsid w:val="005F62B7"/>
    <w:rsid w:val="005F6353"/>
    <w:rsid w:val="005F663D"/>
    <w:rsid w:val="005F67FC"/>
    <w:rsid w:val="005F6869"/>
    <w:rsid w:val="005F6B55"/>
    <w:rsid w:val="005F6BB7"/>
    <w:rsid w:val="005F6BB9"/>
    <w:rsid w:val="005F6C89"/>
    <w:rsid w:val="00601109"/>
    <w:rsid w:val="00601C83"/>
    <w:rsid w:val="00602BFA"/>
    <w:rsid w:val="00602E1C"/>
    <w:rsid w:val="00603148"/>
    <w:rsid w:val="00603317"/>
    <w:rsid w:val="00604299"/>
    <w:rsid w:val="00605E05"/>
    <w:rsid w:val="00605E7C"/>
    <w:rsid w:val="0060696A"/>
    <w:rsid w:val="00606D35"/>
    <w:rsid w:val="00606FC7"/>
    <w:rsid w:val="00607F1F"/>
    <w:rsid w:val="00610456"/>
    <w:rsid w:val="0061093B"/>
    <w:rsid w:val="00611216"/>
    <w:rsid w:val="00611371"/>
    <w:rsid w:val="00611473"/>
    <w:rsid w:val="00611487"/>
    <w:rsid w:val="00611AEA"/>
    <w:rsid w:val="00611B36"/>
    <w:rsid w:val="00611EE4"/>
    <w:rsid w:val="00612558"/>
    <w:rsid w:val="00612B09"/>
    <w:rsid w:val="00613A34"/>
    <w:rsid w:val="00613D1A"/>
    <w:rsid w:val="00614546"/>
    <w:rsid w:val="006145F8"/>
    <w:rsid w:val="00614711"/>
    <w:rsid w:val="00614D8E"/>
    <w:rsid w:val="0061582E"/>
    <w:rsid w:val="00615ADA"/>
    <w:rsid w:val="00616382"/>
    <w:rsid w:val="00617158"/>
    <w:rsid w:val="006207F9"/>
    <w:rsid w:val="00620C8F"/>
    <w:rsid w:val="006212B9"/>
    <w:rsid w:val="0062137F"/>
    <w:rsid w:val="00621DAF"/>
    <w:rsid w:val="006221CD"/>
    <w:rsid w:val="00622220"/>
    <w:rsid w:val="00622B27"/>
    <w:rsid w:val="00622CE4"/>
    <w:rsid w:val="00622F13"/>
    <w:rsid w:val="0062342E"/>
    <w:rsid w:val="00623DB4"/>
    <w:rsid w:val="00624097"/>
    <w:rsid w:val="0062459D"/>
    <w:rsid w:val="0062487B"/>
    <w:rsid w:val="006248CA"/>
    <w:rsid w:val="0062541B"/>
    <w:rsid w:val="00625611"/>
    <w:rsid w:val="006260F6"/>
    <w:rsid w:val="006266A9"/>
    <w:rsid w:val="00627FBE"/>
    <w:rsid w:val="00630426"/>
    <w:rsid w:val="006304FB"/>
    <w:rsid w:val="0063157E"/>
    <w:rsid w:val="006316C1"/>
    <w:rsid w:val="0063184E"/>
    <w:rsid w:val="00631ED4"/>
    <w:rsid w:val="00632D15"/>
    <w:rsid w:val="006333C9"/>
    <w:rsid w:val="00633BC7"/>
    <w:rsid w:val="0063450A"/>
    <w:rsid w:val="006356CB"/>
    <w:rsid w:val="00635AC7"/>
    <w:rsid w:val="00635E9C"/>
    <w:rsid w:val="006365ED"/>
    <w:rsid w:val="00636ADE"/>
    <w:rsid w:val="00636D83"/>
    <w:rsid w:val="00636E8E"/>
    <w:rsid w:val="00636F2C"/>
    <w:rsid w:val="0063753F"/>
    <w:rsid w:val="00637B41"/>
    <w:rsid w:val="006409EA"/>
    <w:rsid w:val="00640FFC"/>
    <w:rsid w:val="006414EE"/>
    <w:rsid w:val="006419EB"/>
    <w:rsid w:val="00641B9E"/>
    <w:rsid w:val="00641E3C"/>
    <w:rsid w:val="00641E6E"/>
    <w:rsid w:val="00641FF6"/>
    <w:rsid w:val="0064210F"/>
    <w:rsid w:val="0064223E"/>
    <w:rsid w:val="00642524"/>
    <w:rsid w:val="00642709"/>
    <w:rsid w:val="00642D0A"/>
    <w:rsid w:val="00643EE2"/>
    <w:rsid w:val="0064485B"/>
    <w:rsid w:val="00644E07"/>
    <w:rsid w:val="00645086"/>
    <w:rsid w:val="0064630E"/>
    <w:rsid w:val="0064639E"/>
    <w:rsid w:val="00646EE2"/>
    <w:rsid w:val="00646FE1"/>
    <w:rsid w:val="00647075"/>
    <w:rsid w:val="00647D01"/>
    <w:rsid w:val="00647FFE"/>
    <w:rsid w:val="0065000E"/>
    <w:rsid w:val="006517EC"/>
    <w:rsid w:val="00652567"/>
    <w:rsid w:val="00652E0B"/>
    <w:rsid w:val="00653003"/>
    <w:rsid w:val="0065318D"/>
    <w:rsid w:val="00654A2B"/>
    <w:rsid w:val="0065581D"/>
    <w:rsid w:val="00655BDC"/>
    <w:rsid w:val="00655C2F"/>
    <w:rsid w:val="00655DDD"/>
    <w:rsid w:val="006600B2"/>
    <w:rsid w:val="00660403"/>
    <w:rsid w:val="00661140"/>
    <w:rsid w:val="00662613"/>
    <w:rsid w:val="006629FC"/>
    <w:rsid w:val="006638DA"/>
    <w:rsid w:val="00665029"/>
    <w:rsid w:val="00666099"/>
    <w:rsid w:val="00666207"/>
    <w:rsid w:val="00666520"/>
    <w:rsid w:val="006669C0"/>
    <w:rsid w:val="00667241"/>
    <w:rsid w:val="006675A2"/>
    <w:rsid w:val="006679E2"/>
    <w:rsid w:val="006703E5"/>
    <w:rsid w:val="006704EE"/>
    <w:rsid w:val="006710DD"/>
    <w:rsid w:val="0067161F"/>
    <w:rsid w:val="006717F3"/>
    <w:rsid w:val="00671CF6"/>
    <w:rsid w:val="00671F27"/>
    <w:rsid w:val="00671FC9"/>
    <w:rsid w:val="0067310A"/>
    <w:rsid w:val="00673200"/>
    <w:rsid w:val="00673B08"/>
    <w:rsid w:val="00673B1A"/>
    <w:rsid w:val="00673C53"/>
    <w:rsid w:val="00673DAE"/>
    <w:rsid w:val="0067414A"/>
    <w:rsid w:val="00674407"/>
    <w:rsid w:val="0067501E"/>
    <w:rsid w:val="00675863"/>
    <w:rsid w:val="00675D92"/>
    <w:rsid w:val="00677337"/>
    <w:rsid w:val="006773D2"/>
    <w:rsid w:val="006778BB"/>
    <w:rsid w:val="00677C5E"/>
    <w:rsid w:val="00680581"/>
    <w:rsid w:val="00680A56"/>
    <w:rsid w:val="00680FF5"/>
    <w:rsid w:val="006815D8"/>
    <w:rsid w:val="0068167E"/>
    <w:rsid w:val="00681A41"/>
    <w:rsid w:val="00682199"/>
    <w:rsid w:val="006821B2"/>
    <w:rsid w:val="00682449"/>
    <w:rsid w:val="0068251E"/>
    <w:rsid w:val="006825DD"/>
    <w:rsid w:val="00682DD9"/>
    <w:rsid w:val="00683552"/>
    <w:rsid w:val="00683722"/>
    <w:rsid w:val="0068379F"/>
    <w:rsid w:val="006838C0"/>
    <w:rsid w:val="00683C2B"/>
    <w:rsid w:val="00683E76"/>
    <w:rsid w:val="006849DB"/>
    <w:rsid w:val="0068546E"/>
    <w:rsid w:val="00685856"/>
    <w:rsid w:val="00685901"/>
    <w:rsid w:val="00685BB9"/>
    <w:rsid w:val="006862BF"/>
    <w:rsid w:val="006863AC"/>
    <w:rsid w:val="00686609"/>
    <w:rsid w:val="00686F05"/>
    <w:rsid w:val="00686FE5"/>
    <w:rsid w:val="00687E06"/>
    <w:rsid w:val="0069011A"/>
    <w:rsid w:val="00690127"/>
    <w:rsid w:val="00691BFF"/>
    <w:rsid w:val="00691EB7"/>
    <w:rsid w:val="00692699"/>
    <w:rsid w:val="00692FAA"/>
    <w:rsid w:val="00693274"/>
    <w:rsid w:val="00693963"/>
    <w:rsid w:val="006940E3"/>
    <w:rsid w:val="006949A0"/>
    <w:rsid w:val="0069534F"/>
    <w:rsid w:val="00695360"/>
    <w:rsid w:val="006953C1"/>
    <w:rsid w:val="006958E9"/>
    <w:rsid w:val="00695BFE"/>
    <w:rsid w:val="00696AE2"/>
    <w:rsid w:val="00696EB2"/>
    <w:rsid w:val="006973EE"/>
    <w:rsid w:val="0069741A"/>
    <w:rsid w:val="00697805"/>
    <w:rsid w:val="00697F56"/>
    <w:rsid w:val="006A0105"/>
    <w:rsid w:val="006A0DEA"/>
    <w:rsid w:val="006A0F7D"/>
    <w:rsid w:val="006A1449"/>
    <w:rsid w:val="006A16E9"/>
    <w:rsid w:val="006A1B5F"/>
    <w:rsid w:val="006A1D71"/>
    <w:rsid w:val="006A1F01"/>
    <w:rsid w:val="006A2BF5"/>
    <w:rsid w:val="006A34C8"/>
    <w:rsid w:val="006A399E"/>
    <w:rsid w:val="006A3A82"/>
    <w:rsid w:val="006A3AA5"/>
    <w:rsid w:val="006A3F8A"/>
    <w:rsid w:val="006A5450"/>
    <w:rsid w:val="006A78AF"/>
    <w:rsid w:val="006B0199"/>
    <w:rsid w:val="006B0293"/>
    <w:rsid w:val="006B060E"/>
    <w:rsid w:val="006B0A32"/>
    <w:rsid w:val="006B0BD8"/>
    <w:rsid w:val="006B1D8B"/>
    <w:rsid w:val="006B2330"/>
    <w:rsid w:val="006B2EF5"/>
    <w:rsid w:val="006B2F78"/>
    <w:rsid w:val="006B351D"/>
    <w:rsid w:val="006B3D79"/>
    <w:rsid w:val="006B4557"/>
    <w:rsid w:val="006B4790"/>
    <w:rsid w:val="006B4815"/>
    <w:rsid w:val="006B553D"/>
    <w:rsid w:val="006B62ED"/>
    <w:rsid w:val="006B69CC"/>
    <w:rsid w:val="006B6F56"/>
    <w:rsid w:val="006B7302"/>
    <w:rsid w:val="006B79BE"/>
    <w:rsid w:val="006B7AA8"/>
    <w:rsid w:val="006C0251"/>
    <w:rsid w:val="006C0320"/>
    <w:rsid w:val="006C0CB8"/>
    <w:rsid w:val="006C0E62"/>
    <w:rsid w:val="006C10E6"/>
    <w:rsid w:val="006C13AE"/>
    <w:rsid w:val="006C1624"/>
    <w:rsid w:val="006C1D7E"/>
    <w:rsid w:val="006C2431"/>
    <w:rsid w:val="006C2B9A"/>
    <w:rsid w:val="006C2E38"/>
    <w:rsid w:val="006C3746"/>
    <w:rsid w:val="006C39BB"/>
    <w:rsid w:val="006C3E82"/>
    <w:rsid w:val="006C3F2D"/>
    <w:rsid w:val="006C4095"/>
    <w:rsid w:val="006C4502"/>
    <w:rsid w:val="006C48DD"/>
    <w:rsid w:val="006C6114"/>
    <w:rsid w:val="006D0521"/>
    <w:rsid w:val="006D0709"/>
    <w:rsid w:val="006D0863"/>
    <w:rsid w:val="006D0C43"/>
    <w:rsid w:val="006D10F5"/>
    <w:rsid w:val="006D2268"/>
    <w:rsid w:val="006D2288"/>
    <w:rsid w:val="006D4464"/>
    <w:rsid w:val="006D4573"/>
    <w:rsid w:val="006D4FC4"/>
    <w:rsid w:val="006D5476"/>
    <w:rsid w:val="006D5B97"/>
    <w:rsid w:val="006D5D58"/>
    <w:rsid w:val="006D5E91"/>
    <w:rsid w:val="006D6437"/>
    <w:rsid w:val="006D6B3A"/>
    <w:rsid w:val="006D6B8B"/>
    <w:rsid w:val="006D7696"/>
    <w:rsid w:val="006D7B4A"/>
    <w:rsid w:val="006D7C77"/>
    <w:rsid w:val="006D7E87"/>
    <w:rsid w:val="006E0B06"/>
    <w:rsid w:val="006E0D79"/>
    <w:rsid w:val="006E0DC8"/>
    <w:rsid w:val="006E10A2"/>
    <w:rsid w:val="006E12AB"/>
    <w:rsid w:val="006E14E6"/>
    <w:rsid w:val="006E18C2"/>
    <w:rsid w:val="006E1AEE"/>
    <w:rsid w:val="006E2F52"/>
    <w:rsid w:val="006E32A9"/>
    <w:rsid w:val="006E3360"/>
    <w:rsid w:val="006E3492"/>
    <w:rsid w:val="006E361F"/>
    <w:rsid w:val="006E38F2"/>
    <w:rsid w:val="006E3979"/>
    <w:rsid w:val="006E3B9C"/>
    <w:rsid w:val="006E3FD6"/>
    <w:rsid w:val="006E4E4A"/>
    <w:rsid w:val="006E51A2"/>
    <w:rsid w:val="006E5587"/>
    <w:rsid w:val="006E5678"/>
    <w:rsid w:val="006E62B1"/>
    <w:rsid w:val="006E6A73"/>
    <w:rsid w:val="006E7437"/>
    <w:rsid w:val="006E7A1A"/>
    <w:rsid w:val="006E7B6E"/>
    <w:rsid w:val="006F0B27"/>
    <w:rsid w:val="006F0CFA"/>
    <w:rsid w:val="006F0DE2"/>
    <w:rsid w:val="006F0DE7"/>
    <w:rsid w:val="006F11BD"/>
    <w:rsid w:val="006F25B4"/>
    <w:rsid w:val="006F32C7"/>
    <w:rsid w:val="006F3392"/>
    <w:rsid w:val="006F3495"/>
    <w:rsid w:val="006F3A8D"/>
    <w:rsid w:val="006F417D"/>
    <w:rsid w:val="006F4A8A"/>
    <w:rsid w:val="006F4C7F"/>
    <w:rsid w:val="006F4CED"/>
    <w:rsid w:val="006F5C83"/>
    <w:rsid w:val="006F650F"/>
    <w:rsid w:val="006F67CC"/>
    <w:rsid w:val="006F69B0"/>
    <w:rsid w:val="006F6B89"/>
    <w:rsid w:val="006F6C73"/>
    <w:rsid w:val="006F77E8"/>
    <w:rsid w:val="006F7A59"/>
    <w:rsid w:val="006F7F12"/>
    <w:rsid w:val="007006DD"/>
    <w:rsid w:val="00700C75"/>
    <w:rsid w:val="00701819"/>
    <w:rsid w:val="00701C2D"/>
    <w:rsid w:val="00701D25"/>
    <w:rsid w:val="00702162"/>
    <w:rsid w:val="007026F7"/>
    <w:rsid w:val="00702AFE"/>
    <w:rsid w:val="00703930"/>
    <w:rsid w:val="00703C56"/>
    <w:rsid w:val="007045C8"/>
    <w:rsid w:val="00704ADE"/>
    <w:rsid w:val="0070610E"/>
    <w:rsid w:val="007062F3"/>
    <w:rsid w:val="0070701D"/>
    <w:rsid w:val="00707759"/>
    <w:rsid w:val="00710081"/>
    <w:rsid w:val="00710101"/>
    <w:rsid w:val="00710124"/>
    <w:rsid w:val="00710326"/>
    <w:rsid w:val="00710A26"/>
    <w:rsid w:val="00710B0D"/>
    <w:rsid w:val="00712A6C"/>
    <w:rsid w:val="00712C43"/>
    <w:rsid w:val="00712E33"/>
    <w:rsid w:val="007130C5"/>
    <w:rsid w:val="007132BB"/>
    <w:rsid w:val="007137F5"/>
    <w:rsid w:val="007139C6"/>
    <w:rsid w:val="00713CB5"/>
    <w:rsid w:val="00714140"/>
    <w:rsid w:val="00714373"/>
    <w:rsid w:val="00714E3F"/>
    <w:rsid w:val="00714FAB"/>
    <w:rsid w:val="0071558B"/>
    <w:rsid w:val="00716BF0"/>
    <w:rsid w:val="007174F1"/>
    <w:rsid w:val="0071776A"/>
    <w:rsid w:val="00720F51"/>
    <w:rsid w:val="00720FF4"/>
    <w:rsid w:val="00721189"/>
    <w:rsid w:val="00721348"/>
    <w:rsid w:val="0072199C"/>
    <w:rsid w:val="00721EFC"/>
    <w:rsid w:val="007221C3"/>
    <w:rsid w:val="0072257C"/>
    <w:rsid w:val="007227E4"/>
    <w:rsid w:val="00722F2C"/>
    <w:rsid w:val="00723427"/>
    <w:rsid w:val="00723867"/>
    <w:rsid w:val="00723B0E"/>
    <w:rsid w:val="00723D2B"/>
    <w:rsid w:val="00723ED0"/>
    <w:rsid w:val="00723EE7"/>
    <w:rsid w:val="00723F20"/>
    <w:rsid w:val="007242A8"/>
    <w:rsid w:val="0072462D"/>
    <w:rsid w:val="00724DC0"/>
    <w:rsid w:val="007254D1"/>
    <w:rsid w:val="00725B32"/>
    <w:rsid w:val="00725B3C"/>
    <w:rsid w:val="007261FA"/>
    <w:rsid w:val="00726359"/>
    <w:rsid w:val="007267DB"/>
    <w:rsid w:val="007268B6"/>
    <w:rsid w:val="00726EE4"/>
    <w:rsid w:val="00727204"/>
    <w:rsid w:val="0072799C"/>
    <w:rsid w:val="00727D53"/>
    <w:rsid w:val="00730007"/>
    <w:rsid w:val="0073088B"/>
    <w:rsid w:val="00730E5E"/>
    <w:rsid w:val="00731E7C"/>
    <w:rsid w:val="00731EEC"/>
    <w:rsid w:val="0073257A"/>
    <w:rsid w:val="00732F0D"/>
    <w:rsid w:val="00733D54"/>
    <w:rsid w:val="0073441D"/>
    <w:rsid w:val="00734CEE"/>
    <w:rsid w:val="00735420"/>
    <w:rsid w:val="00735AFE"/>
    <w:rsid w:val="007367FE"/>
    <w:rsid w:val="00736A4F"/>
    <w:rsid w:val="00736B76"/>
    <w:rsid w:val="00736F14"/>
    <w:rsid w:val="00737617"/>
    <w:rsid w:val="00737753"/>
    <w:rsid w:val="00737768"/>
    <w:rsid w:val="00737D34"/>
    <w:rsid w:val="00737F4C"/>
    <w:rsid w:val="00737FFA"/>
    <w:rsid w:val="00740BB8"/>
    <w:rsid w:val="00740CE2"/>
    <w:rsid w:val="00740CE9"/>
    <w:rsid w:val="00740ED5"/>
    <w:rsid w:val="00741E1A"/>
    <w:rsid w:val="007428E3"/>
    <w:rsid w:val="00742FDC"/>
    <w:rsid w:val="007430D9"/>
    <w:rsid w:val="007431D5"/>
    <w:rsid w:val="0074394E"/>
    <w:rsid w:val="00743BED"/>
    <w:rsid w:val="0074422D"/>
    <w:rsid w:val="00744438"/>
    <w:rsid w:val="00744FAD"/>
    <w:rsid w:val="00745394"/>
    <w:rsid w:val="00745EB3"/>
    <w:rsid w:val="0074651D"/>
    <w:rsid w:val="00746C33"/>
    <w:rsid w:val="00746DB2"/>
    <w:rsid w:val="007474EC"/>
    <w:rsid w:val="00747862"/>
    <w:rsid w:val="00747AF2"/>
    <w:rsid w:val="00750D0A"/>
    <w:rsid w:val="00751BA8"/>
    <w:rsid w:val="00751CA7"/>
    <w:rsid w:val="00751D93"/>
    <w:rsid w:val="00751F6D"/>
    <w:rsid w:val="00752295"/>
    <w:rsid w:val="00752300"/>
    <w:rsid w:val="00752478"/>
    <w:rsid w:val="00752719"/>
    <w:rsid w:val="00752A46"/>
    <w:rsid w:val="00752DFE"/>
    <w:rsid w:val="00753BF5"/>
    <w:rsid w:val="0075449C"/>
    <w:rsid w:val="007546E5"/>
    <w:rsid w:val="007546F8"/>
    <w:rsid w:val="0075579B"/>
    <w:rsid w:val="00755B81"/>
    <w:rsid w:val="00755BAB"/>
    <w:rsid w:val="00755BF3"/>
    <w:rsid w:val="00756EFC"/>
    <w:rsid w:val="00756F18"/>
    <w:rsid w:val="007572FC"/>
    <w:rsid w:val="00757A6D"/>
    <w:rsid w:val="0076080E"/>
    <w:rsid w:val="0076089E"/>
    <w:rsid w:val="00761CE7"/>
    <w:rsid w:val="00761D67"/>
    <w:rsid w:val="0076307D"/>
    <w:rsid w:val="00763080"/>
    <w:rsid w:val="0076325E"/>
    <w:rsid w:val="0076370B"/>
    <w:rsid w:val="0076411D"/>
    <w:rsid w:val="00764404"/>
    <w:rsid w:val="00765288"/>
    <w:rsid w:val="007655B4"/>
    <w:rsid w:val="0076567A"/>
    <w:rsid w:val="00766179"/>
    <w:rsid w:val="007663BB"/>
    <w:rsid w:val="007670F8"/>
    <w:rsid w:val="007671D4"/>
    <w:rsid w:val="00770A85"/>
    <w:rsid w:val="00771186"/>
    <w:rsid w:val="00771222"/>
    <w:rsid w:val="007712F5"/>
    <w:rsid w:val="007714F2"/>
    <w:rsid w:val="00771538"/>
    <w:rsid w:val="007717E6"/>
    <w:rsid w:val="00771CED"/>
    <w:rsid w:val="00771D7E"/>
    <w:rsid w:val="00772623"/>
    <w:rsid w:val="00773A2E"/>
    <w:rsid w:val="00773DC9"/>
    <w:rsid w:val="007746CB"/>
    <w:rsid w:val="00774FD9"/>
    <w:rsid w:val="0077538C"/>
    <w:rsid w:val="0077572E"/>
    <w:rsid w:val="00775A5A"/>
    <w:rsid w:val="00776BA3"/>
    <w:rsid w:val="00777BE4"/>
    <w:rsid w:val="00777DB4"/>
    <w:rsid w:val="0078031B"/>
    <w:rsid w:val="007803BA"/>
    <w:rsid w:val="00780B7D"/>
    <w:rsid w:val="00781604"/>
    <w:rsid w:val="00781732"/>
    <w:rsid w:val="00782015"/>
    <w:rsid w:val="00782261"/>
    <w:rsid w:val="00782D1E"/>
    <w:rsid w:val="00784794"/>
    <w:rsid w:val="00784AC8"/>
    <w:rsid w:val="00784F44"/>
    <w:rsid w:val="00785A9A"/>
    <w:rsid w:val="00786202"/>
    <w:rsid w:val="0078635F"/>
    <w:rsid w:val="00786672"/>
    <w:rsid w:val="00786818"/>
    <w:rsid w:val="00786B42"/>
    <w:rsid w:val="007870BF"/>
    <w:rsid w:val="007872CF"/>
    <w:rsid w:val="00787C32"/>
    <w:rsid w:val="00790DD0"/>
    <w:rsid w:val="007915C0"/>
    <w:rsid w:val="0079169E"/>
    <w:rsid w:val="00791F0B"/>
    <w:rsid w:val="0079201C"/>
    <w:rsid w:val="00792183"/>
    <w:rsid w:val="00792684"/>
    <w:rsid w:val="00792BE9"/>
    <w:rsid w:val="00792CD1"/>
    <w:rsid w:val="00792E66"/>
    <w:rsid w:val="0079307F"/>
    <w:rsid w:val="007934C9"/>
    <w:rsid w:val="00793563"/>
    <w:rsid w:val="0079356F"/>
    <w:rsid w:val="00793C19"/>
    <w:rsid w:val="007940C5"/>
    <w:rsid w:val="0079470F"/>
    <w:rsid w:val="007947C4"/>
    <w:rsid w:val="00794919"/>
    <w:rsid w:val="00795812"/>
    <w:rsid w:val="00795BFA"/>
    <w:rsid w:val="00795CE1"/>
    <w:rsid w:val="00796B93"/>
    <w:rsid w:val="00796C53"/>
    <w:rsid w:val="00796CD4"/>
    <w:rsid w:val="00797626"/>
    <w:rsid w:val="007A03F5"/>
    <w:rsid w:val="007A0646"/>
    <w:rsid w:val="007A06AC"/>
    <w:rsid w:val="007A0A14"/>
    <w:rsid w:val="007A17D0"/>
    <w:rsid w:val="007A1B2F"/>
    <w:rsid w:val="007A2734"/>
    <w:rsid w:val="007A2AC3"/>
    <w:rsid w:val="007A4636"/>
    <w:rsid w:val="007A4E9C"/>
    <w:rsid w:val="007A5008"/>
    <w:rsid w:val="007A50DA"/>
    <w:rsid w:val="007A541A"/>
    <w:rsid w:val="007A5719"/>
    <w:rsid w:val="007A5EE9"/>
    <w:rsid w:val="007A6307"/>
    <w:rsid w:val="007A7377"/>
    <w:rsid w:val="007A73D7"/>
    <w:rsid w:val="007A743E"/>
    <w:rsid w:val="007A76F6"/>
    <w:rsid w:val="007A7C1A"/>
    <w:rsid w:val="007B002A"/>
    <w:rsid w:val="007B0577"/>
    <w:rsid w:val="007B1014"/>
    <w:rsid w:val="007B103F"/>
    <w:rsid w:val="007B1484"/>
    <w:rsid w:val="007B1A10"/>
    <w:rsid w:val="007B1B0F"/>
    <w:rsid w:val="007B1D66"/>
    <w:rsid w:val="007B1F2C"/>
    <w:rsid w:val="007B20A2"/>
    <w:rsid w:val="007B2537"/>
    <w:rsid w:val="007B2863"/>
    <w:rsid w:val="007B290D"/>
    <w:rsid w:val="007B2F03"/>
    <w:rsid w:val="007B31AB"/>
    <w:rsid w:val="007B3268"/>
    <w:rsid w:val="007B37F1"/>
    <w:rsid w:val="007B3C78"/>
    <w:rsid w:val="007B3D59"/>
    <w:rsid w:val="007B42D3"/>
    <w:rsid w:val="007B4444"/>
    <w:rsid w:val="007B46D9"/>
    <w:rsid w:val="007B470B"/>
    <w:rsid w:val="007B51F4"/>
    <w:rsid w:val="007B5D8C"/>
    <w:rsid w:val="007B6659"/>
    <w:rsid w:val="007B69E4"/>
    <w:rsid w:val="007B6C39"/>
    <w:rsid w:val="007B6CC7"/>
    <w:rsid w:val="007B715D"/>
    <w:rsid w:val="007B76AB"/>
    <w:rsid w:val="007B7704"/>
    <w:rsid w:val="007B7DBD"/>
    <w:rsid w:val="007C000D"/>
    <w:rsid w:val="007C05E4"/>
    <w:rsid w:val="007C06E0"/>
    <w:rsid w:val="007C089B"/>
    <w:rsid w:val="007C09EA"/>
    <w:rsid w:val="007C19A5"/>
    <w:rsid w:val="007C264B"/>
    <w:rsid w:val="007C2D9F"/>
    <w:rsid w:val="007C2EA3"/>
    <w:rsid w:val="007C2EDA"/>
    <w:rsid w:val="007C303C"/>
    <w:rsid w:val="007C33E4"/>
    <w:rsid w:val="007C3F2F"/>
    <w:rsid w:val="007C420B"/>
    <w:rsid w:val="007C45D3"/>
    <w:rsid w:val="007C597B"/>
    <w:rsid w:val="007C679B"/>
    <w:rsid w:val="007C74FF"/>
    <w:rsid w:val="007C760C"/>
    <w:rsid w:val="007D0176"/>
    <w:rsid w:val="007D08FD"/>
    <w:rsid w:val="007D12E8"/>
    <w:rsid w:val="007D1584"/>
    <w:rsid w:val="007D1E26"/>
    <w:rsid w:val="007D1E36"/>
    <w:rsid w:val="007D2011"/>
    <w:rsid w:val="007D2044"/>
    <w:rsid w:val="007D21C6"/>
    <w:rsid w:val="007D26D4"/>
    <w:rsid w:val="007D27EC"/>
    <w:rsid w:val="007D2C02"/>
    <w:rsid w:val="007D3E4E"/>
    <w:rsid w:val="007D41ED"/>
    <w:rsid w:val="007D4B38"/>
    <w:rsid w:val="007D4F33"/>
    <w:rsid w:val="007D554B"/>
    <w:rsid w:val="007D5CDC"/>
    <w:rsid w:val="007D65C7"/>
    <w:rsid w:val="007D6687"/>
    <w:rsid w:val="007D74D2"/>
    <w:rsid w:val="007D78E5"/>
    <w:rsid w:val="007D79B5"/>
    <w:rsid w:val="007D7E93"/>
    <w:rsid w:val="007D7F8C"/>
    <w:rsid w:val="007E021C"/>
    <w:rsid w:val="007E06C3"/>
    <w:rsid w:val="007E2334"/>
    <w:rsid w:val="007E23CE"/>
    <w:rsid w:val="007E2A20"/>
    <w:rsid w:val="007E2B10"/>
    <w:rsid w:val="007E2CE7"/>
    <w:rsid w:val="007E3144"/>
    <w:rsid w:val="007E34BE"/>
    <w:rsid w:val="007E3CDB"/>
    <w:rsid w:val="007E3FAA"/>
    <w:rsid w:val="007E436D"/>
    <w:rsid w:val="007E43D0"/>
    <w:rsid w:val="007E4F00"/>
    <w:rsid w:val="007E517A"/>
    <w:rsid w:val="007E5231"/>
    <w:rsid w:val="007E54F8"/>
    <w:rsid w:val="007E57B2"/>
    <w:rsid w:val="007E5987"/>
    <w:rsid w:val="007E5BA2"/>
    <w:rsid w:val="007E5BD8"/>
    <w:rsid w:val="007E5C01"/>
    <w:rsid w:val="007E5EAF"/>
    <w:rsid w:val="007E7BF9"/>
    <w:rsid w:val="007F02BC"/>
    <w:rsid w:val="007F086A"/>
    <w:rsid w:val="007F183F"/>
    <w:rsid w:val="007F18B9"/>
    <w:rsid w:val="007F1A6A"/>
    <w:rsid w:val="007F1D17"/>
    <w:rsid w:val="007F1DF2"/>
    <w:rsid w:val="007F1EAD"/>
    <w:rsid w:val="007F20D7"/>
    <w:rsid w:val="007F2E65"/>
    <w:rsid w:val="007F3CE7"/>
    <w:rsid w:val="007F43BA"/>
    <w:rsid w:val="007F45D1"/>
    <w:rsid w:val="007F4FD3"/>
    <w:rsid w:val="007F57C5"/>
    <w:rsid w:val="007F6368"/>
    <w:rsid w:val="007F64BE"/>
    <w:rsid w:val="007F6DC3"/>
    <w:rsid w:val="007F6FBF"/>
    <w:rsid w:val="007F7588"/>
    <w:rsid w:val="007F7A5E"/>
    <w:rsid w:val="008006B4"/>
    <w:rsid w:val="008007F6"/>
    <w:rsid w:val="00800F09"/>
    <w:rsid w:val="00800F6B"/>
    <w:rsid w:val="008013E7"/>
    <w:rsid w:val="008015B6"/>
    <w:rsid w:val="00801657"/>
    <w:rsid w:val="0080176C"/>
    <w:rsid w:val="00802151"/>
    <w:rsid w:val="00802E9E"/>
    <w:rsid w:val="00803A1B"/>
    <w:rsid w:val="00803B69"/>
    <w:rsid w:val="00803FD4"/>
    <w:rsid w:val="0080481C"/>
    <w:rsid w:val="00804C54"/>
    <w:rsid w:val="008056DD"/>
    <w:rsid w:val="00806189"/>
    <w:rsid w:val="00806285"/>
    <w:rsid w:val="00806A07"/>
    <w:rsid w:val="00807401"/>
    <w:rsid w:val="0080770D"/>
    <w:rsid w:val="00807A54"/>
    <w:rsid w:val="00807A71"/>
    <w:rsid w:val="0081010B"/>
    <w:rsid w:val="0081104C"/>
    <w:rsid w:val="00811E30"/>
    <w:rsid w:val="008121F2"/>
    <w:rsid w:val="0081229E"/>
    <w:rsid w:val="00812D16"/>
    <w:rsid w:val="00812E34"/>
    <w:rsid w:val="00813D48"/>
    <w:rsid w:val="00814AB5"/>
    <w:rsid w:val="00815734"/>
    <w:rsid w:val="00816771"/>
    <w:rsid w:val="00816C51"/>
    <w:rsid w:val="00816DE3"/>
    <w:rsid w:val="00817A72"/>
    <w:rsid w:val="00817BA4"/>
    <w:rsid w:val="00817E27"/>
    <w:rsid w:val="008209A2"/>
    <w:rsid w:val="00821865"/>
    <w:rsid w:val="0082193D"/>
    <w:rsid w:val="00821B74"/>
    <w:rsid w:val="00821EE1"/>
    <w:rsid w:val="00821F29"/>
    <w:rsid w:val="008225EB"/>
    <w:rsid w:val="00822737"/>
    <w:rsid w:val="00822A1C"/>
    <w:rsid w:val="0082327D"/>
    <w:rsid w:val="0082396A"/>
    <w:rsid w:val="00824060"/>
    <w:rsid w:val="0082433D"/>
    <w:rsid w:val="00824515"/>
    <w:rsid w:val="00824FF3"/>
    <w:rsid w:val="00825134"/>
    <w:rsid w:val="00826266"/>
    <w:rsid w:val="00826509"/>
    <w:rsid w:val="0082652E"/>
    <w:rsid w:val="00826AF6"/>
    <w:rsid w:val="00830612"/>
    <w:rsid w:val="00830BF2"/>
    <w:rsid w:val="00830E30"/>
    <w:rsid w:val="00831874"/>
    <w:rsid w:val="00831D8D"/>
    <w:rsid w:val="00832543"/>
    <w:rsid w:val="008326E7"/>
    <w:rsid w:val="00832BDE"/>
    <w:rsid w:val="00833126"/>
    <w:rsid w:val="0083350A"/>
    <w:rsid w:val="0083354D"/>
    <w:rsid w:val="008338FB"/>
    <w:rsid w:val="008343D4"/>
    <w:rsid w:val="008344E6"/>
    <w:rsid w:val="00834E37"/>
    <w:rsid w:val="00834FD8"/>
    <w:rsid w:val="00835076"/>
    <w:rsid w:val="0083561B"/>
    <w:rsid w:val="00835EF4"/>
    <w:rsid w:val="00837338"/>
    <w:rsid w:val="00837D78"/>
    <w:rsid w:val="00840D79"/>
    <w:rsid w:val="00841DC3"/>
    <w:rsid w:val="00841F97"/>
    <w:rsid w:val="00841F9C"/>
    <w:rsid w:val="00842A21"/>
    <w:rsid w:val="00842F78"/>
    <w:rsid w:val="00842F8E"/>
    <w:rsid w:val="00843C1B"/>
    <w:rsid w:val="00844064"/>
    <w:rsid w:val="008450FB"/>
    <w:rsid w:val="00845AAA"/>
    <w:rsid w:val="00845BB3"/>
    <w:rsid w:val="00845DAD"/>
    <w:rsid w:val="008465DB"/>
    <w:rsid w:val="00846927"/>
    <w:rsid w:val="0084724A"/>
    <w:rsid w:val="008475FD"/>
    <w:rsid w:val="00847F1F"/>
    <w:rsid w:val="00851377"/>
    <w:rsid w:val="00851E5B"/>
    <w:rsid w:val="008524A2"/>
    <w:rsid w:val="008529B8"/>
    <w:rsid w:val="008529BF"/>
    <w:rsid w:val="0085437C"/>
    <w:rsid w:val="00854B2F"/>
    <w:rsid w:val="00855481"/>
    <w:rsid w:val="00855553"/>
    <w:rsid w:val="0085594E"/>
    <w:rsid w:val="00856354"/>
    <w:rsid w:val="00856813"/>
    <w:rsid w:val="008568E1"/>
    <w:rsid w:val="00856BE9"/>
    <w:rsid w:val="008578F8"/>
    <w:rsid w:val="00860566"/>
    <w:rsid w:val="0086125D"/>
    <w:rsid w:val="0086129A"/>
    <w:rsid w:val="0086165C"/>
    <w:rsid w:val="00861B26"/>
    <w:rsid w:val="00862815"/>
    <w:rsid w:val="00862EED"/>
    <w:rsid w:val="008630FF"/>
    <w:rsid w:val="00863E08"/>
    <w:rsid w:val="00863E8A"/>
    <w:rsid w:val="008643D1"/>
    <w:rsid w:val="008643FC"/>
    <w:rsid w:val="0086478A"/>
    <w:rsid w:val="008649B9"/>
    <w:rsid w:val="00864FDB"/>
    <w:rsid w:val="00865031"/>
    <w:rsid w:val="00865C60"/>
    <w:rsid w:val="0086629E"/>
    <w:rsid w:val="008666FF"/>
    <w:rsid w:val="00866A29"/>
    <w:rsid w:val="00866DFD"/>
    <w:rsid w:val="00867007"/>
    <w:rsid w:val="008672FF"/>
    <w:rsid w:val="00867509"/>
    <w:rsid w:val="0086784F"/>
    <w:rsid w:val="00867DCE"/>
    <w:rsid w:val="0087032C"/>
    <w:rsid w:val="00870394"/>
    <w:rsid w:val="008706B1"/>
    <w:rsid w:val="0087073B"/>
    <w:rsid w:val="008714A0"/>
    <w:rsid w:val="00871AD2"/>
    <w:rsid w:val="00872939"/>
    <w:rsid w:val="00873967"/>
    <w:rsid w:val="00873A3B"/>
    <w:rsid w:val="008743BB"/>
    <w:rsid w:val="00874552"/>
    <w:rsid w:val="008747A8"/>
    <w:rsid w:val="0087492E"/>
    <w:rsid w:val="008749B2"/>
    <w:rsid w:val="008764E7"/>
    <w:rsid w:val="00876A86"/>
    <w:rsid w:val="00877017"/>
    <w:rsid w:val="008770D4"/>
    <w:rsid w:val="0087731B"/>
    <w:rsid w:val="00877581"/>
    <w:rsid w:val="008779CE"/>
    <w:rsid w:val="008800E5"/>
    <w:rsid w:val="008803A9"/>
    <w:rsid w:val="00880710"/>
    <w:rsid w:val="00880FC7"/>
    <w:rsid w:val="0088127F"/>
    <w:rsid w:val="008815EF"/>
    <w:rsid w:val="00881763"/>
    <w:rsid w:val="0088177A"/>
    <w:rsid w:val="00882192"/>
    <w:rsid w:val="008822EE"/>
    <w:rsid w:val="008823CB"/>
    <w:rsid w:val="00883A7E"/>
    <w:rsid w:val="00883ED5"/>
    <w:rsid w:val="00884C14"/>
    <w:rsid w:val="00885273"/>
    <w:rsid w:val="008859C7"/>
    <w:rsid w:val="00885DEF"/>
    <w:rsid w:val="00885E31"/>
    <w:rsid w:val="00885F2C"/>
    <w:rsid w:val="00886386"/>
    <w:rsid w:val="008869B5"/>
    <w:rsid w:val="00886E52"/>
    <w:rsid w:val="0088701C"/>
    <w:rsid w:val="0088772A"/>
    <w:rsid w:val="00890C44"/>
    <w:rsid w:val="0089113B"/>
    <w:rsid w:val="008911BC"/>
    <w:rsid w:val="00892459"/>
    <w:rsid w:val="008929AA"/>
    <w:rsid w:val="00892AA5"/>
    <w:rsid w:val="00893C35"/>
    <w:rsid w:val="0089499B"/>
    <w:rsid w:val="00894ACA"/>
    <w:rsid w:val="00894EC5"/>
    <w:rsid w:val="00894ED0"/>
    <w:rsid w:val="008950F5"/>
    <w:rsid w:val="0089548C"/>
    <w:rsid w:val="00895F1F"/>
    <w:rsid w:val="00896658"/>
    <w:rsid w:val="008967B5"/>
    <w:rsid w:val="008969EA"/>
    <w:rsid w:val="008971E2"/>
    <w:rsid w:val="00897D78"/>
    <w:rsid w:val="00897E42"/>
    <w:rsid w:val="008A03AC"/>
    <w:rsid w:val="008A05A2"/>
    <w:rsid w:val="008A1008"/>
    <w:rsid w:val="008A1290"/>
    <w:rsid w:val="008A12AB"/>
    <w:rsid w:val="008A305C"/>
    <w:rsid w:val="008A345A"/>
    <w:rsid w:val="008A3DB9"/>
    <w:rsid w:val="008A3F61"/>
    <w:rsid w:val="008A40E3"/>
    <w:rsid w:val="008A4159"/>
    <w:rsid w:val="008A4640"/>
    <w:rsid w:val="008A5393"/>
    <w:rsid w:val="008A5528"/>
    <w:rsid w:val="008A5545"/>
    <w:rsid w:val="008A5ECF"/>
    <w:rsid w:val="008A6334"/>
    <w:rsid w:val="008A6A5C"/>
    <w:rsid w:val="008A6B5E"/>
    <w:rsid w:val="008A7053"/>
    <w:rsid w:val="008A7316"/>
    <w:rsid w:val="008A7CE9"/>
    <w:rsid w:val="008A7E18"/>
    <w:rsid w:val="008A7E98"/>
    <w:rsid w:val="008A7F89"/>
    <w:rsid w:val="008A7FF4"/>
    <w:rsid w:val="008B0854"/>
    <w:rsid w:val="008B08FD"/>
    <w:rsid w:val="008B16D5"/>
    <w:rsid w:val="008B16D9"/>
    <w:rsid w:val="008B1F3D"/>
    <w:rsid w:val="008B2B59"/>
    <w:rsid w:val="008B40DE"/>
    <w:rsid w:val="008B438B"/>
    <w:rsid w:val="008B488B"/>
    <w:rsid w:val="008B4A1C"/>
    <w:rsid w:val="008B4E84"/>
    <w:rsid w:val="008B4FF2"/>
    <w:rsid w:val="008B500A"/>
    <w:rsid w:val="008B57CF"/>
    <w:rsid w:val="008B5D18"/>
    <w:rsid w:val="008B6B25"/>
    <w:rsid w:val="008B76B0"/>
    <w:rsid w:val="008B7779"/>
    <w:rsid w:val="008B7D2F"/>
    <w:rsid w:val="008B7E81"/>
    <w:rsid w:val="008C090B"/>
    <w:rsid w:val="008C1610"/>
    <w:rsid w:val="008C2619"/>
    <w:rsid w:val="008C261A"/>
    <w:rsid w:val="008C2793"/>
    <w:rsid w:val="008C2918"/>
    <w:rsid w:val="008C2F1E"/>
    <w:rsid w:val="008C30E5"/>
    <w:rsid w:val="008C3B5B"/>
    <w:rsid w:val="008C409F"/>
    <w:rsid w:val="008C4163"/>
    <w:rsid w:val="008C4530"/>
    <w:rsid w:val="008C493F"/>
    <w:rsid w:val="008C51C2"/>
    <w:rsid w:val="008C5B25"/>
    <w:rsid w:val="008C5EF8"/>
    <w:rsid w:val="008C602D"/>
    <w:rsid w:val="008C64EE"/>
    <w:rsid w:val="008C6737"/>
    <w:rsid w:val="008C6BCC"/>
    <w:rsid w:val="008C6C85"/>
    <w:rsid w:val="008C6FFD"/>
    <w:rsid w:val="008C766A"/>
    <w:rsid w:val="008C79DE"/>
    <w:rsid w:val="008C7B51"/>
    <w:rsid w:val="008D098D"/>
    <w:rsid w:val="008D135A"/>
    <w:rsid w:val="008D198F"/>
    <w:rsid w:val="008D1C61"/>
    <w:rsid w:val="008D1D59"/>
    <w:rsid w:val="008D2205"/>
    <w:rsid w:val="008D2276"/>
    <w:rsid w:val="008D2331"/>
    <w:rsid w:val="008D2DCC"/>
    <w:rsid w:val="008D347F"/>
    <w:rsid w:val="008D35AD"/>
    <w:rsid w:val="008D36CD"/>
    <w:rsid w:val="008D3863"/>
    <w:rsid w:val="008D4367"/>
    <w:rsid w:val="008D4380"/>
    <w:rsid w:val="008D4616"/>
    <w:rsid w:val="008D48D1"/>
    <w:rsid w:val="008D49A6"/>
    <w:rsid w:val="008D4A71"/>
    <w:rsid w:val="008D4B5A"/>
    <w:rsid w:val="008D572B"/>
    <w:rsid w:val="008D5735"/>
    <w:rsid w:val="008D5B4B"/>
    <w:rsid w:val="008D64F5"/>
    <w:rsid w:val="008D6BE8"/>
    <w:rsid w:val="008D6D8E"/>
    <w:rsid w:val="008D6DA0"/>
    <w:rsid w:val="008D781C"/>
    <w:rsid w:val="008D7DB1"/>
    <w:rsid w:val="008E0979"/>
    <w:rsid w:val="008E0A40"/>
    <w:rsid w:val="008E0CD1"/>
    <w:rsid w:val="008E0D4A"/>
    <w:rsid w:val="008E1414"/>
    <w:rsid w:val="008E1ABE"/>
    <w:rsid w:val="008E20AE"/>
    <w:rsid w:val="008E27E9"/>
    <w:rsid w:val="008E3826"/>
    <w:rsid w:val="008E3FC9"/>
    <w:rsid w:val="008E41F3"/>
    <w:rsid w:val="008E42DE"/>
    <w:rsid w:val="008E4C40"/>
    <w:rsid w:val="008E5285"/>
    <w:rsid w:val="008E5D80"/>
    <w:rsid w:val="008E5EF4"/>
    <w:rsid w:val="008E6BE3"/>
    <w:rsid w:val="008E7A64"/>
    <w:rsid w:val="008E7CF0"/>
    <w:rsid w:val="008E7DD9"/>
    <w:rsid w:val="008F0631"/>
    <w:rsid w:val="008F13A7"/>
    <w:rsid w:val="008F187D"/>
    <w:rsid w:val="008F18D2"/>
    <w:rsid w:val="008F1C80"/>
    <w:rsid w:val="008F2C49"/>
    <w:rsid w:val="008F3155"/>
    <w:rsid w:val="008F3236"/>
    <w:rsid w:val="008F3606"/>
    <w:rsid w:val="008F36F0"/>
    <w:rsid w:val="008F397E"/>
    <w:rsid w:val="008F3AA5"/>
    <w:rsid w:val="008F4D02"/>
    <w:rsid w:val="008F530D"/>
    <w:rsid w:val="008F5BA1"/>
    <w:rsid w:val="008F631E"/>
    <w:rsid w:val="008F66BC"/>
    <w:rsid w:val="008F69CE"/>
    <w:rsid w:val="008F6DFB"/>
    <w:rsid w:val="008F738C"/>
    <w:rsid w:val="008F787E"/>
    <w:rsid w:val="008F7CFF"/>
    <w:rsid w:val="008F7E34"/>
    <w:rsid w:val="008F7ED1"/>
    <w:rsid w:val="00900131"/>
    <w:rsid w:val="00900BBE"/>
    <w:rsid w:val="00900EE0"/>
    <w:rsid w:val="009011D0"/>
    <w:rsid w:val="00901C8D"/>
    <w:rsid w:val="00901F99"/>
    <w:rsid w:val="009027AB"/>
    <w:rsid w:val="009027FA"/>
    <w:rsid w:val="0090399A"/>
    <w:rsid w:val="00903CA7"/>
    <w:rsid w:val="00904807"/>
    <w:rsid w:val="00904831"/>
    <w:rsid w:val="00904A4D"/>
    <w:rsid w:val="00905303"/>
    <w:rsid w:val="0090533B"/>
    <w:rsid w:val="00905643"/>
    <w:rsid w:val="00905693"/>
    <w:rsid w:val="00905BD2"/>
    <w:rsid w:val="00905EE9"/>
    <w:rsid w:val="00906007"/>
    <w:rsid w:val="009065F4"/>
    <w:rsid w:val="00906852"/>
    <w:rsid w:val="00906B40"/>
    <w:rsid w:val="009075A7"/>
    <w:rsid w:val="00907DFB"/>
    <w:rsid w:val="009101D8"/>
    <w:rsid w:val="00910415"/>
    <w:rsid w:val="0091053D"/>
    <w:rsid w:val="00910624"/>
    <w:rsid w:val="0091065D"/>
    <w:rsid w:val="009107B9"/>
    <w:rsid w:val="00910FBA"/>
    <w:rsid w:val="009117AC"/>
    <w:rsid w:val="00911A73"/>
    <w:rsid w:val="00911D39"/>
    <w:rsid w:val="00912B9F"/>
    <w:rsid w:val="009134F4"/>
    <w:rsid w:val="009138BC"/>
    <w:rsid w:val="009138DC"/>
    <w:rsid w:val="00914067"/>
    <w:rsid w:val="00915FE4"/>
    <w:rsid w:val="00917925"/>
    <w:rsid w:val="00917C0F"/>
    <w:rsid w:val="0092040E"/>
    <w:rsid w:val="00920C6C"/>
    <w:rsid w:val="009217E8"/>
    <w:rsid w:val="00921897"/>
    <w:rsid w:val="009219F7"/>
    <w:rsid w:val="00921B10"/>
    <w:rsid w:val="00921C6D"/>
    <w:rsid w:val="009222BA"/>
    <w:rsid w:val="0092275A"/>
    <w:rsid w:val="009227D9"/>
    <w:rsid w:val="009232F0"/>
    <w:rsid w:val="00923C44"/>
    <w:rsid w:val="00924253"/>
    <w:rsid w:val="009246EE"/>
    <w:rsid w:val="00924C67"/>
    <w:rsid w:val="00925E4B"/>
    <w:rsid w:val="00927791"/>
    <w:rsid w:val="00927D0C"/>
    <w:rsid w:val="009303DB"/>
    <w:rsid w:val="00930607"/>
    <w:rsid w:val="00930D0A"/>
    <w:rsid w:val="009310AB"/>
    <w:rsid w:val="00931435"/>
    <w:rsid w:val="00931713"/>
    <w:rsid w:val="009329BA"/>
    <w:rsid w:val="00932B3C"/>
    <w:rsid w:val="00932B3F"/>
    <w:rsid w:val="0093304D"/>
    <w:rsid w:val="00933738"/>
    <w:rsid w:val="00933BE3"/>
    <w:rsid w:val="00933C3F"/>
    <w:rsid w:val="00934D09"/>
    <w:rsid w:val="00934E99"/>
    <w:rsid w:val="00935D25"/>
    <w:rsid w:val="00935F16"/>
    <w:rsid w:val="00936939"/>
    <w:rsid w:val="009373F2"/>
    <w:rsid w:val="00937C10"/>
    <w:rsid w:val="0094053B"/>
    <w:rsid w:val="0094084C"/>
    <w:rsid w:val="009408BC"/>
    <w:rsid w:val="009419B0"/>
    <w:rsid w:val="00941C40"/>
    <w:rsid w:val="00942040"/>
    <w:rsid w:val="009426BD"/>
    <w:rsid w:val="00942989"/>
    <w:rsid w:val="00942C9F"/>
    <w:rsid w:val="00943539"/>
    <w:rsid w:val="0094368F"/>
    <w:rsid w:val="00943B35"/>
    <w:rsid w:val="00943D7B"/>
    <w:rsid w:val="00943F5F"/>
    <w:rsid w:val="00943F98"/>
    <w:rsid w:val="00945631"/>
    <w:rsid w:val="00945D09"/>
    <w:rsid w:val="0094670E"/>
    <w:rsid w:val="009469C4"/>
    <w:rsid w:val="00946A07"/>
    <w:rsid w:val="00946BD4"/>
    <w:rsid w:val="00947145"/>
    <w:rsid w:val="00947549"/>
    <w:rsid w:val="00947CE1"/>
    <w:rsid w:val="00947CF3"/>
    <w:rsid w:val="00950B2C"/>
    <w:rsid w:val="00950C3F"/>
    <w:rsid w:val="00950E09"/>
    <w:rsid w:val="009512A5"/>
    <w:rsid w:val="009525C5"/>
    <w:rsid w:val="00952C3F"/>
    <w:rsid w:val="00953844"/>
    <w:rsid w:val="0095405E"/>
    <w:rsid w:val="009542EE"/>
    <w:rsid w:val="00954AEE"/>
    <w:rsid w:val="00954F16"/>
    <w:rsid w:val="009562B4"/>
    <w:rsid w:val="00956E96"/>
    <w:rsid w:val="009576F1"/>
    <w:rsid w:val="009578AB"/>
    <w:rsid w:val="0095793C"/>
    <w:rsid w:val="0096012E"/>
    <w:rsid w:val="009603D8"/>
    <w:rsid w:val="0096111E"/>
    <w:rsid w:val="00961125"/>
    <w:rsid w:val="00961DBF"/>
    <w:rsid w:val="009623D8"/>
    <w:rsid w:val="00962F19"/>
    <w:rsid w:val="00963362"/>
    <w:rsid w:val="00963BD1"/>
    <w:rsid w:val="00964408"/>
    <w:rsid w:val="00964DA8"/>
    <w:rsid w:val="0096502F"/>
    <w:rsid w:val="009659BD"/>
    <w:rsid w:val="009667C8"/>
    <w:rsid w:val="00966A67"/>
    <w:rsid w:val="00966B1F"/>
    <w:rsid w:val="00966E5F"/>
    <w:rsid w:val="00967529"/>
    <w:rsid w:val="00970A7E"/>
    <w:rsid w:val="00970DA1"/>
    <w:rsid w:val="00970ECA"/>
    <w:rsid w:val="00970F7E"/>
    <w:rsid w:val="0097116E"/>
    <w:rsid w:val="00971D89"/>
    <w:rsid w:val="00972AC7"/>
    <w:rsid w:val="0097353E"/>
    <w:rsid w:val="00974518"/>
    <w:rsid w:val="009749A2"/>
    <w:rsid w:val="009752E1"/>
    <w:rsid w:val="0097551A"/>
    <w:rsid w:val="00975650"/>
    <w:rsid w:val="00975B5A"/>
    <w:rsid w:val="00976DC1"/>
    <w:rsid w:val="009772B5"/>
    <w:rsid w:val="00980A5C"/>
    <w:rsid w:val="00980FE0"/>
    <w:rsid w:val="009815BE"/>
    <w:rsid w:val="0098170A"/>
    <w:rsid w:val="009820DB"/>
    <w:rsid w:val="0098288D"/>
    <w:rsid w:val="00982C80"/>
    <w:rsid w:val="00985F8B"/>
    <w:rsid w:val="0098639E"/>
    <w:rsid w:val="00986B50"/>
    <w:rsid w:val="00987524"/>
    <w:rsid w:val="00987924"/>
    <w:rsid w:val="00987E01"/>
    <w:rsid w:val="00987F28"/>
    <w:rsid w:val="00990955"/>
    <w:rsid w:val="00990B70"/>
    <w:rsid w:val="00990C3B"/>
    <w:rsid w:val="00990D84"/>
    <w:rsid w:val="00991758"/>
    <w:rsid w:val="00991CBD"/>
    <w:rsid w:val="00992182"/>
    <w:rsid w:val="009921E6"/>
    <w:rsid w:val="009928B7"/>
    <w:rsid w:val="00992A46"/>
    <w:rsid w:val="0099321A"/>
    <w:rsid w:val="00993370"/>
    <w:rsid w:val="00993B76"/>
    <w:rsid w:val="00993C1E"/>
    <w:rsid w:val="00994333"/>
    <w:rsid w:val="009947E8"/>
    <w:rsid w:val="00994B9E"/>
    <w:rsid w:val="00994BB9"/>
    <w:rsid w:val="00994DB5"/>
    <w:rsid w:val="00995033"/>
    <w:rsid w:val="00995D72"/>
    <w:rsid w:val="009960B7"/>
    <w:rsid w:val="009961FF"/>
    <w:rsid w:val="00996965"/>
    <w:rsid w:val="00996F08"/>
    <w:rsid w:val="009972FE"/>
    <w:rsid w:val="009A0A2D"/>
    <w:rsid w:val="009A0F63"/>
    <w:rsid w:val="009A1265"/>
    <w:rsid w:val="009A12AA"/>
    <w:rsid w:val="009A1B16"/>
    <w:rsid w:val="009A2724"/>
    <w:rsid w:val="009A277F"/>
    <w:rsid w:val="009A27F1"/>
    <w:rsid w:val="009A2A8D"/>
    <w:rsid w:val="009A2DDF"/>
    <w:rsid w:val="009A2E15"/>
    <w:rsid w:val="009A3346"/>
    <w:rsid w:val="009A33F4"/>
    <w:rsid w:val="009A35D5"/>
    <w:rsid w:val="009A3D0E"/>
    <w:rsid w:val="009A3FCB"/>
    <w:rsid w:val="009A41EC"/>
    <w:rsid w:val="009A438A"/>
    <w:rsid w:val="009A4BF5"/>
    <w:rsid w:val="009A4C8C"/>
    <w:rsid w:val="009A54A9"/>
    <w:rsid w:val="009A5F20"/>
    <w:rsid w:val="009A6158"/>
    <w:rsid w:val="009A7402"/>
    <w:rsid w:val="009A7CFF"/>
    <w:rsid w:val="009B0BD5"/>
    <w:rsid w:val="009B2D4B"/>
    <w:rsid w:val="009B2F38"/>
    <w:rsid w:val="009B3086"/>
    <w:rsid w:val="009B363B"/>
    <w:rsid w:val="009B36B1"/>
    <w:rsid w:val="009B3979"/>
    <w:rsid w:val="009B399C"/>
    <w:rsid w:val="009B4347"/>
    <w:rsid w:val="009B46D8"/>
    <w:rsid w:val="009B4C6D"/>
    <w:rsid w:val="009B536C"/>
    <w:rsid w:val="009B5BA6"/>
    <w:rsid w:val="009B5C19"/>
    <w:rsid w:val="009B6496"/>
    <w:rsid w:val="009B69D9"/>
    <w:rsid w:val="009B6EB1"/>
    <w:rsid w:val="009B7663"/>
    <w:rsid w:val="009C01DA"/>
    <w:rsid w:val="009C0744"/>
    <w:rsid w:val="009C0B8A"/>
    <w:rsid w:val="009C1271"/>
    <w:rsid w:val="009C1528"/>
    <w:rsid w:val="009C1562"/>
    <w:rsid w:val="009C195D"/>
    <w:rsid w:val="009C20CC"/>
    <w:rsid w:val="009C2A91"/>
    <w:rsid w:val="009C2BDF"/>
    <w:rsid w:val="009C2D73"/>
    <w:rsid w:val="009C315E"/>
    <w:rsid w:val="009C3558"/>
    <w:rsid w:val="009C3F8C"/>
    <w:rsid w:val="009C401F"/>
    <w:rsid w:val="009C427D"/>
    <w:rsid w:val="009C4403"/>
    <w:rsid w:val="009C4539"/>
    <w:rsid w:val="009C523A"/>
    <w:rsid w:val="009C553D"/>
    <w:rsid w:val="009C562E"/>
    <w:rsid w:val="009C5AA1"/>
    <w:rsid w:val="009C5E44"/>
    <w:rsid w:val="009C67CB"/>
    <w:rsid w:val="009C7531"/>
    <w:rsid w:val="009C7F86"/>
    <w:rsid w:val="009D0578"/>
    <w:rsid w:val="009D172D"/>
    <w:rsid w:val="009D17F5"/>
    <w:rsid w:val="009D220C"/>
    <w:rsid w:val="009D221F"/>
    <w:rsid w:val="009D2F8C"/>
    <w:rsid w:val="009D32AD"/>
    <w:rsid w:val="009D37A3"/>
    <w:rsid w:val="009D3D0A"/>
    <w:rsid w:val="009D41F6"/>
    <w:rsid w:val="009D435A"/>
    <w:rsid w:val="009D6119"/>
    <w:rsid w:val="009D621C"/>
    <w:rsid w:val="009D66F7"/>
    <w:rsid w:val="009D69B7"/>
    <w:rsid w:val="009D6BF1"/>
    <w:rsid w:val="009D6C5B"/>
    <w:rsid w:val="009D70F2"/>
    <w:rsid w:val="009D7384"/>
    <w:rsid w:val="009D7DC4"/>
    <w:rsid w:val="009E09F0"/>
    <w:rsid w:val="009E0B08"/>
    <w:rsid w:val="009E19E8"/>
    <w:rsid w:val="009E1D01"/>
    <w:rsid w:val="009E31B4"/>
    <w:rsid w:val="009E3438"/>
    <w:rsid w:val="009E377C"/>
    <w:rsid w:val="009E39D4"/>
    <w:rsid w:val="009E40BA"/>
    <w:rsid w:val="009E40C5"/>
    <w:rsid w:val="009E411C"/>
    <w:rsid w:val="009E413D"/>
    <w:rsid w:val="009E458A"/>
    <w:rsid w:val="009E46B8"/>
    <w:rsid w:val="009E4A27"/>
    <w:rsid w:val="009E501C"/>
    <w:rsid w:val="009E5316"/>
    <w:rsid w:val="009E570E"/>
    <w:rsid w:val="009E5D7C"/>
    <w:rsid w:val="009E5DF5"/>
    <w:rsid w:val="009E5DFC"/>
    <w:rsid w:val="009E683C"/>
    <w:rsid w:val="009E6977"/>
    <w:rsid w:val="009E697E"/>
    <w:rsid w:val="009E6D45"/>
    <w:rsid w:val="009E6F71"/>
    <w:rsid w:val="009E77FB"/>
    <w:rsid w:val="009F1789"/>
    <w:rsid w:val="009F19C9"/>
    <w:rsid w:val="009F1D71"/>
    <w:rsid w:val="009F2E3B"/>
    <w:rsid w:val="009F2F7D"/>
    <w:rsid w:val="009F36D2"/>
    <w:rsid w:val="009F3893"/>
    <w:rsid w:val="009F39E9"/>
    <w:rsid w:val="009F3B34"/>
    <w:rsid w:val="009F3B6B"/>
    <w:rsid w:val="009F3E8B"/>
    <w:rsid w:val="009F422D"/>
    <w:rsid w:val="009F4504"/>
    <w:rsid w:val="009F4F79"/>
    <w:rsid w:val="009F502C"/>
    <w:rsid w:val="009F516D"/>
    <w:rsid w:val="009F559C"/>
    <w:rsid w:val="009F603B"/>
    <w:rsid w:val="009F6987"/>
    <w:rsid w:val="009F720F"/>
    <w:rsid w:val="009F78EB"/>
    <w:rsid w:val="009F7E9E"/>
    <w:rsid w:val="00A00159"/>
    <w:rsid w:val="00A0033C"/>
    <w:rsid w:val="00A00917"/>
    <w:rsid w:val="00A010E7"/>
    <w:rsid w:val="00A01605"/>
    <w:rsid w:val="00A01A17"/>
    <w:rsid w:val="00A01A60"/>
    <w:rsid w:val="00A024E7"/>
    <w:rsid w:val="00A02640"/>
    <w:rsid w:val="00A02BC7"/>
    <w:rsid w:val="00A02D1D"/>
    <w:rsid w:val="00A03009"/>
    <w:rsid w:val="00A03D43"/>
    <w:rsid w:val="00A04276"/>
    <w:rsid w:val="00A0555D"/>
    <w:rsid w:val="00A056EC"/>
    <w:rsid w:val="00A056F3"/>
    <w:rsid w:val="00A062D5"/>
    <w:rsid w:val="00A06DCF"/>
    <w:rsid w:val="00A06E15"/>
    <w:rsid w:val="00A06E6E"/>
    <w:rsid w:val="00A0730A"/>
    <w:rsid w:val="00A076F9"/>
    <w:rsid w:val="00A07997"/>
    <w:rsid w:val="00A07F87"/>
    <w:rsid w:val="00A101AD"/>
    <w:rsid w:val="00A101F8"/>
    <w:rsid w:val="00A10245"/>
    <w:rsid w:val="00A1028A"/>
    <w:rsid w:val="00A10995"/>
    <w:rsid w:val="00A10D4E"/>
    <w:rsid w:val="00A11B9C"/>
    <w:rsid w:val="00A11D54"/>
    <w:rsid w:val="00A1202A"/>
    <w:rsid w:val="00A1284E"/>
    <w:rsid w:val="00A12873"/>
    <w:rsid w:val="00A13659"/>
    <w:rsid w:val="00A14126"/>
    <w:rsid w:val="00A14399"/>
    <w:rsid w:val="00A154C1"/>
    <w:rsid w:val="00A15EC7"/>
    <w:rsid w:val="00A15F9F"/>
    <w:rsid w:val="00A1637F"/>
    <w:rsid w:val="00A16FD4"/>
    <w:rsid w:val="00A173A7"/>
    <w:rsid w:val="00A17659"/>
    <w:rsid w:val="00A17AAF"/>
    <w:rsid w:val="00A206ED"/>
    <w:rsid w:val="00A20806"/>
    <w:rsid w:val="00A20A45"/>
    <w:rsid w:val="00A20C1C"/>
    <w:rsid w:val="00A20C7F"/>
    <w:rsid w:val="00A21099"/>
    <w:rsid w:val="00A21D41"/>
    <w:rsid w:val="00A21D73"/>
    <w:rsid w:val="00A225DA"/>
    <w:rsid w:val="00A227C9"/>
    <w:rsid w:val="00A22DBA"/>
    <w:rsid w:val="00A2329D"/>
    <w:rsid w:val="00A2365E"/>
    <w:rsid w:val="00A23900"/>
    <w:rsid w:val="00A2490E"/>
    <w:rsid w:val="00A25442"/>
    <w:rsid w:val="00A25539"/>
    <w:rsid w:val="00A25BFF"/>
    <w:rsid w:val="00A26648"/>
    <w:rsid w:val="00A267AB"/>
    <w:rsid w:val="00A26C94"/>
    <w:rsid w:val="00A26F79"/>
    <w:rsid w:val="00A2713E"/>
    <w:rsid w:val="00A274BF"/>
    <w:rsid w:val="00A27522"/>
    <w:rsid w:val="00A275A3"/>
    <w:rsid w:val="00A27B31"/>
    <w:rsid w:val="00A27D15"/>
    <w:rsid w:val="00A30220"/>
    <w:rsid w:val="00A3136F"/>
    <w:rsid w:val="00A31A4B"/>
    <w:rsid w:val="00A3219A"/>
    <w:rsid w:val="00A325D0"/>
    <w:rsid w:val="00A33179"/>
    <w:rsid w:val="00A333B7"/>
    <w:rsid w:val="00A3380C"/>
    <w:rsid w:val="00A346B1"/>
    <w:rsid w:val="00A34C64"/>
    <w:rsid w:val="00A34D0C"/>
    <w:rsid w:val="00A34D76"/>
    <w:rsid w:val="00A34E58"/>
    <w:rsid w:val="00A35125"/>
    <w:rsid w:val="00A35938"/>
    <w:rsid w:val="00A35C7C"/>
    <w:rsid w:val="00A365D0"/>
    <w:rsid w:val="00A37490"/>
    <w:rsid w:val="00A37CE5"/>
    <w:rsid w:val="00A402B8"/>
    <w:rsid w:val="00A4043E"/>
    <w:rsid w:val="00A40875"/>
    <w:rsid w:val="00A40E6C"/>
    <w:rsid w:val="00A40F2E"/>
    <w:rsid w:val="00A41047"/>
    <w:rsid w:val="00A41AC6"/>
    <w:rsid w:val="00A41B71"/>
    <w:rsid w:val="00A42C98"/>
    <w:rsid w:val="00A437D9"/>
    <w:rsid w:val="00A43C16"/>
    <w:rsid w:val="00A443A6"/>
    <w:rsid w:val="00A452EE"/>
    <w:rsid w:val="00A45A1A"/>
    <w:rsid w:val="00A45E61"/>
    <w:rsid w:val="00A46CC3"/>
    <w:rsid w:val="00A47B5C"/>
    <w:rsid w:val="00A47E6A"/>
    <w:rsid w:val="00A47F32"/>
    <w:rsid w:val="00A5044C"/>
    <w:rsid w:val="00A523CC"/>
    <w:rsid w:val="00A53220"/>
    <w:rsid w:val="00A538E6"/>
    <w:rsid w:val="00A54514"/>
    <w:rsid w:val="00A545AE"/>
    <w:rsid w:val="00A54DD9"/>
    <w:rsid w:val="00A550F3"/>
    <w:rsid w:val="00A55D14"/>
    <w:rsid w:val="00A55EBC"/>
    <w:rsid w:val="00A56102"/>
    <w:rsid w:val="00A56800"/>
    <w:rsid w:val="00A56B97"/>
    <w:rsid w:val="00A56D7E"/>
    <w:rsid w:val="00A5718F"/>
    <w:rsid w:val="00A57404"/>
    <w:rsid w:val="00A57572"/>
    <w:rsid w:val="00A575BD"/>
    <w:rsid w:val="00A57D94"/>
    <w:rsid w:val="00A60D72"/>
    <w:rsid w:val="00A60EEC"/>
    <w:rsid w:val="00A616BB"/>
    <w:rsid w:val="00A62461"/>
    <w:rsid w:val="00A630BA"/>
    <w:rsid w:val="00A6325E"/>
    <w:rsid w:val="00A63909"/>
    <w:rsid w:val="00A63B83"/>
    <w:rsid w:val="00A643C6"/>
    <w:rsid w:val="00A653D0"/>
    <w:rsid w:val="00A656A2"/>
    <w:rsid w:val="00A65BD9"/>
    <w:rsid w:val="00A66718"/>
    <w:rsid w:val="00A66911"/>
    <w:rsid w:val="00A6692A"/>
    <w:rsid w:val="00A66D36"/>
    <w:rsid w:val="00A671EF"/>
    <w:rsid w:val="00A67550"/>
    <w:rsid w:val="00A67BE6"/>
    <w:rsid w:val="00A67EB1"/>
    <w:rsid w:val="00A70216"/>
    <w:rsid w:val="00A70B31"/>
    <w:rsid w:val="00A71633"/>
    <w:rsid w:val="00A71B8A"/>
    <w:rsid w:val="00A71C91"/>
    <w:rsid w:val="00A73875"/>
    <w:rsid w:val="00A73938"/>
    <w:rsid w:val="00A73A74"/>
    <w:rsid w:val="00A74070"/>
    <w:rsid w:val="00A74253"/>
    <w:rsid w:val="00A74D76"/>
    <w:rsid w:val="00A75816"/>
    <w:rsid w:val="00A759FE"/>
    <w:rsid w:val="00A75CB8"/>
    <w:rsid w:val="00A75CF1"/>
    <w:rsid w:val="00A75FE1"/>
    <w:rsid w:val="00A76318"/>
    <w:rsid w:val="00A76996"/>
    <w:rsid w:val="00A76D67"/>
    <w:rsid w:val="00A77562"/>
    <w:rsid w:val="00A775C6"/>
    <w:rsid w:val="00A776B8"/>
    <w:rsid w:val="00A8049E"/>
    <w:rsid w:val="00A809B3"/>
    <w:rsid w:val="00A810A3"/>
    <w:rsid w:val="00A8130F"/>
    <w:rsid w:val="00A81EB6"/>
    <w:rsid w:val="00A81F1C"/>
    <w:rsid w:val="00A82150"/>
    <w:rsid w:val="00A82300"/>
    <w:rsid w:val="00A82A98"/>
    <w:rsid w:val="00A82D0A"/>
    <w:rsid w:val="00A82DE9"/>
    <w:rsid w:val="00A8307B"/>
    <w:rsid w:val="00A8317D"/>
    <w:rsid w:val="00A833A9"/>
    <w:rsid w:val="00A837FE"/>
    <w:rsid w:val="00A84059"/>
    <w:rsid w:val="00A84493"/>
    <w:rsid w:val="00A85357"/>
    <w:rsid w:val="00A856B8"/>
    <w:rsid w:val="00A8581A"/>
    <w:rsid w:val="00A85D54"/>
    <w:rsid w:val="00A860BE"/>
    <w:rsid w:val="00A86A99"/>
    <w:rsid w:val="00A86CCC"/>
    <w:rsid w:val="00A86DEA"/>
    <w:rsid w:val="00A8715E"/>
    <w:rsid w:val="00A871E5"/>
    <w:rsid w:val="00A8732F"/>
    <w:rsid w:val="00A902DD"/>
    <w:rsid w:val="00A90737"/>
    <w:rsid w:val="00A909B5"/>
    <w:rsid w:val="00A91037"/>
    <w:rsid w:val="00A91160"/>
    <w:rsid w:val="00A91335"/>
    <w:rsid w:val="00A91617"/>
    <w:rsid w:val="00A91ABB"/>
    <w:rsid w:val="00A92665"/>
    <w:rsid w:val="00A928D9"/>
    <w:rsid w:val="00A9336B"/>
    <w:rsid w:val="00A936E1"/>
    <w:rsid w:val="00A93C1C"/>
    <w:rsid w:val="00A94023"/>
    <w:rsid w:val="00A943C9"/>
    <w:rsid w:val="00A94C10"/>
    <w:rsid w:val="00A94EEA"/>
    <w:rsid w:val="00A95CE5"/>
    <w:rsid w:val="00A9600E"/>
    <w:rsid w:val="00A9623D"/>
    <w:rsid w:val="00A962D9"/>
    <w:rsid w:val="00A96FA8"/>
    <w:rsid w:val="00A9760F"/>
    <w:rsid w:val="00A97623"/>
    <w:rsid w:val="00A9770A"/>
    <w:rsid w:val="00AA0A43"/>
    <w:rsid w:val="00AA0CD0"/>
    <w:rsid w:val="00AA0DD3"/>
    <w:rsid w:val="00AA0FE3"/>
    <w:rsid w:val="00AA10D6"/>
    <w:rsid w:val="00AA1C07"/>
    <w:rsid w:val="00AA1E0E"/>
    <w:rsid w:val="00AA1F08"/>
    <w:rsid w:val="00AA3187"/>
    <w:rsid w:val="00AA31AA"/>
    <w:rsid w:val="00AA3688"/>
    <w:rsid w:val="00AA374D"/>
    <w:rsid w:val="00AA3D5F"/>
    <w:rsid w:val="00AA4006"/>
    <w:rsid w:val="00AA4587"/>
    <w:rsid w:val="00AA4A45"/>
    <w:rsid w:val="00AA4B52"/>
    <w:rsid w:val="00AA4D5C"/>
    <w:rsid w:val="00AA569D"/>
    <w:rsid w:val="00AA5887"/>
    <w:rsid w:val="00AA5967"/>
    <w:rsid w:val="00AA5FC8"/>
    <w:rsid w:val="00AA6A56"/>
    <w:rsid w:val="00AA6E90"/>
    <w:rsid w:val="00AA766A"/>
    <w:rsid w:val="00AA7764"/>
    <w:rsid w:val="00AA7E3A"/>
    <w:rsid w:val="00AB0143"/>
    <w:rsid w:val="00AB030B"/>
    <w:rsid w:val="00AB19F8"/>
    <w:rsid w:val="00AB1A1A"/>
    <w:rsid w:val="00AB1A24"/>
    <w:rsid w:val="00AB2593"/>
    <w:rsid w:val="00AB275E"/>
    <w:rsid w:val="00AB2A61"/>
    <w:rsid w:val="00AB2DC7"/>
    <w:rsid w:val="00AB3A12"/>
    <w:rsid w:val="00AB3C21"/>
    <w:rsid w:val="00AB3DC5"/>
    <w:rsid w:val="00AB4643"/>
    <w:rsid w:val="00AB4A4D"/>
    <w:rsid w:val="00AB5486"/>
    <w:rsid w:val="00AB590B"/>
    <w:rsid w:val="00AB5A8D"/>
    <w:rsid w:val="00AB5B48"/>
    <w:rsid w:val="00AB5C0C"/>
    <w:rsid w:val="00AB5E36"/>
    <w:rsid w:val="00AB6642"/>
    <w:rsid w:val="00AB6EA0"/>
    <w:rsid w:val="00AB7046"/>
    <w:rsid w:val="00AB73DA"/>
    <w:rsid w:val="00AB76C5"/>
    <w:rsid w:val="00AB79A6"/>
    <w:rsid w:val="00AB7A1B"/>
    <w:rsid w:val="00AC0246"/>
    <w:rsid w:val="00AC0951"/>
    <w:rsid w:val="00AC0970"/>
    <w:rsid w:val="00AC19E4"/>
    <w:rsid w:val="00AC26A9"/>
    <w:rsid w:val="00AC27D8"/>
    <w:rsid w:val="00AC2EFE"/>
    <w:rsid w:val="00AC3930"/>
    <w:rsid w:val="00AC3AB1"/>
    <w:rsid w:val="00AC3C71"/>
    <w:rsid w:val="00AC3C8F"/>
    <w:rsid w:val="00AC435C"/>
    <w:rsid w:val="00AC48BD"/>
    <w:rsid w:val="00AC48EB"/>
    <w:rsid w:val="00AC4EB2"/>
    <w:rsid w:val="00AC5015"/>
    <w:rsid w:val="00AC5412"/>
    <w:rsid w:val="00AC54C0"/>
    <w:rsid w:val="00AC551E"/>
    <w:rsid w:val="00AC5696"/>
    <w:rsid w:val="00AC60CA"/>
    <w:rsid w:val="00AC6339"/>
    <w:rsid w:val="00AC6433"/>
    <w:rsid w:val="00AC68C6"/>
    <w:rsid w:val="00AC6AF2"/>
    <w:rsid w:val="00AC7612"/>
    <w:rsid w:val="00AC79C1"/>
    <w:rsid w:val="00AC7CA4"/>
    <w:rsid w:val="00AC7EE0"/>
    <w:rsid w:val="00AD021A"/>
    <w:rsid w:val="00AD0659"/>
    <w:rsid w:val="00AD0AD8"/>
    <w:rsid w:val="00AD0C2E"/>
    <w:rsid w:val="00AD13E9"/>
    <w:rsid w:val="00AD1DAF"/>
    <w:rsid w:val="00AD23AD"/>
    <w:rsid w:val="00AD2667"/>
    <w:rsid w:val="00AD493B"/>
    <w:rsid w:val="00AD4A64"/>
    <w:rsid w:val="00AD4D4E"/>
    <w:rsid w:val="00AD52A8"/>
    <w:rsid w:val="00AD54DB"/>
    <w:rsid w:val="00AD5562"/>
    <w:rsid w:val="00AD560C"/>
    <w:rsid w:val="00AD598F"/>
    <w:rsid w:val="00AD5FE6"/>
    <w:rsid w:val="00AD64FE"/>
    <w:rsid w:val="00AD67DA"/>
    <w:rsid w:val="00AD6D09"/>
    <w:rsid w:val="00AD713C"/>
    <w:rsid w:val="00AD758E"/>
    <w:rsid w:val="00AD7DFB"/>
    <w:rsid w:val="00AD7F69"/>
    <w:rsid w:val="00AE0053"/>
    <w:rsid w:val="00AE07DA"/>
    <w:rsid w:val="00AE098E"/>
    <w:rsid w:val="00AE0BBA"/>
    <w:rsid w:val="00AE15A2"/>
    <w:rsid w:val="00AE1741"/>
    <w:rsid w:val="00AE1AB5"/>
    <w:rsid w:val="00AE1E52"/>
    <w:rsid w:val="00AE2291"/>
    <w:rsid w:val="00AE2385"/>
    <w:rsid w:val="00AE25C8"/>
    <w:rsid w:val="00AE31B0"/>
    <w:rsid w:val="00AE4003"/>
    <w:rsid w:val="00AE40E6"/>
    <w:rsid w:val="00AE4113"/>
    <w:rsid w:val="00AE41E8"/>
    <w:rsid w:val="00AE4380"/>
    <w:rsid w:val="00AE4397"/>
    <w:rsid w:val="00AE48A4"/>
    <w:rsid w:val="00AE4FAC"/>
    <w:rsid w:val="00AE5224"/>
    <w:rsid w:val="00AE5525"/>
    <w:rsid w:val="00AE5CA1"/>
    <w:rsid w:val="00AE5F96"/>
    <w:rsid w:val="00AE6381"/>
    <w:rsid w:val="00AE63AE"/>
    <w:rsid w:val="00AE656F"/>
    <w:rsid w:val="00AE7039"/>
    <w:rsid w:val="00AE7407"/>
    <w:rsid w:val="00AE7B5B"/>
    <w:rsid w:val="00AE7D78"/>
    <w:rsid w:val="00AF0561"/>
    <w:rsid w:val="00AF11AD"/>
    <w:rsid w:val="00AF16EC"/>
    <w:rsid w:val="00AF2A5D"/>
    <w:rsid w:val="00AF35C1"/>
    <w:rsid w:val="00AF41F6"/>
    <w:rsid w:val="00AF438E"/>
    <w:rsid w:val="00AF45CA"/>
    <w:rsid w:val="00AF5173"/>
    <w:rsid w:val="00AF5282"/>
    <w:rsid w:val="00AF5CEE"/>
    <w:rsid w:val="00AF7257"/>
    <w:rsid w:val="00AF7506"/>
    <w:rsid w:val="00B00321"/>
    <w:rsid w:val="00B006D2"/>
    <w:rsid w:val="00B007DD"/>
    <w:rsid w:val="00B0098A"/>
    <w:rsid w:val="00B00D1C"/>
    <w:rsid w:val="00B01016"/>
    <w:rsid w:val="00B0146E"/>
    <w:rsid w:val="00B0197A"/>
    <w:rsid w:val="00B02160"/>
    <w:rsid w:val="00B022AD"/>
    <w:rsid w:val="00B023E9"/>
    <w:rsid w:val="00B026FF"/>
    <w:rsid w:val="00B027CB"/>
    <w:rsid w:val="00B02A1D"/>
    <w:rsid w:val="00B02E7A"/>
    <w:rsid w:val="00B0352B"/>
    <w:rsid w:val="00B0368D"/>
    <w:rsid w:val="00B04022"/>
    <w:rsid w:val="00B046B9"/>
    <w:rsid w:val="00B047A0"/>
    <w:rsid w:val="00B047CC"/>
    <w:rsid w:val="00B04C4D"/>
    <w:rsid w:val="00B04D6B"/>
    <w:rsid w:val="00B0505A"/>
    <w:rsid w:val="00B054A9"/>
    <w:rsid w:val="00B05C39"/>
    <w:rsid w:val="00B0614E"/>
    <w:rsid w:val="00B067FC"/>
    <w:rsid w:val="00B06F4E"/>
    <w:rsid w:val="00B06FBA"/>
    <w:rsid w:val="00B0704F"/>
    <w:rsid w:val="00B073E6"/>
    <w:rsid w:val="00B074F8"/>
    <w:rsid w:val="00B07B5A"/>
    <w:rsid w:val="00B07B72"/>
    <w:rsid w:val="00B07D59"/>
    <w:rsid w:val="00B106EC"/>
    <w:rsid w:val="00B10DF6"/>
    <w:rsid w:val="00B1106A"/>
    <w:rsid w:val="00B1153D"/>
    <w:rsid w:val="00B11A3D"/>
    <w:rsid w:val="00B121B0"/>
    <w:rsid w:val="00B13B87"/>
    <w:rsid w:val="00B13D49"/>
    <w:rsid w:val="00B1409A"/>
    <w:rsid w:val="00B140C7"/>
    <w:rsid w:val="00B14244"/>
    <w:rsid w:val="00B14B3B"/>
    <w:rsid w:val="00B14BFF"/>
    <w:rsid w:val="00B166BA"/>
    <w:rsid w:val="00B1676C"/>
    <w:rsid w:val="00B16E82"/>
    <w:rsid w:val="00B170BA"/>
    <w:rsid w:val="00B17288"/>
    <w:rsid w:val="00B1771B"/>
    <w:rsid w:val="00B17C47"/>
    <w:rsid w:val="00B17FAB"/>
    <w:rsid w:val="00B2179E"/>
    <w:rsid w:val="00B21B4F"/>
    <w:rsid w:val="00B21BE7"/>
    <w:rsid w:val="00B22220"/>
    <w:rsid w:val="00B225D2"/>
    <w:rsid w:val="00B22C5F"/>
    <w:rsid w:val="00B22E8C"/>
    <w:rsid w:val="00B234F2"/>
    <w:rsid w:val="00B23613"/>
    <w:rsid w:val="00B23687"/>
    <w:rsid w:val="00B23B72"/>
    <w:rsid w:val="00B23C62"/>
    <w:rsid w:val="00B23C91"/>
    <w:rsid w:val="00B24068"/>
    <w:rsid w:val="00B2453A"/>
    <w:rsid w:val="00B24CD6"/>
    <w:rsid w:val="00B24FB6"/>
    <w:rsid w:val="00B25431"/>
    <w:rsid w:val="00B25710"/>
    <w:rsid w:val="00B25B71"/>
    <w:rsid w:val="00B2659D"/>
    <w:rsid w:val="00B26982"/>
    <w:rsid w:val="00B27358"/>
    <w:rsid w:val="00B273CE"/>
    <w:rsid w:val="00B273E7"/>
    <w:rsid w:val="00B27B03"/>
    <w:rsid w:val="00B30AC1"/>
    <w:rsid w:val="00B31B62"/>
    <w:rsid w:val="00B3208E"/>
    <w:rsid w:val="00B3261F"/>
    <w:rsid w:val="00B336DC"/>
    <w:rsid w:val="00B33711"/>
    <w:rsid w:val="00B338CA"/>
    <w:rsid w:val="00B34705"/>
    <w:rsid w:val="00B34889"/>
    <w:rsid w:val="00B34919"/>
    <w:rsid w:val="00B34B31"/>
    <w:rsid w:val="00B3535C"/>
    <w:rsid w:val="00B35550"/>
    <w:rsid w:val="00B35782"/>
    <w:rsid w:val="00B35D0C"/>
    <w:rsid w:val="00B36705"/>
    <w:rsid w:val="00B36995"/>
    <w:rsid w:val="00B3700F"/>
    <w:rsid w:val="00B37550"/>
    <w:rsid w:val="00B3779E"/>
    <w:rsid w:val="00B402C6"/>
    <w:rsid w:val="00B40316"/>
    <w:rsid w:val="00B40600"/>
    <w:rsid w:val="00B40B20"/>
    <w:rsid w:val="00B41DC1"/>
    <w:rsid w:val="00B41E51"/>
    <w:rsid w:val="00B423C9"/>
    <w:rsid w:val="00B42F69"/>
    <w:rsid w:val="00B43404"/>
    <w:rsid w:val="00B44AB8"/>
    <w:rsid w:val="00B44DEE"/>
    <w:rsid w:val="00B45285"/>
    <w:rsid w:val="00B4530A"/>
    <w:rsid w:val="00B45682"/>
    <w:rsid w:val="00B466F2"/>
    <w:rsid w:val="00B46914"/>
    <w:rsid w:val="00B469AD"/>
    <w:rsid w:val="00B46AEF"/>
    <w:rsid w:val="00B46EC7"/>
    <w:rsid w:val="00B471CD"/>
    <w:rsid w:val="00B475C8"/>
    <w:rsid w:val="00B50510"/>
    <w:rsid w:val="00B5082C"/>
    <w:rsid w:val="00B509BC"/>
    <w:rsid w:val="00B50A91"/>
    <w:rsid w:val="00B50E8E"/>
    <w:rsid w:val="00B51149"/>
    <w:rsid w:val="00B5160B"/>
    <w:rsid w:val="00B51668"/>
    <w:rsid w:val="00B51761"/>
    <w:rsid w:val="00B51811"/>
    <w:rsid w:val="00B51871"/>
    <w:rsid w:val="00B5192E"/>
    <w:rsid w:val="00B51A0A"/>
    <w:rsid w:val="00B52022"/>
    <w:rsid w:val="00B52187"/>
    <w:rsid w:val="00B521D8"/>
    <w:rsid w:val="00B52254"/>
    <w:rsid w:val="00B5250F"/>
    <w:rsid w:val="00B5354B"/>
    <w:rsid w:val="00B53573"/>
    <w:rsid w:val="00B545CA"/>
    <w:rsid w:val="00B54691"/>
    <w:rsid w:val="00B54990"/>
    <w:rsid w:val="00B554D7"/>
    <w:rsid w:val="00B55B7A"/>
    <w:rsid w:val="00B55BB4"/>
    <w:rsid w:val="00B57829"/>
    <w:rsid w:val="00B57E1D"/>
    <w:rsid w:val="00B60CCD"/>
    <w:rsid w:val="00B616E9"/>
    <w:rsid w:val="00B61BF5"/>
    <w:rsid w:val="00B62854"/>
    <w:rsid w:val="00B62E4A"/>
    <w:rsid w:val="00B62EF1"/>
    <w:rsid w:val="00B63081"/>
    <w:rsid w:val="00B6323B"/>
    <w:rsid w:val="00B640CC"/>
    <w:rsid w:val="00B645B6"/>
    <w:rsid w:val="00B64B2F"/>
    <w:rsid w:val="00B64BDA"/>
    <w:rsid w:val="00B65BE0"/>
    <w:rsid w:val="00B65D8F"/>
    <w:rsid w:val="00B667BF"/>
    <w:rsid w:val="00B66ABD"/>
    <w:rsid w:val="00B66B86"/>
    <w:rsid w:val="00B674D6"/>
    <w:rsid w:val="00B6797D"/>
    <w:rsid w:val="00B67E97"/>
    <w:rsid w:val="00B67EB7"/>
    <w:rsid w:val="00B70020"/>
    <w:rsid w:val="00B70765"/>
    <w:rsid w:val="00B709BE"/>
    <w:rsid w:val="00B70D37"/>
    <w:rsid w:val="00B7184C"/>
    <w:rsid w:val="00B719A5"/>
    <w:rsid w:val="00B72436"/>
    <w:rsid w:val="00B7245B"/>
    <w:rsid w:val="00B7246F"/>
    <w:rsid w:val="00B7262D"/>
    <w:rsid w:val="00B728BD"/>
    <w:rsid w:val="00B728E6"/>
    <w:rsid w:val="00B735B8"/>
    <w:rsid w:val="00B73B6D"/>
    <w:rsid w:val="00B73F56"/>
    <w:rsid w:val="00B73FC2"/>
    <w:rsid w:val="00B7465D"/>
    <w:rsid w:val="00B747DD"/>
    <w:rsid w:val="00B74858"/>
    <w:rsid w:val="00B74CF9"/>
    <w:rsid w:val="00B752EB"/>
    <w:rsid w:val="00B75BE4"/>
    <w:rsid w:val="00B76CD7"/>
    <w:rsid w:val="00B7713F"/>
    <w:rsid w:val="00B776FA"/>
    <w:rsid w:val="00B77BE4"/>
    <w:rsid w:val="00B812BE"/>
    <w:rsid w:val="00B813D5"/>
    <w:rsid w:val="00B819D5"/>
    <w:rsid w:val="00B81E29"/>
    <w:rsid w:val="00B8258D"/>
    <w:rsid w:val="00B825B4"/>
    <w:rsid w:val="00B82627"/>
    <w:rsid w:val="00B82880"/>
    <w:rsid w:val="00B82AC8"/>
    <w:rsid w:val="00B83517"/>
    <w:rsid w:val="00B84175"/>
    <w:rsid w:val="00B8455B"/>
    <w:rsid w:val="00B846C0"/>
    <w:rsid w:val="00B84E7E"/>
    <w:rsid w:val="00B85AE4"/>
    <w:rsid w:val="00B86608"/>
    <w:rsid w:val="00B867AA"/>
    <w:rsid w:val="00B87041"/>
    <w:rsid w:val="00B87163"/>
    <w:rsid w:val="00B873F0"/>
    <w:rsid w:val="00B874F9"/>
    <w:rsid w:val="00B87847"/>
    <w:rsid w:val="00B87B4E"/>
    <w:rsid w:val="00B90477"/>
    <w:rsid w:val="00B90C10"/>
    <w:rsid w:val="00B90C24"/>
    <w:rsid w:val="00B90D15"/>
    <w:rsid w:val="00B90F4F"/>
    <w:rsid w:val="00B9119D"/>
    <w:rsid w:val="00B92208"/>
    <w:rsid w:val="00B9293C"/>
    <w:rsid w:val="00B92AA5"/>
    <w:rsid w:val="00B9306C"/>
    <w:rsid w:val="00B93314"/>
    <w:rsid w:val="00B93319"/>
    <w:rsid w:val="00B93904"/>
    <w:rsid w:val="00B940A0"/>
    <w:rsid w:val="00B949A9"/>
    <w:rsid w:val="00B955FE"/>
    <w:rsid w:val="00B95C85"/>
    <w:rsid w:val="00B95CCF"/>
    <w:rsid w:val="00B96744"/>
    <w:rsid w:val="00B97190"/>
    <w:rsid w:val="00B97EC6"/>
    <w:rsid w:val="00BA0B9F"/>
    <w:rsid w:val="00BA1177"/>
    <w:rsid w:val="00BA1E13"/>
    <w:rsid w:val="00BA2957"/>
    <w:rsid w:val="00BA3287"/>
    <w:rsid w:val="00BA32B5"/>
    <w:rsid w:val="00BA3E89"/>
    <w:rsid w:val="00BA4573"/>
    <w:rsid w:val="00BA4CE7"/>
    <w:rsid w:val="00BA4EFC"/>
    <w:rsid w:val="00BA56A2"/>
    <w:rsid w:val="00BA6359"/>
    <w:rsid w:val="00BA6419"/>
    <w:rsid w:val="00BA6550"/>
    <w:rsid w:val="00BA7151"/>
    <w:rsid w:val="00BA7711"/>
    <w:rsid w:val="00BA7F2B"/>
    <w:rsid w:val="00BB05AE"/>
    <w:rsid w:val="00BB0720"/>
    <w:rsid w:val="00BB0EAA"/>
    <w:rsid w:val="00BB1792"/>
    <w:rsid w:val="00BB2793"/>
    <w:rsid w:val="00BB2BA9"/>
    <w:rsid w:val="00BB3090"/>
    <w:rsid w:val="00BB357F"/>
    <w:rsid w:val="00BB3642"/>
    <w:rsid w:val="00BB3916"/>
    <w:rsid w:val="00BB47FF"/>
    <w:rsid w:val="00BB4A3B"/>
    <w:rsid w:val="00BB54CF"/>
    <w:rsid w:val="00BB59F6"/>
    <w:rsid w:val="00BB5AB9"/>
    <w:rsid w:val="00BB5EF0"/>
    <w:rsid w:val="00BB66AB"/>
    <w:rsid w:val="00BB70FD"/>
    <w:rsid w:val="00BB77F8"/>
    <w:rsid w:val="00BB7BBA"/>
    <w:rsid w:val="00BB7E3E"/>
    <w:rsid w:val="00BC07AC"/>
    <w:rsid w:val="00BC0AD6"/>
    <w:rsid w:val="00BC0C01"/>
    <w:rsid w:val="00BC0FF7"/>
    <w:rsid w:val="00BC122E"/>
    <w:rsid w:val="00BC147B"/>
    <w:rsid w:val="00BC157C"/>
    <w:rsid w:val="00BC1BB8"/>
    <w:rsid w:val="00BC1EBB"/>
    <w:rsid w:val="00BC2136"/>
    <w:rsid w:val="00BC23B8"/>
    <w:rsid w:val="00BC320A"/>
    <w:rsid w:val="00BC3584"/>
    <w:rsid w:val="00BC3601"/>
    <w:rsid w:val="00BC3815"/>
    <w:rsid w:val="00BC3E93"/>
    <w:rsid w:val="00BC449C"/>
    <w:rsid w:val="00BC4B77"/>
    <w:rsid w:val="00BC4F78"/>
    <w:rsid w:val="00BC5838"/>
    <w:rsid w:val="00BC6443"/>
    <w:rsid w:val="00BC6C30"/>
    <w:rsid w:val="00BC6DC2"/>
    <w:rsid w:val="00BC6E1C"/>
    <w:rsid w:val="00BC6E77"/>
    <w:rsid w:val="00BD098F"/>
    <w:rsid w:val="00BD0E2E"/>
    <w:rsid w:val="00BD1A06"/>
    <w:rsid w:val="00BD1E87"/>
    <w:rsid w:val="00BD23F8"/>
    <w:rsid w:val="00BD2F0A"/>
    <w:rsid w:val="00BD34BC"/>
    <w:rsid w:val="00BD3E16"/>
    <w:rsid w:val="00BD40BF"/>
    <w:rsid w:val="00BD462B"/>
    <w:rsid w:val="00BD465A"/>
    <w:rsid w:val="00BD4F5A"/>
    <w:rsid w:val="00BD6543"/>
    <w:rsid w:val="00BD67B4"/>
    <w:rsid w:val="00BD69A4"/>
    <w:rsid w:val="00BD76AB"/>
    <w:rsid w:val="00BD7B3E"/>
    <w:rsid w:val="00BE01DD"/>
    <w:rsid w:val="00BE06EF"/>
    <w:rsid w:val="00BE0E2A"/>
    <w:rsid w:val="00BE1991"/>
    <w:rsid w:val="00BE1BDF"/>
    <w:rsid w:val="00BE277E"/>
    <w:rsid w:val="00BE2917"/>
    <w:rsid w:val="00BE2C8F"/>
    <w:rsid w:val="00BE2D9F"/>
    <w:rsid w:val="00BE369E"/>
    <w:rsid w:val="00BE4204"/>
    <w:rsid w:val="00BE442D"/>
    <w:rsid w:val="00BE46B9"/>
    <w:rsid w:val="00BE4ED6"/>
    <w:rsid w:val="00BE4F68"/>
    <w:rsid w:val="00BE54F3"/>
    <w:rsid w:val="00BE595E"/>
    <w:rsid w:val="00BE5F67"/>
    <w:rsid w:val="00BE65E5"/>
    <w:rsid w:val="00BE6602"/>
    <w:rsid w:val="00BE7920"/>
    <w:rsid w:val="00BF028C"/>
    <w:rsid w:val="00BF060E"/>
    <w:rsid w:val="00BF0CC1"/>
    <w:rsid w:val="00BF1E46"/>
    <w:rsid w:val="00BF2461"/>
    <w:rsid w:val="00BF2634"/>
    <w:rsid w:val="00BF26D2"/>
    <w:rsid w:val="00BF2A3A"/>
    <w:rsid w:val="00BF2CD1"/>
    <w:rsid w:val="00BF2D6E"/>
    <w:rsid w:val="00BF46B3"/>
    <w:rsid w:val="00BF4A71"/>
    <w:rsid w:val="00BF4B6A"/>
    <w:rsid w:val="00BF5135"/>
    <w:rsid w:val="00BF5422"/>
    <w:rsid w:val="00BF60D2"/>
    <w:rsid w:val="00BF6AA2"/>
    <w:rsid w:val="00BF7D30"/>
    <w:rsid w:val="00C00312"/>
    <w:rsid w:val="00C00828"/>
    <w:rsid w:val="00C009F5"/>
    <w:rsid w:val="00C01129"/>
    <w:rsid w:val="00C016B1"/>
    <w:rsid w:val="00C01DD9"/>
    <w:rsid w:val="00C02239"/>
    <w:rsid w:val="00C022E1"/>
    <w:rsid w:val="00C0398D"/>
    <w:rsid w:val="00C044F0"/>
    <w:rsid w:val="00C047A3"/>
    <w:rsid w:val="00C04AD1"/>
    <w:rsid w:val="00C050C1"/>
    <w:rsid w:val="00C05559"/>
    <w:rsid w:val="00C0566F"/>
    <w:rsid w:val="00C05C3D"/>
    <w:rsid w:val="00C06D6C"/>
    <w:rsid w:val="00C071AC"/>
    <w:rsid w:val="00C07346"/>
    <w:rsid w:val="00C10277"/>
    <w:rsid w:val="00C109A2"/>
    <w:rsid w:val="00C10A68"/>
    <w:rsid w:val="00C1154B"/>
    <w:rsid w:val="00C11669"/>
    <w:rsid w:val="00C11707"/>
    <w:rsid w:val="00C11A23"/>
    <w:rsid w:val="00C11A83"/>
    <w:rsid w:val="00C11E4C"/>
    <w:rsid w:val="00C12456"/>
    <w:rsid w:val="00C12748"/>
    <w:rsid w:val="00C12DE4"/>
    <w:rsid w:val="00C12FF3"/>
    <w:rsid w:val="00C130C2"/>
    <w:rsid w:val="00C13CB3"/>
    <w:rsid w:val="00C14338"/>
    <w:rsid w:val="00C143C0"/>
    <w:rsid w:val="00C14954"/>
    <w:rsid w:val="00C16178"/>
    <w:rsid w:val="00C16C4E"/>
    <w:rsid w:val="00C1709E"/>
    <w:rsid w:val="00C17277"/>
    <w:rsid w:val="00C1745D"/>
    <w:rsid w:val="00C176D5"/>
    <w:rsid w:val="00C1770C"/>
    <w:rsid w:val="00C179B0"/>
    <w:rsid w:val="00C17A5A"/>
    <w:rsid w:val="00C20199"/>
    <w:rsid w:val="00C20245"/>
    <w:rsid w:val="00C207EF"/>
    <w:rsid w:val="00C20A17"/>
    <w:rsid w:val="00C20CA6"/>
    <w:rsid w:val="00C20F77"/>
    <w:rsid w:val="00C2195A"/>
    <w:rsid w:val="00C21AD6"/>
    <w:rsid w:val="00C226F9"/>
    <w:rsid w:val="00C228F7"/>
    <w:rsid w:val="00C229B4"/>
    <w:rsid w:val="00C22FC0"/>
    <w:rsid w:val="00C23398"/>
    <w:rsid w:val="00C23B23"/>
    <w:rsid w:val="00C23BE6"/>
    <w:rsid w:val="00C23F16"/>
    <w:rsid w:val="00C2428B"/>
    <w:rsid w:val="00C243FF"/>
    <w:rsid w:val="00C2460D"/>
    <w:rsid w:val="00C250AB"/>
    <w:rsid w:val="00C25424"/>
    <w:rsid w:val="00C25678"/>
    <w:rsid w:val="00C25C1F"/>
    <w:rsid w:val="00C26129"/>
    <w:rsid w:val="00C26205"/>
    <w:rsid w:val="00C26969"/>
    <w:rsid w:val="00C26B53"/>
    <w:rsid w:val="00C26C14"/>
    <w:rsid w:val="00C26C22"/>
    <w:rsid w:val="00C27488"/>
    <w:rsid w:val="00C27B03"/>
    <w:rsid w:val="00C304A8"/>
    <w:rsid w:val="00C3089B"/>
    <w:rsid w:val="00C3096C"/>
    <w:rsid w:val="00C30A6A"/>
    <w:rsid w:val="00C30BC1"/>
    <w:rsid w:val="00C31362"/>
    <w:rsid w:val="00C319CB"/>
    <w:rsid w:val="00C31AF7"/>
    <w:rsid w:val="00C31C86"/>
    <w:rsid w:val="00C31D36"/>
    <w:rsid w:val="00C321B4"/>
    <w:rsid w:val="00C3274E"/>
    <w:rsid w:val="00C32A71"/>
    <w:rsid w:val="00C33BDE"/>
    <w:rsid w:val="00C34280"/>
    <w:rsid w:val="00C347B3"/>
    <w:rsid w:val="00C34915"/>
    <w:rsid w:val="00C349E2"/>
    <w:rsid w:val="00C34B40"/>
    <w:rsid w:val="00C34C1A"/>
    <w:rsid w:val="00C34D95"/>
    <w:rsid w:val="00C35836"/>
    <w:rsid w:val="00C363C5"/>
    <w:rsid w:val="00C36758"/>
    <w:rsid w:val="00C36FD9"/>
    <w:rsid w:val="00C37739"/>
    <w:rsid w:val="00C378A8"/>
    <w:rsid w:val="00C37A31"/>
    <w:rsid w:val="00C41890"/>
    <w:rsid w:val="00C41CD3"/>
    <w:rsid w:val="00C424B8"/>
    <w:rsid w:val="00C4260E"/>
    <w:rsid w:val="00C42865"/>
    <w:rsid w:val="00C43438"/>
    <w:rsid w:val="00C43BA7"/>
    <w:rsid w:val="00C44264"/>
    <w:rsid w:val="00C44503"/>
    <w:rsid w:val="00C45CE0"/>
    <w:rsid w:val="00C46047"/>
    <w:rsid w:val="00C46251"/>
    <w:rsid w:val="00C46FBC"/>
    <w:rsid w:val="00C4790F"/>
    <w:rsid w:val="00C47BC7"/>
    <w:rsid w:val="00C47FC0"/>
    <w:rsid w:val="00C51316"/>
    <w:rsid w:val="00C5189F"/>
    <w:rsid w:val="00C51DEE"/>
    <w:rsid w:val="00C5221D"/>
    <w:rsid w:val="00C528CC"/>
    <w:rsid w:val="00C52EAE"/>
    <w:rsid w:val="00C53374"/>
    <w:rsid w:val="00C538B9"/>
    <w:rsid w:val="00C53A57"/>
    <w:rsid w:val="00C53ABD"/>
    <w:rsid w:val="00C53AD3"/>
    <w:rsid w:val="00C53C94"/>
    <w:rsid w:val="00C53EAA"/>
    <w:rsid w:val="00C54B32"/>
    <w:rsid w:val="00C559CC"/>
    <w:rsid w:val="00C56B49"/>
    <w:rsid w:val="00C56CE6"/>
    <w:rsid w:val="00C57741"/>
    <w:rsid w:val="00C57948"/>
    <w:rsid w:val="00C600E1"/>
    <w:rsid w:val="00C6074F"/>
    <w:rsid w:val="00C6094A"/>
    <w:rsid w:val="00C617C3"/>
    <w:rsid w:val="00C61814"/>
    <w:rsid w:val="00C61F2C"/>
    <w:rsid w:val="00C62568"/>
    <w:rsid w:val="00C6296C"/>
    <w:rsid w:val="00C64143"/>
    <w:rsid w:val="00C6434D"/>
    <w:rsid w:val="00C64704"/>
    <w:rsid w:val="00C652E5"/>
    <w:rsid w:val="00C659E9"/>
    <w:rsid w:val="00C66066"/>
    <w:rsid w:val="00C67446"/>
    <w:rsid w:val="00C67500"/>
    <w:rsid w:val="00C67775"/>
    <w:rsid w:val="00C67817"/>
    <w:rsid w:val="00C67DCE"/>
    <w:rsid w:val="00C70962"/>
    <w:rsid w:val="00C70D3F"/>
    <w:rsid w:val="00C70EEE"/>
    <w:rsid w:val="00C711D1"/>
    <w:rsid w:val="00C71409"/>
    <w:rsid w:val="00C71575"/>
    <w:rsid w:val="00C71674"/>
    <w:rsid w:val="00C721B6"/>
    <w:rsid w:val="00C724D3"/>
    <w:rsid w:val="00C72AB2"/>
    <w:rsid w:val="00C72C61"/>
    <w:rsid w:val="00C72CC6"/>
    <w:rsid w:val="00C730A4"/>
    <w:rsid w:val="00C733F7"/>
    <w:rsid w:val="00C738B8"/>
    <w:rsid w:val="00C73CC4"/>
    <w:rsid w:val="00C741EF"/>
    <w:rsid w:val="00C747F6"/>
    <w:rsid w:val="00C74832"/>
    <w:rsid w:val="00C75180"/>
    <w:rsid w:val="00C75244"/>
    <w:rsid w:val="00C75881"/>
    <w:rsid w:val="00C75E6C"/>
    <w:rsid w:val="00C75E7E"/>
    <w:rsid w:val="00C7637E"/>
    <w:rsid w:val="00C7647F"/>
    <w:rsid w:val="00C764A5"/>
    <w:rsid w:val="00C76861"/>
    <w:rsid w:val="00C76897"/>
    <w:rsid w:val="00C7697F"/>
    <w:rsid w:val="00C76C11"/>
    <w:rsid w:val="00C76FC8"/>
    <w:rsid w:val="00C774E3"/>
    <w:rsid w:val="00C77650"/>
    <w:rsid w:val="00C8122E"/>
    <w:rsid w:val="00C8136C"/>
    <w:rsid w:val="00C8143D"/>
    <w:rsid w:val="00C81A29"/>
    <w:rsid w:val="00C82FAC"/>
    <w:rsid w:val="00C82FFA"/>
    <w:rsid w:val="00C8304F"/>
    <w:rsid w:val="00C83D1D"/>
    <w:rsid w:val="00C84032"/>
    <w:rsid w:val="00C84A1B"/>
    <w:rsid w:val="00C854A4"/>
    <w:rsid w:val="00C85521"/>
    <w:rsid w:val="00C856C0"/>
    <w:rsid w:val="00C859B2"/>
    <w:rsid w:val="00C863EE"/>
    <w:rsid w:val="00C86A3D"/>
    <w:rsid w:val="00C871C0"/>
    <w:rsid w:val="00C8729C"/>
    <w:rsid w:val="00C90092"/>
    <w:rsid w:val="00C90D56"/>
    <w:rsid w:val="00C91AAD"/>
    <w:rsid w:val="00C92646"/>
    <w:rsid w:val="00C928CF"/>
    <w:rsid w:val="00C92AAE"/>
    <w:rsid w:val="00C9316A"/>
    <w:rsid w:val="00C935EE"/>
    <w:rsid w:val="00C93686"/>
    <w:rsid w:val="00C9390B"/>
    <w:rsid w:val="00C939AF"/>
    <w:rsid w:val="00C93B5E"/>
    <w:rsid w:val="00C951AD"/>
    <w:rsid w:val="00C95D8D"/>
    <w:rsid w:val="00C95F46"/>
    <w:rsid w:val="00C964A4"/>
    <w:rsid w:val="00C96F37"/>
    <w:rsid w:val="00C972DE"/>
    <w:rsid w:val="00C97AF0"/>
    <w:rsid w:val="00C97C7F"/>
    <w:rsid w:val="00CA1D50"/>
    <w:rsid w:val="00CA1DA3"/>
    <w:rsid w:val="00CA1F65"/>
    <w:rsid w:val="00CA2283"/>
    <w:rsid w:val="00CA22F3"/>
    <w:rsid w:val="00CA2AEF"/>
    <w:rsid w:val="00CA2CA3"/>
    <w:rsid w:val="00CA3100"/>
    <w:rsid w:val="00CA3214"/>
    <w:rsid w:val="00CA325F"/>
    <w:rsid w:val="00CA33B8"/>
    <w:rsid w:val="00CA4AC9"/>
    <w:rsid w:val="00CA5061"/>
    <w:rsid w:val="00CA50F6"/>
    <w:rsid w:val="00CA50F7"/>
    <w:rsid w:val="00CA5374"/>
    <w:rsid w:val="00CA5C91"/>
    <w:rsid w:val="00CA623C"/>
    <w:rsid w:val="00CA67C6"/>
    <w:rsid w:val="00CA6DD8"/>
    <w:rsid w:val="00CA7129"/>
    <w:rsid w:val="00CA7731"/>
    <w:rsid w:val="00CB03CE"/>
    <w:rsid w:val="00CB08F5"/>
    <w:rsid w:val="00CB0A63"/>
    <w:rsid w:val="00CB1582"/>
    <w:rsid w:val="00CB22B7"/>
    <w:rsid w:val="00CB31DA"/>
    <w:rsid w:val="00CB339F"/>
    <w:rsid w:val="00CB3733"/>
    <w:rsid w:val="00CB3761"/>
    <w:rsid w:val="00CB3AB4"/>
    <w:rsid w:val="00CB44C7"/>
    <w:rsid w:val="00CB459D"/>
    <w:rsid w:val="00CB4CED"/>
    <w:rsid w:val="00CB5032"/>
    <w:rsid w:val="00CB54D5"/>
    <w:rsid w:val="00CB628D"/>
    <w:rsid w:val="00CB7485"/>
    <w:rsid w:val="00CB77EE"/>
    <w:rsid w:val="00CB7DF6"/>
    <w:rsid w:val="00CB7EDA"/>
    <w:rsid w:val="00CC0456"/>
    <w:rsid w:val="00CC0B1C"/>
    <w:rsid w:val="00CC0EFB"/>
    <w:rsid w:val="00CC1045"/>
    <w:rsid w:val="00CC1824"/>
    <w:rsid w:val="00CC1F1B"/>
    <w:rsid w:val="00CC270A"/>
    <w:rsid w:val="00CC303F"/>
    <w:rsid w:val="00CC31F3"/>
    <w:rsid w:val="00CC3C96"/>
    <w:rsid w:val="00CC3E0B"/>
    <w:rsid w:val="00CC478F"/>
    <w:rsid w:val="00CC4B4C"/>
    <w:rsid w:val="00CC4BC8"/>
    <w:rsid w:val="00CC57AB"/>
    <w:rsid w:val="00CC58B9"/>
    <w:rsid w:val="00CC5CCC"/>
    <w:rsid w:val="00CC5EC2"/>
    <w:rsid w:val="00CC63D6"/>
    <w:rsid w:val="00CC6CB6"/>
    <w:rsid w:val="00CC6E3C"/>
    <w:rsid w:val="00CC7975"/>
    <w:rsid w:val="00CD077C"/>
    <w:rsid w:val="00CD1C6D"/>
    <w:rsid w:val="00CD213B"/>
    <w:rsid w:val="00CD342A"/>
    <w:rsid w:val="00CD3863"/>
    <w:rsid w:val="00CD3940"/>
    <w:rsid w:val="00CD4470"/>
    <w:rsid w:val="00CD54C0"/>
    <w:rsid w:val="00CD5AC1"/>
    <w:rsid w:val="00CD6FD4"/>
    <w:rsid w:val="00CD7097"/>
    <w:rsid w:val="00CD709C"/>
    <w:rsid w:val="00CD739E"/>
    <w:rsid w:val="00CD7EEB"/>
    <w:rsid w:val="00CE01C5"/>
    <w:rsid w:val="00CE110D"/>
    <w:rsid w:val="00CE11C5"/>
    <w:rsid w:val="00CE1480"/>
    <w:rsid w:val="00CE1A09"/>
    <w:rsid w:val="00CE27FD"/>
    <w:rsid w:val="00CE29AD"/>
    <w:rsid w:val="00CE2F14"/>
    <w:rsid w:val="00CE3571"/>
    <w:rsid w:val="00CE35D8"/>
    <w:rsid w:val="00CE35E9"/>
    <w:rsid w:val="00CE4241"/>
    <w:rsid w:val="00CE440B"/>
    <w:rsid w:val="00CE50B3"/>
    <w:rsid w:val="00CE52B8"/>
    <w:rsid w:val="00CE530B"/>
    <w:rsid w:val="00CE543A"/>
    <w:rsid w:val="00CE560D"/>
    <w:rsid w:val="00CE5E34"/>
    <w:rsid w:val="00CE5E50"/>
    <w:rsid w:val="00CE6A0B"/>
    <w:rsid w:val="00CE762E"/>
    <w:rsid w:val="00CE79DE"/>
    <w:rsid w:val="00CE7BF6"/>
    <w:rsid w:val="00CE7F84"/>
    <w:rsid w:val="00CF05EE"/>
    <w:rsid w:val="00CF0950"/>
    <w:rsid w:val="00CF129F"/>
    <w:rsid w:val="00CF137E"/>
    <w:rsid w:val="00CF1706"/>
    <w:rsid w:val="00CF2A98"/>
    <w:rsid w:val="00CF3B07"/>
    <w:rsid w:val="00CF3C1B"/>
    <w:rsid w:val="00CF47E3"/>
    <w:rsid w:val="00CF4932"/>
    <w:rsid w:val="00CF4C13"/>
    <w:rsid w:val="00CF6135"/>
    <w:rsid w:val="00CF62E0"/>
    <w:rsid w:val="00CF62F7"/>
    <w:rsid w:val="00CF6384"/>
    <w:rsid w:val="00CF6902"/>
    <w:rsid w:val="00CF6AE0"/>
    <w:rsid w:val="00CF7701"/>
    <w:rsid w:val="00D0094B"/>
    <w:rsid w:val="00D01161"/>
    <w:rsid w:val="00D01BC5"/>
    <w:rsid w:val="00D0282F"/>
    <w:rsid w:val="00D02B8F"/>
    <w:rsid w:val="00D03E5B"/>
    <w:rsid w:val="00D0401F"/>
    <w:rsid w:val="00D04A4D"/>
    <w:rsid w:val="00D04AC8"/>
    <w:rsid w:val="00D04FE0"/>
    <w:rsid w:val="00D054CB"/>
    <w:rsid w:val="00D059D1"/>
    <w:rsid w:val="00D05BEA"/>
    <w:rsid w:val="00D06591"/>
    <w:rsid w:val="00D06651"/>
    <w:rsid w:val="00D066EF"/>
    <w:rsid w:val="00D06BAF"/>
    <w:rsid w:val="00D06E88"/>
    <w:rsid w:val="00D07B9C"/>
    <w:rsid w:val="00D10432"/>
    <w:rsid w:val="00D11F90"/>
    <w:rsid w:val="00D120F4"/>
    <w:rsid w:val="00D13527"/>
    <w:rsid w:val="00D13728"/>
    <w:rsid w:val="00D13955"/>
    <w:rsid w:val="00D13AD4"/>
    <w:rsid w:val="00D13BC2"/>
    <w:rsid w:val="00D13D46"/>
    <w:rsid w:val="00D14494"/>
    <w:rsid w:val="00D14BEF"/>
    <w:rsid w:val="00D15E4E"/>
    <w:rsid w:val="00D166AC"/>
    <w:rsid w:val="00D16DD2"/>
    <w:rsid w:val="00D16EF4"/>
    <w:rsid w:val="00D17601"/>
    <w:rsid w:val="00D1794F"/>
    <w:rsid w:val="00D17955"/>
    <w:rsid w:val="00D20D6E"/>
    <w:rsid w:val="00D212EF"/>
    <w:rsid w:val="00D21300"/>
    <w:rsid w:val="00D21733"/>
    <w:rsid w:val="00D21840"/>
    <w:rsid w:val="00D229E5"/>
    <w:rsid w:val="00D22A19"/>
    <w:rsid w:val="00D22AF4"/>
    <w:rsid w:val="00D22F7B"/>
    <w:rsid w:val="00D230DC"/>
    <w:rsid w:val="00D236A8"/>
    <w:rsid w:val="00D24057"/>
    <w:rsid w:val="00D247E7"/>
    <w:rsid w:val="00D24B13"/>
    <w:rsid w:val="00D260B1"/>
    <w:rsid w:val="00D269FA"/>
    <w:rsid w:val="00D26C9A"/>
    <w:rsid w:val="00D27712"/>
    <w:rsid w:val="00D303E8"/>
    <w:rsid w:val="00D30BA4"/>
    <w:rsid w:val="00D30FB5"/>
    <w:rsid w:val="00D31BA6"/>
    <w:rsid w:val="00D331D1"/>
    <w:rsid w:val="00D335E1"/>
    <w:rsid w:val="00D339A0"/>
    <w:rsid w:val="00D34426"/>
    <w:rsid w:val="00D3480F"/>
    <w:rsid w:val="00D3545E"/>
    <w:rsid w:val="00D35510"/>
    <w:rsid w:val="00D356E9"/>
    <w:rsid w:val="00D3572A"/>
    <w:rsid w:val="00D35CED"/>
    <w:rsid w:val="00D35FEA"/>
    <w:rsid w:val="00D366E4"/>
    <w:rsid w:val="00D375B7"/>
    <w:rsid w:val="00D3780F"/>
    <w:rsid w:val="00D41194"/>
    <w:rsid w:val="00D41D40"/>
    <w:rsid w:val="00D42301"/>
    <w:rsid w:val="00D423AC"/>
    <w:rsid w:val="00D43560"/>
    <w:rsid w:val="00D440B0"/>
    <w:rsid w:val="00D446AF"/>
    <w:rsid w:val="00D44B15"/>
    <w:rsid w:val="00D44DC6"/>
    <w:rsid w:val="00D44F62"/>
    <w:rsid w:val="00D452DC"/>
    <w:rsid w:val="00D4692E"/>
    <w:rsid w:val="00D47044"/>
    <w:rsid w:val="00D474A9"/>
    <w:rsid w:val="00D476EA"/>
    <w:rsid w:val="00D47DDB"/>
    <w:rsid w:val="00D500F7"/>
    <w:rsid w:val="00D50283"/>
    <w:rsid w:val="00D514E5"/>
    <w:rsid w:val="00D515B7"/>
    <w:rsid w:val="00D51D16"/>
    <w:rsid w:val="00D51DFA"/>
    <w:rsid w:val="00D523BE"/>
    <w:rsid w:val="00D5247F"/>
    <w:rsid w:val="00D524C3"/>
    <w:rsid w:val="00D52B6C"/>
    <w:rsid w:val="00D52E7E"/>
    <w:rsid w:val="00D53443"/>
    <w:rsid w:val="00D53589"/>
    <w:rsid w:val="00D539D5"/>
    <w:rsid w:val="00D544D5"/>
    <w:rsid w:val="00D557D4"/>
    <w:rsid w:val="00D55D3B"/>
    <w:rsid w:val="00D55DE1"/>
    <w:rsid w:val="00D568EF"/>
    <w:rsid w:val="00D56D53"/>
    <w:rsid w:val="00D56F29"/>
    <w:rsid w:val="00D570DC"/>
    <w:rsid w:val="00D57897"/>
    <w:rsid w:val="00D602DE"/>
    <w:rsid w:val="00D60652"/>
    <w:rsid w:val="00D6067C"/>
    <w:rsid w:val="00D6096A"/>
    <w:rsid w:val="00D60A9D"/>
    <w:rsid w:val="00D60ABE"/>
    <w:rsid w:val="00D60CE5"/>
    <w:rsid w:val="00D60FB7"/>
    <w:rsid w:val="00D61811"/>
    <w:rsid w:val="00D6193D"/>
    <w:rsid w:val="00D61A63"/>
    <w:rsid w:val="00D62521"/>
    <w:rsid w:val="00D62622"/>
    <w:rsid w:val="00D6305E"/>
    <w:rsid w:val="00D631E5"/>
    <w:rsid w:val="00D6332B"/>
    <w:rsid w:val="00D63F9F"/>
    <w:rsid w:val="00D644E1"/>
    <w:rsid w:val="00D646D3"/>
    <w:rsid w:val="00D6590D"/>
    <w:rsid w:val="00D662F2"/>
    <w:rsid w:val="00D665F1"/>
    <w:rsid w:val="00D66892"/>
    <w:rsid w:val="00D668A3"/>
    <w:rsid w:val="00D66F85"/>
    <w:rsid w:val="00D6711E"/>
    <w:rsid w:val="00D671DA"/>
    <w:rsid w:val="00D672EB"/>
    <w:rsid w:val="00D6762A"/>
    <w:rsid w:val="00D704A1"/>
    <w:rsid w:val="00D70CF8"/>
    <w:rsid w:val="00D70D02"/>
    <w:rsid w:val="00D71C83"/>
    <w:rsid w:val="00D71EB6"/>
    <w:rsid w:val="00D71F42"/>
    <w:rsid w:val="00D71F70"/>
    <w:rsid w:val="00D72105"/>
    <w:rsid w:val="00D72471"/>
    <w:rsid w:val="00D7255A"/>
    <w:rsid w:val="00D729CC"/>
    <w:rsid w:val="00D730D4"/>
    <w:rsid w:val="00D73247"/>
    <w:rsid w:val="00D73602"/>
    <w:rsid w:val="00D736C5"/>
    <w:rsid w:val="00D73B08"/>
    <w:rsid w:val="00D74B82"/>
    <w:rsid w:val="00D74CD3"/>
    <w:rsid w:val="00D7539B"/>
    <w:rsid w:val="00D767F5"/>
    <w:rsid w:val="00D76BEE"/>
    <w:rsid w:val="00D76F44"/>
    <w:rsid w:val="00D77146"/>
    <w:rsid w:val="00D771F0"/>
    <w:rsid w:val="00D775D5"/>
    <w:rsid w:val="00D80127"/>
    <w:rsid w:val="00D802BB"/>
    <w:rsid w:val="00D804E2"/>
    <w:rsid w:val="00D805D1"/>
    <w:rsid w:val="00D806E9"/>
    <w:rsid w:val="00D80AC0"/>
    <w:rsid w:val="00D81E63"/>
    <w:rsid w:val="00D81FB3"/>
    <w:rsid w:val="00D81FCE"/>
    <w:rsid w:val="00D82FD7"/>
    <w:rsid w:val="00D83306"/>
    <w:rsid w:val="00D83B4B"/>
    <w:rsid w:val="00D83B80"/>
    <w:rsid w:val="00D8403C"/>
    <w:rsid w:val="00D84784"/>
    <w:rsid w:val="00D84DF0"/>
    <w:rsid w:val="00D84FA6"/>
    <w:rsid w:val="00D84FD1"/>
    <w:rsid w:val="00D85B69"/>
    <w:rsid w:val="00D85C5F"/>
    <w:rsid w:val="00D85ECC"/>
    <w:rsid w:val="00D861E5"/>
    <w:rsid w:val="00D864C7"/>
    <w:rsid w:val="00D8650E"/>
    <w:rsid w:val="00D865E2"/>
    <w:rsid w:val="00D8693C"/>
    <w:rsid w:val="00D86EB7"/>
    <w:rsid w:val="00D87435"/>
    <w:rsid w:val="00D87887"/>
    <w:rsid w:val="00D87B1B"/>
    <w:rsid w:val="00D91E9F"/>
    <w:rsid w:val="00D92025"/>
    <w:rsid w:val="00D92041"/>
    <w:rsid w:val="00D9204D"/>
    <w:rsid w:val="00D9255B"/>
    <w:rsid w:val="00D9268C"/>
    <w:rsid w:val="00D9288A"/>
    <w:rsid w:val="00D92A93"/>
    <w:rsid w:val="00D92B5E"/>
    <w:rsid w:val="00D92B89"/>
    <w:rsid w:val="00D93388"/>
    <w:rsid w:val="00D93CFF"/>
    <w:rsid w:val="00D94B21"/>
    <w:rsid w:val="00D94BE1"/>
    <w:rsid w:val="00D95457"/>
    <w:rsid w:val="00D97A7B"/>
    <w:rsid w:val="00DA0887"/>
    <w:rsid w:val="00DA0B38"/>
    <w:rsid w:val="00DA1259"/>
    <w:rsid w:val="00DA1AAD"/>
    <w:rsid w:val="00DA1E08"/>
    <w:rsid w:val="00DA22A5"/>
    <w:rsid w:val="00DA2961"/>
    <w:rsid w:val="00DA34F8"/>
    <w:rsid w:val="00DA371F"/>
    <w:rsid w:val="00DA3AC5"/>
    <w:rsid w:val="00DA4A52"/>
    <w:rsid w:val="00DA4FBC"/>
    <w:rsid w:val="00DA61B9"/>
    <w:rsid w:val="00DA6AFC"/>
    <w:rsid w:val="00DA6BC9"/>
    <w:rsid w:val="00DA6E04"/>
    <w:rsid w:val="00DA7086"/>
    <w:rsid w:val="00DA7457"/>
    <w:rsid w:val="00DA796B"/>
    <w:rsid w:val="00DA7F03"/>
    <w:rsid w:val="00DB01BB"/>
    <w:rsid w:val="00DB09BF"/>
    <w:rsid w:val="00DB1083"/>
    <w:rsid w:val="00DB1527"/>
    <w:rsid w:val="00DB1B31"/>
    <w:rsid w:val="00DB21FE"/>
    <w:rsid w:val="00DB27A0"/>
    <w:rsid w:val="00DB2995"/>
    <w:rsid w:val="00DB2ED0"/>
    <w:rsid w:val="00DB3665"/>
    <w:rsid w:val="00DB38F0"/>
    <w:rsid w:val="00DB3EE8"/>
    <w:rsid w:val="00DB4701"/>
    <w:rsid w:val="00DB4E76"/>
    <w:rsid w:val="00DB59C0"/>
    <w:rsid w:val="00DB5BAB"/>
    <w:rsid w:val="00DB6272"/>
    <w:rsid w:val="00DB656B"/>
    <w:rsid w:val="00DB6B1D"/>
    <w:rsid w:val="00DB7507"/>
    <w:rsid w:val="00DB7510"/>
    <w:rsid w:val="00DB7611"/>
    <w:rsid w:val="00DB7891"/>
    <w:rsid w:val="00DB7A70"/>
    <w:rsid w:val="00DC004C"/>
    <w:rsid w:val="00DC0146"/>
    <w:rsid w:val="00DC03EE"/>
    <w:rsid w:val="00DC055C"/>
    <w:rsid w:val="00DC0749"/>
    <w:rsid w:val="00DC0896"/>
    <w:rsid w:val="00DC1044"/>
    <w:rsid w:val="00DC18D0"/>
    <w:rsid w:val="00DC2520"/>
    <w:rsid w:val="00DC2FE7"/>
    <w:rsid w:val="00DC36B8"/>
    <w:rsid w:val="00DC46C1"/>
    <w:rsid w:val="00DC4DA6"/>
    <w:rsid w:val="00DC5136"/>
    <w:rsid w:val="00DC53F2"/>
    <w:rsid w:val="00DC5FA7"/>
    <w:rsid w:val="00DC678A"/>
    <w:rsid w:val="00DC6B01"/>
    <w:rsid w:val="00DC6D09"/>
    <w:rsid w:val="00DC7797"/>
    <w:rsid w:val="00DC7959"/>
    <w:rsid w:val="00DC7C92"/>
    <w:rsid w:val="00DC7E53"/>
    <w:rsid w:val="00DC7F7D"/>
    <w:rsid w:val="00DD03AE"/>
    <w:rsid w:val="00DD078A"/>
    <w:rsid w:val="00DD0D14"/>
    <w:rsid w:val="00DD10C5"/>
    <w:rsid w:val="00DD10FC"/>
    <w:rsid w:val="00DD114D"/>
    <w:rsid w:val="00DD1737"/>
    <w:rsid w:val="00DD2166"/>
    <w:rsid w:val="00DD3008"/>
    <w:rsid w:val="00DD3024"/>
    <w:rsid w:val="00DD31E3"/>
    <w:rsid w:val="00DD34E1"/>
    <w:rsid w:val="00DD37A9"/>
    <w:rsid w:val="00DD383B"/>
    <w:rsid w:val="00DD3E56"/>
    <w:rsid w:val="00DD425B"/>
    <w:rsid w:val="00DD45E7"/>
    <w:rsid w:val="00DD4E89"/>
    <w:rsid w:val="00DD5A41"/>
    <w:rsid w:val="00DD5A65"/>
    <w:rsid w:val="00DD5E61"/>
    <w:rsid w:val="00DD604E"/>
    <w:rsid w:val="00DD621B"/>
    <w:rsid w:val="00DD642D"/>
    <w:rsid w:val="00DD71F6"/>
    <w:rsid w:val="00DD7504"/>
    <w:rsid w:val="00DD752C"/>
    <w:rsid w:val="00DD7667"/>
    <w:rsid w:val="00DD777C"/>
    <w:rsid w:val="00DE0D2F"/>
    <w:rsid w:val="00DE0D75"/>
    <w:rsid w:val="00DE19EB"/>
    <w:rsid w:val="00DE1E04"/>
    <w:rsid w:val="00DE1E93"/>
    <w:rsid w:val="00DE21ED"/>
    <w:rsid w:val="00DE42E2"/>
    <w:rsid w:val="00DE586B"/>
    <w:rsid w:val="00DE58AB"/>
    <w:rsid w:val="00DE5B0F"/>
    <w:rsid w:val="00DE5BF6"/>
    <w:rsid w:val="00DE6229"/>
    <w:rsid w:val="00DE63A1"/>
    <w:rsid w:val="00DE7202"/>
    <w:rsid w:val="00DE7C5D"/>
    <w:rsid w:val="00DE7E0C"/>
    <w:rsid w:val="00DF0156"/>
    <w:rsid w:val="00DF0B13"/>
    <w:rsid w:val="00DF0D76"/>
    <w:rsid w:val="00DF0F0E"/>
    <w:rsid w:val="00DF0FE3"/>
    <w:rsid w:val="00DF1C79"/>
    <w:rsid w:val="00DF213F"/>
    <w:rsid w:val="00DF256B"/>
    <w:rsid w:val="00DF26E1"/>
    <w:rsid w:val="00DF288F"/>
    <w:rsid w:val="00DF2CB1"/>
    <w:rsid w:val="00DF363D"/>
    <w:rsid w:val="00DF377C"/>
    <w:rsid w:val="00DF37B9"/>
    <w:rsid w:val="00DF3F86"/>
    <w:rsid w:val="00DF40DE"/>
    <w:rsid w:val="00DF41CE"/>
    <w:rsid w:val="00DF4633"/>
    <w:rsid w:val="00DF4FD7"/>
    <w:rsid w:val="00DF53A0"/>
    <w:rsid w:val="00DF5503"/>
    <w:rsid w:val="00DF69F9"/>
    <w:rsid w:val="00DF6ABC"/>
    <w:rsid w:val="00DF7AEB"/>
    <w:rsid w:val="00DF7B20"/>
    <w:rsid w:val="00DF7C6A"/>
    <w:rsid w:val="00E00247"/>
    <w:rsid w:val="00E00D0C"/>
    <w:rsid w:val="00E02010"/>
    <w:rsid w:val="00E020BB"/>
    <w:rsid w:val="00E02579"/>
    <w:rsid w:val="00E02B50"/>
    <w:rsid w:val="00E03282"/>
    <w:rsid w:val="00E032D2"/>
    <w:rsid w:val="00E033A1"/>
    <w:rsid w:val="00E0367D"/>
    <w:rsid w:val="00E03804"/>
    <w:rsid w:val="00E03915"/>
    <w:rsid w:val="00E039C7"/>
    <w:rsid w:val="00E03E5C"/>
    <w:rsid w:val="00E03F83"/>
    <w:rsid w:val="00E0423A"/>
    <w:rsid w:val="00E04B3F"/>
    <w:rsid w:val="00E04FF0"/>
    <w:rsid w:val="00E060C1"/>
    <w:rsid w:val="00E06B1E"/>
    <w:rsid w:val="00E07787"/>
    <w:rsid w:val="00E07F52"/>
    <w:rsid w:val="00E07FDB"/>
    <w:rsid w:val="00E10AAF"/>
    <w:rsid w:val="00E11222"/>
    <w:rsid w:val="00E114DE"/>
    <w:rsid w:val="00E1195E"/>
    <w:rsid w:val="00E11A77"/>
    <w:rsid w:val="00E11D49"/>
    <w:rsid w:val="00E122EE"/>
    <w:rsid w:val="00E13398"/>
    <w:rsid w:val="00E13708"/>
    <w:rsid w:val="00E138FA"/>
    <w:rsid w:val="00E14396"/>
    <w:rsid w:val="00E14464"/>
    <w:rsid w:val="00E147D5"/>
    <w:rsid w:val="00E14C0E"/>
    <w:rsid w:val="00E15BE8"/>
    <w:rsid w:val="00E16314"/>
    <w:rsid w:val="00E16642"/>
    <w:rsid w:val="00E166F2"/>
    <w:rsid w:val="00E1787C"/>
    <w:rsid w:val="00E17B10"/>
    <w:rsid w:val="00E200B4"/>
    <w:rsid w:val="00E21127"/>
    <w:rsid w:val="00E2249E"/>
    <w:rsid w:val="00E22B76"/>
    <w:rsid w:val="00E22D25"/>
    <w:rsid w:val="00E22D46"/>
    <w:rsid w:val="00E234F1"/>
    <w:rsid w:val="00E235D9"/>
    <w:rsid w:val="00E241ED"/>
    <w:rsid w:val="00E249A3"/>
    <w:rsid w:val="00E24AB5"/>
    <w:rsid w:val="00E24B8F"/>
    <w:rsid w:val="00E24E3A"/>
    <w:rsid w:val="00E259D8"/>
    <w:rsid w:val="00E25AF8"/>
    <w:rsid w:val="00E26C55"/>
    <w:rsid w:val="00E26F6C"/>
    <w:rsid w:val="00E27400"/>
    <w:rsid w:val="00E31503"/>
    <w:rsid w:val="00E3172D"/>
    <w:rsid w:val="00E31902"/>
    <w:rsid w:val="00E31A52"/>
    <w:rsid w:val="00E31BD0"/>
    <w:rsid w:val="00E31E47"/>
    <w:rsid w:val="00E32136"/>
    <w:rsid w:val="00E322D5"/>
    <w:rsid w:val="00E32B94"/>
    <w:rsid w:val="00E34B79"/>
    <w:rsid w:val="00E34CA3"/>
    <w:rsid w:val="00E353AB"/>
    <w:rsid w:val="00E35C4A"/>
    <w:rsid w:val="00E35D4A"/>
    <w:rsid w:val="00E35D89"/>
    <w:rsid w:val="00E35DE8"/>
    <w:rsid w:val="00E36603"/>
    <w:rsid w:val="00E37131"/>
    <w:rsid w:val="00E371DD"/>
    <w:rsid w:val="00E37A0F"/>
    <w:rsid w:val="00E37DA6"/>
    <w:rsid w:val="00E37FE3"/>
    <w:rsid w:val="00E40AC0"/>
    <w:rsid w:val="00E40EB7"/>
    <w:rsid w:val="00E4155C"/>
    <w:rsid w:val="00E415A7"/>
    <w:rsid w:val="00E41BFC"/>
    <w:rsid w:val="00E42359"/>
    <w:rsid w:val="00E42F51"/>
    <w:rsid w:val="00E43AAA"/>
    <w:rsid w:val="00E44137"/>
    <w:rsid w:val="00E44379"/>
    <w:rsid w:val="00E44B15"/>
    <w:rsid w:val="00E44C62"/>
    <w:rsid w:val="00E45792"/>
    <w:rsid w:val="00E45B36"/>
    <w:rsid w:val="00E45B5A"/>
    <w:rsid w:val="00E45F26"/>
    <w:rsid w:val="00E469CC"/>
    <w:rsid w:val="00E46B0B"/>
    <w:rsid w:val="00E4797F"/>
    <w:rsid w:val="00E47B7E"/>
    <w:rsid w:val="00E47F86"/>
    <w:rsid w:val="00E503F6"/>
    <w:rsid w:val="00E50CE9"/>
    <w:rsid w:val="00E50F6B"/>
    <w:rsid w:val="00E50FDD"/>
    <w:rsid w:val="00E513F4"/>
    <w:rsid w:val="00E51544"/>
    <w:rsid w:val="00E517B0"/>
    <w:rsid w:val="00E51C91"/>
    <w:rsid w:val="00E52246"/>
    <w:rsid w:val="00E523D4"/>
    <w:rsid w:val="00E52D2C"/>
    <w:rsid w:val="00E5387C"/>
    <w:rsid w:val="00E5390B"/>
    <w:rsid w:val="00E5458B"/>
    <w:rsid w:val="00E54744"/>
    <w:rsid w:val="00E54EF2"/>
    <w:rsid w:val="00E554E4"/>
    <w:rsid w:val="00E55C25"/>
    <w:rsid w:val="00E55C89"/>
    <w:rsid w:val="00E55D71"/>
    <w:rsid w:val="00E5633F"/>
    <w:rsid w:val="00E56D37"/>
    <w:rsid w:val="00E5701C"/>
    <w:rsid w:val="00E570AA"/>
    <w:rsid w:val="00E57785"/>
    <w:rsid w:val="00E605AB"/>
    <w:rsid w:val="00E60D59"/>
    <w:rsid w:val="00E60DC5"/>
    <w:rsid w:val="00E6239C"/>
    <w:rsid w:val="00E623AD"/>
    <w:rsid w:val="00E63105"/>
    <w:rsid w:val="00E6313F"/>
    <w:rsid w:val="00E632EB"/>
    <w:rsid w:val="00E63559"/>
    <w:rsid w:val="00E638E1"/>
    <w:rsid w:val="00E639D7"/>
    <w:rsid w:val="00E642B1"/>
    <w:rsid w:val="00E6430B"/>
    <w:rsid w:val="00E6596B"/>
    <w:rsid w:val="00E6626D"/>
    <w:rsid w:val="00E6644B"/>
    <w:rsid w:val="00E66565"/>
    <w:rsid w:val="00E67180"/>
    <w:rsid w:val="00E6726F"/>
    <w:rsid w:val="00E67356"/>
    <w:rsid w:val="00E67372"/>
    <w:rsid w:val="00E67655"/>
    <w:rsid w:val="00E676E2"/>
    <w:rsid w:val="00E67A9F"/>
    <w:rsid w:val="00E67B25"/>
    <w:rsid w:val="00E70601"/>
    <w:rsid w:val="00E70A85"/>
    <w:rsid w:val="00E70F7D"/>
    <w:rsid w:val="00E7164B"/>
    <w:rsid w:val="00E7174D"/>
    <w:rsid w:val="00E73655"/>
    <w:rsid w:val="00E73921"/>
    <w:rsid w:val="00E73D34"/>
    <w:rsid w:val="00E7430A"/>
    <w:rsid w:val="00E744F0"/>
    <w:rsid w:val="00E74FA5"/>
    <w:rsid w:val="00E7541B"/>
    <w:rsid w:val="00E756A8"/>
    <w:rsid w:val="00E76032"/>
    <w:rsid w:val="00E768F2"/>
    <w:rsid w:val="00E771F3"/>
    <w:rsid w:val="00E775CA"/>
    <w:rsid w:val="00E77E9E"/>
    <w:rsid w:val="00E8033B"/>
    <w:rsid w:val="00E80DC7"/>
    <w:rsid w:val="00E81291"/>
    <w:rsid w:val="00E8177D"/>
    <w:rsid w:val="00E817A3"/>
    <w:rsid w:val="00E81D43"/>
    <w:rsid w:val="00E81DED"/>
    <w:rsid w:val="00E821A8"/>
    <w:rsid w:val="00E82316"/>
    <w:rsid w:val="00E825B3"/>
    <w:rsid w:val="00E82604"/>
    <w:rsid w:val="00E82794"/>
    <w:rsid w:val="00E82A1E"/>
    <w:rsid w:val="00E83672"/>
    <w:rsid w:val="00E8428D"/>
    <w:rsid w:val="00E849DE"/>
    <w:rsid w:val="00E84DC9"/>
    <w:rsid w:val="00E850E4"/>
    <w:rsid w:val="00E85948"/>
    <w:rsid w:val="00E862EA"/>
    <w:rsid w:val="00E86536"/>
    <w:rsid w:val="00E866B3"/>
    <w:rsid w:val="00E8739E"/>
    <w:rsid w:val="00E90161"/>
    <w:rsid w:val="00E9167E"/>
    <w:rsid w:val="00E91CA8"/>
    <w:rsid w:val="00E91E82"/>
    <w:rsid w:val="00E9216C"/>
    <w:rsid w:val="00E922A4"/>
    <w:rsid w:val="00E925CE"/>
    <w:rsid w:val="00E92797"/>
    <w:rsid w:val="00E93444"/>
    <w:rsid w:val="00E93B3F"/>
    <w:rsid w:val="00E93F3F"/>
    <w:rsid w:val="00E942A7"/>
    <w:rsid w:val="00E944EC"/>
    <w:rsid w:val="00E945F6"/>
    <w:rsid w:val="00E949DC"/>
    <w:rsid w:val="00E954A3"/>
    <w:rsid w:val="00E95798"/>
    <w:rsid w:val="00E959AD"/>
    <w:rsid w:val="00E95BC6"/>
    <w:rsid w:val="00E95FA7"/>
    <w:rsid w:val="00E96252"/>
    <w:rsid w:val="00E96413"/>
    <w:rsid w:val="00E9660F"/>
    <w:rsid w:val="00E967CB"/>
    <w:rsid w:val="00E97B36"/>
    <w:rsid w:val="00EA010B"/>
    <w:rsid w:val="00EA05D9"/>
    <w:rsid w:val="00EA0BE5"/>
    <w:rsid w:val="00EA1104"/>
    <w:rsid w:val="00EA2356"/>
    <w:rsid w:val="00EA2662"/>
    <w:rsid w:val="00EA2731"/>
    <w:rsid w:val="00EA4942"/>
    <w:rsid w:val="00EA4EFB"/>
    <w:rsid w:val="00EA4F8D"/>
    <w:rsid w:val="00EA4FA1"/>
    <w:rsid w:val="00EA5257"/>
    <w:rsid w:val="00EA59B6"/>
    <w:rsid w:val="00EA5EC3"/>
    <w:rsid w:val="00EA7415"/>
    <w:rsid w:val="00EA7C0E"/>
    <w:rsid w:val="00EB026E"/>
    <w:rsid w:val="00EB0433"/>
    <w:rsid w:val="00EB056E"/>
    <w:rsid w:val="00EB1B8B"/>
    <w:rsid w:val="00EB1C7B"/>
    <w:rsid w:val="00EB24EC"/>
    <w:rsid w:val="00EB26D7"/>
    <w:rsid w:val="00EB26D8"/>
    <w:rsid w:val="00EB2AF5"/>
    <w:rsid w:val="00EB2C71"/>
    <w:rsid w:val="00EB2EAC"/>
    <w:rsid w:val="00EB3C54"/>
    <w:rsid w:val="00EB44A9"/>
    <w:rsid w:val="00EB4951"/>
    <w:rsid w:val="00EB4F74"/>
    <w:rsid w:val="00EB595B"/>
    <w:rsid w:val="00EB5CF4"/>
    <w:rsid w:val="00EB617A"/>
    <w:rsid w:val="00EB673D"/>
    <w:rsid w:val="00EB697B"/>
    <w:rsid w:val="00EB6EE6"/>
    <w:rsid w:val="00EB764C"/>
    <w:rsid w:val="00EB7A9E"/>
    <w:rsid w:val="00EC091C"/>
    <w:rsid w:val="00EC098E"/>
    <w:rsid w:val="00EC0BCB"/>
    <w:rsid w:val="00EC0E71"/>
    <w:rsid w:val="00EC108E"/>
    <w:rsid w:val="00EC1C6B"/>
    <w:rsid w:val="00EC21C9"/>
    <w:rsid w:val="00EC228F"/>
    <w:rsid w:val="00EC23AA"/>
    <w:rsid w:val="00EC2B99"/>
    <w:rsid w:val="00EC2F33"/>
    <w:rsid w:val="00EC32EA"/>
    <w:rsid w:val="00EC44C5"/>
    <w:rsid w:val="00EC461E"/>
    <w:rsid w:val="00EC4873"/>
    <w:rsid w:val="00EC555C"/>
    <w:rsid w:val="00EC5613"/>
    <w:rsid w:val="00EC6715"/>
    <w:rsid w:val="00EC77BD"/>
    <w:rsid w:val="00ED0BA3"/>
    <w:rsid w:val="00ED1D94"/>
    <w:rsid w:val="00ED2158"/>
    <w:rsid w:val="00ED23F7"/>
    <w:rsid w:val="00ED2988"/>
    <w:rsid w:val="00ED2A43"/>
    <w:rsid w:val="00ED3716"/>
    <w:rsid w:val="00ED3A02"/>
    <w:rsid w:val="00ED43F4"/>
    <w:rsid w:val="00ED43F6"/>
    <w:rsid w:val="00ED4B36"/>
    <w:rsid w:val="00ED5417"/>
    <w:rsid w:val="00ED56FE"/>
    <w:rsid w:val="00ED613A"/>
    <w:rsid w:val="00ED66D1"/>
    <w:rsid w:val="00ED685D"/>
    <w:rsid w:val="00ED6CFA"/>
    <w:rsid w:val="00ED6D53"/>
    <w:rsid w:val="00ED6DE4"/>
    <w:rsid w:val="00EE004C"/>
    <w:rsid w:val="00EE02DE"/>
    <w:rsid w:val="00EE0BA8"/>
    <w:rsid w:val="00EE1855"/>
    <w:rsid w:val="00EE1E1F"/>
    <w:rsid w:val="00EE2751"/>
    <w:rsid w:val="00EE2B68"/>
    <w:rsid w:val="00EE36EF"/>
    <w:rsid w:val="00EE3733"/>
    <w:rsid w:val="00EE395E"/>
    <w:rsid w:val="00EE5614"/>
    <w:rsid w:val="00EE5711"/>
    <w:rsid w:val="00EE6D70"/>
    <w:rsid w:val="00EE7174"/>
    <w:rsid w:val="00EE76BA"/>
    <w:rsid w:val="00EF019F"/>
    <w:rsid w:val="00EF06E2"/>
    <w:rsid w:val="00EF0E51"/>
    <w:rsid w:val="00EF10A9"/>
    <w:rsid w:val="00EF12D3"/>
    <w:rsid w:val="00EF1386"/>
    <w:rsid w:val="00EF2491"/>
    <w:rsid w:val="00EF256B"/>
    <w:rsid w:val="00EF2C3F"/>
    <w:rsid w:val="00EF3A1E"/>
    <w:rsid w:val="00EF5277"/>
    <w:rsid w:val="00EF58D1"/>
    <w:rsid w:val="00EF5CAD"/>
    <w:rsid w:val="00EF611F"/>
    <w:rsid w:val="00EF6460"/>
    <w:rsid w:val="00EF6674"/>
    <w:rsid w:val="00EF76E1"/>
    <w:rsid w:val="00EF7AC4"/>
    <w:rsid w:val="00F00593"/>
    <w:rsid w:val="00F0155C"/>
    <w:rsid w:val="00F020EF"/>
    <w:rsid w:val="00F029AF"/>
    <w:rsid w:val="00F0393D"/>
    <w:rsid w:val="00F04023"/>
    <w:rsid w:val="00F04099"/>
    <w:rsid w:val="00F05563"/>
    <w:rsid w:val="00F05B66"/>
    <w:rsid w:val="00F05D2C"/>
    <w:rsid w:val="00F05E42"/>
    <w:rsid w:val="00F05F72"/>
    <w:rsid w:val="00F06023"/>
    <w:rsid w:val="00F0605D"/>
    <w:rsid w:val="00F071C3"/>
    <w:rsid w:val="00F07236"/>
    <w:rsid w:val="00F07963"/>
    <w:rsid w:val="00F07F2A"/>
    <w:rsid w:val="00F1030E"/>
    <w:rsid w:val="00F104E3"/>
    <w:rsid w:val="00F10925"/>
    <w:rsid w:val="00F10F6C"/>
    <w:rsid w:val="00F12397"/>
    <w:rsid w:val="00F12F6C"/>
    <w:rsid w:val="00F12FA3"/>
    <w:rsid w:val="00F1374F"/>
    <w:rsid w:val="00F13B99"/>
    <w:rsid w:val="00F13DAE"/>
    <w:rsid w:val="00F148F5"/>
    <w:rsid w:val="00F15489"/>
    <w:rsid w:val="00F157D8"/>
    <w:rsid w:val="00F159AC"/>
    <w:rsid w:val="00F15DDB"/>
    <w:rsid w:val="00F16901"/>
    <w:rsid w:val="00F16E97"/>
    <w:rsid w:val="00F17A53"/>
    <w:rsid w:val="00F201AD"/>
    <w:rsid w:val="00F20633"/>
    <w:rsid w:val="00F21115"/>
    <w:rsid w:val="00F21481"/>
    <w:rsid w:val="00F21B21"/>
    <w:rsid w:val="00F21C4B"/>
    <w:rsid w:val="00F21E03"/>
    <w:rsid w:val="00F21E4E"/>
    <w:rsid w:val="00F222BB"/>
    <w:rsid w:val="00F229CE"/>
    <w:rsid w:val="00F22C9C"/>
    <w:rsid w:val="00F22CB7"/>
    <w:rsid w:val="00F23447"/>
    <w:rsid w:val="00F239D3"/>
    <w:rsid w:val="00F241AA"/>
    <w:rsid w:val="00F24520"/>
    <w:rsid w:val="00F2491A"/>
    <w:rsid w:val="00F24C96"/>
    <w:rsid w:val="00F24EF6"/>
    <w:rsid w:val="00F250BD"/>
    <w:rsid w:val="00F254E4"/>
    <w:rsid w:val="00F25727"/>
    <w:rsid w:val="00F25BBC"/>
    <w:rsid w:val="00F261E4"/>
    <w:rsid w:val="00F262EC"/>
    <w:rsid w:val="00F26367"/>
    <w:rsid w:val="00F26AAB"/>
    <w:rsid w:val="00F26F5D"/>
    <w:rsid w:val="00F303B5"/>
    <w:rsid w:val="00F30803"/>
    <w:rsid w:val="00F30A67"/>
    <w:rsid w:val="00F30DA1"/>
    <w:rsid w:val="00F31AB1"/>
    <w:rsid w:val="00F31ACC"/>
    <w:rsid w:val="00F31B95"/>
    <w:rsid w:val="00F31BB9"/>
    <w:rsid w:val="00F32E44"/>
    <w:rsid w:val="00F32E6B"/>
    <w:rsid w:val="00F333BC"/>
    <w:rsid w:val="00F3381E"/>
    <w:rsid w:val="00F33BA2"/>
    <w:rsid w:val="00F33D50"/>
    <w:rsid w:val="00F33EA0"/>
    <w:rsid w:val="00F34A7E"/>
    <w:rsid w:val="00F34C92"/>
    <w:rsid w:val="00F35CCD"/>
    <w:rsid w:val="00F35D19"/>
    <w:rsid w:val="00F36DDF"/>
    <w:rsid w:val="00F377AE"/>
    <w:rsid w:val="00F37EE7"/>
    <w:rsid w:val="00F4075A"/>
    <w:rsid w:val="00F40974"/>
    <w:rsid w:val="00F40ABD"/>
    <w:rsid w:val="00F41269"/>
    <w:rsid w:val="00F412A6"/>
    <w:rsid w:val="00F41319"/>
    <w:rsid w:val="00F4189C"/>
    <w:rsid w:val="00F419B5"/>
    <w:rsid w:val="00F41B40"/>
    <w:rsid w:val="00F41D51"/>
    <w:rsid w:val="00F4248E"/>
    <w:rsid w:val="00F42B38"/>
    <w:rsid w:val="00F438F2"/>
    <w:rsid w:val="00F44891"/>
    <w:rsid w:val="00F44B13"/>
    <w:rsid w:val="00F4506C"/>
    <w:rsid w:val="00F4526D"/>
    <w:rsid w:val="00F453BA"/>
    <w:rsid w:val="00F45BE7"/>
    <w:rsid w:val="00F463D7"/>
    <w:rsid w:val="00F47ECA"/>
    <w:rsid w:val="00F50163"/>
    <w:rsid w:val="00F50AC9"/>
    <w:rsid w:val="00F510E2"/>
    <w:rsid w:val="00F515F1"/>
    <w:rsid w:val="00F51E06"/>
    <w:rsid w:val="00F522C0"/>
    <w:rsid w:val="00F5273A"/>
    <w:rsid w:val="00F52D6B"/>
    <w:rsid w:val="00F52DA7"/>
    <w:rsid w:val="00F52E18"/>
    <w:rsid w:val="00F53585"/>
    <w:rsid w:val="00F535E2"/>
    <w:rsid w:val="00F53A32"/>
    <w:rsid w:val="00F5414A"/>
    <w:rsid w:val="00F54224"/>
    <w:rsid w:val="00F543DA"/>
    <w:rsid w:val="00F54516"/>
    <w:rsid w:val="00F546FB"/>
    <w:rsid w:val="00F54926"/>
    <w:rsid w:val="00F5501F"/>
    <w:rsid w:val="00F55335"/>
    <w:rsid w:val="00F55912"/>
    <w:rsid w:val="00F55CF7"/>
    <w:rsid w:val="00F5609A"/>
    <w:rsid w:val="00F56E76"/>
    <w:rsid w:val="00F5788E"/>
    <w:rsid w:val="00F57942"/>
    <w:rsid w:val="00F57A3D"/>
    <w:rsid w:val="00F57D1C"/>
    <w:rsid w:val="00F57D47"/>
    <w:rsid w:val="00F60432"/>
    <w:rsid w:val="00F6047F"/>
    <w:rsid w:val="00F6077A"/>
    <w:rsid w:val="00F6086A"/>
    <w:rsid w:val="00F60AAA"/>
    <w:rsid w:val="00F6169B"/>
    <w:rsid w:val="00F620F8"/>
    <w:rsid w:val="00F62824"/>
    <w:rsid w:val="00F62D7C"/>
    <w:rsid w:val="00F62EE6"/>
    <w:rsid w:val="00F630AE"/>
    <w:rsid w:val="00F634C8"/>
    <w:rsid w:val="00F65602"/>
    <w:rsid w:val="00F65665"/>
    <w:rsid w:val="00F65F52"/>
    <w:rsid w:val="00F66450"/>
    <w:rsid w:val="00F66543"/>
    <w:rsid w:val="00F66604"/>
    <w:rsid w:val="00F6662C"/>
    <w:rsid w:val="00F67045"/>
    <w:rsid w:val="00F67155"/>
    <w:rsid w:val="00F67CB9"/>
    <w:rsid w:val="00F67DBA"/>
    <w:rsid w:val="00F67F67"/>
    <w:rsid w:val="00F702A0"/>
    <w:rsid w:val="00F7058F"/>
    <w:rsid w:val="00F707B5"/>
    <w:rsid w:val="00F70B47"/>
    <w:rsid w:val="00F70D21"/>
    <w:rsid w:val="00F70FEF"/>
    <w:rsid w:val="00F7194E"/>
    <w:rsid w:val="00F71D4E"/>
    <w:rsid w:val="00F734FF"/>
    <w:rsid w:val="00F73663"/>
    <w:rsid w:val="00F73F06"/>
    <w:rsid w:val="00F7439F"/>
    <w:rsid w:val="00F746C2"/>
    <w:rsid w:val="00F746F9"/>
    <w:rsid w:val="00F74F3A"/>
    <w:rsid w:val="00F74F5F"/>
    <w:rsid w:val="00F75C02"/>
    <w:rsid w:val="00F75E46"/>
    <w:rsid w:val="00F76195"/>
    <w:rsid w:val="00F7631E"/>
    <w:rsid w:val="00F766E0"/>
    <w:rsid w:val="00F76C25"/>
    <w:rsid w:val="00F77ECB"/>
    <w:rsid w:val="00F77F67"/>
    <w:rsid w:val="00F80114"/>
    <w:rsid w:val="00F8014F"/>
    <w:rsid w:val="00F80602"/>
    <w:rsid w:val="00F81202"/>
    <w:rsid w:val="00F81523"/>
    <w:rsid w:val="00F816B7"/>
    <w:rsid w:val="00F81936"/>
    <w:rsid w:val="00F81BF8"/>
    <w:rsid w:val="00F81E47"/>
    <w:rsid w:val="00F81F51"/>
    <w:rsid w:val="00F824EF"/>
    <w:rsid w:val="00F82AB8"/>
    <w:rsid w:val="00F83578"/>
    <w:rsid w:val="00F8357E"/>
    <w:rsid w:val="00F84408"/>
    <w:rsid w:val="00F84EF6"/>
    <w:rsid w:val="00F85A7B"/>
    <w:rsid w:val="00F86474"/>
    <w:rsid w:val="00F868B4"/>
    <w:rsid w:val="00F86A68"/>
    <w:rsid w:val="00F86AEB"/>
    <w:rsid w:val="00F8730A"/>
    <w:rsid w:val="00F877C8"/>
    <w:rsid w:val="00F9016F"/>
    <w:rsid w:val="00F90601"/>
    <w:rsid w:val="00F911E7"/>
    <w:rsid w:val="00F914ED"/>
    <w:rsid w:val="00F91A7D"/>
    <w:rsid w:val="00F91D99"/>
    <w:rsid w:val="00F92A08"/>
    <w:rsid w:val="00F92AAC"/>
    <w:rsid w:val="00F93703"/>
    <w:rsid w:val="00F939C9"/>
    <w:rsid w:val="00F946DD"/>
    <w:rsid w:val="00F96C97"/>
    <w:rsid w:val="00F97B2A"/>
    <w:rsid w:val="00F97EB2"/>
    <w:rsid w:val="00F97F96"/>
    <w:rsid w:val="00FA013C"/>
    <w:rsid w:val="00FA1427"/>
    <w:rsid w:val="00FA2467"/>
    <w:rsid w:val="00FA25DC"/>
    <w:rsid w:val="00FA2893"/>
    <w:rsid w:val="00FA325B"/>
    <w:rsid w:val="00FA34B2"/>
    <w:rsid w:val="00FA3616"/>
    <w:rsid w:val="00FA3FBA"/>
    <w:rsid w:val="00FA4443"/>
    <w:rsid w:val="00FA4771"/>
    <w:rsid w:val="00FA4952"/>
    <w:rsid w:val="00FA5C65"/>
    <w:rsid w:val="00FA72FF"/>
    <w:rsid w:val="00FA7458"/>
    <w:rsid w:val="00FA78FD"/>
    <w:rsid w:val="00FA7D0F"/>
    <w:rsid w:val="00FB01E1"/>
    <w:rsid w:val="00FB0631"/>
    <w:rsid w:val="00FB0896"/>
    <w:rsid w:val="00FB114E"/>
    <w:rsid w:val="00FB11BE"/>
    <w:rsid w:val="00FB1357"/>
    <w:rsid w:val="00FB172D"/>
    <w:rsid w:val="00FB1799"/>
    <w:rsid w:val="00FB1B56"/>
    <w:rsid w:val="00FB27F1"/>
    <w:rsid w:val="00FB482F"/>
    <w:rsid w:val="00FB4B3E"/>
    <w:rsid w:val="00FB4C6F"/>
    <w:rsid w:val="00FB4D30"/>
    <w:rsid w:val="00FB5057"/>
    <w:rsid w:val="00FB51D3"/>
    <w:rsid w:val="00FB532F"/>
    <w:rsid w:val="00FB5BAB"/>
    <w:rsid w:val="00FB5C6D"/>
    <w:rsid w:val="00FB628E"/>
    <w:rsid w:val="00FB6B60"/>
    <w:rsid w:val="00FC0A13"/>
    <w:rsid w:val="00FC0A6D"/>
    <w:rsid w:val="00FC0AE3"/>
    <w:rsid w:val="00FC0F11"/>
    <w:rsid w:val="00FC10AF"/>
    <w:rsid w:val="00FC1302"/>
    <w:rsid w:val="00FC1634"/>
    <w:rsid w:val="00FC188D"/>
    <w:rsid w:val="00FC2748"/>
    <w:rsid w:val="00FC3B2D"/>
    <w:rsid w:val="00FC440F"/>
    <w:rsid w:val="00FC48E7"/>
    <w:rsid w:val="00FC4F26"/>
    <w:rsid w:val="00FC5085"/>
    <w:rsid w:val="00FC50A3"/>
    <w:rsid w:val="00FC5AE4"/>
    <w:rsid w:val="00FC5CC7"/>
    <w:rsid w:val="00FC5E76"/>
    <w:rsid w:val="00FC6025"/>
    <w:rsid w:val="00FC688A"/>
    <w:rsid w:val="00FC69CF"/>
    <w:rsid w:val="00FC6D21"/>
    <w:rsid w:val="00FC7214"/>
    <w:rsid w:val="00FC736F"/>
    <w:rsid w:val="00FC7FB3"/>
    <w:rsid w:val="00FD0029"/>
    <w:rsid w:val="00FD058F"/>
    <w:rsid w:val="00FD0B70"/>
    <w:rsid w:val="00FD11B8"/>
    <w:rsid w:val="00FD1440"/>
    <w:rsid w:val="00FD1489"/>
    <w:rsid w:val="00FD17A1"/>
    <w:rsid w:val="00FD17D7"/>
    <w:rsid w:val="00FD1D79"/>
    <w:rsid w:val="00FD2025"/>
    <w:rsid w:val="00FD2DA9"/>
    <w:rsid w:val="00FD31EA"/>
    <w:rsid w:val="00FD32C6"/>
    <w:rsid w:val="00FD33F2"/>
    <w:rsid w:val="00FD34E2"/>
    <w:rsid w:val="00FD35FA"/>
    <w:rsid w:val="00FD3725"/>
    <w:rsid w:val="00FD4074"/>
    <w:rsid w:val="00FD40B1"/>
    <w:rsid w:val="00FD435D"/>
    <w:rsid w:val="00FD4F26"/>
    <w:rsid w:val="00FD5209"/>
    <w:rsid w:val="00FD5779"/>
    <w:rsid w:val="00FD5870"/>
    <w:rsid w:val="00FD59F1"/>
    <w:rsid w:val="00FD5E25"/>
    <w:rsid w:val="00FD6153"/>
    <w:rsid w:val="00FD66A4"/>
    <w:rsid w:val="00FD69C5"/>
    <w:rsid w:val="00FD6C31"/>
    <w:rsid w:val="00FD6FE2"/>
    <w:rsid w:val="00FD74CB"/>
    <w:rsid w:val="00FD74F5"/>
    <w:rsid w:val="00FD7543"/>
    <w:rsid w:val="00FD7BF5"/>
    <w:rsid w:val="00FE0303"/>
    <w:rsid w:val="00FE185C"/>
    <w:rsid w:val="00FE1DA8"/>
    <w:rsid w:val="00FE2053"/>
    <w:rsid w:val="00FE22FD"/>
    <w:rsid w:val="00FE2B6C"/>
    <w:rsid w:val="00FE31BA"/>
    <w:rsid w:val="00FE31C3"/>
    <w:rsid w:val="00FE3BDE"/>
    <w:rsid w:val="00FE3C5F"/>
    <w:rsid w:val="00FE3D16"/>
    <w:rsid w:val="00FE401B"/>
    <w:rsid w:val="00FE412D"/>
    <w:rsid w:val="00FE4705"/>
    <w:rsid w:val="00FE49E9"/>
    <w:rsid w:val="00FE4F07"/>
    <w:rsid w:val="00FE531F"/>
    <w:rsid w:val="00FE557C"/>
    <w:rsid w:val="00FE593D"/>
    <w:rsid w:val="00FE5CB3"/>
    <w:rsid w:val="00FE5D86"/>
    <w:rsid w:val="00FE68B7"/>
    <w:rsid w:val="00FE79F5"/>
    <w:rsid w:val="00FF0B73"/>
    <w:rsid w:val="00FF210E"/>
    <w:rsid w:val="00FF28A6"/>
    <w:rsid w:val="00FF28B1"/>
    <w:rsid w:val="00FF3A18"/>
    <w:rsid w:val="00FF3D07"/>
    <w:rsid w:val="00FF42A8"/>
    <w:rsid w:val="00FF44B5"/>
    <w:rsid w:val="00FF46D1"/>
    <w:rsid w:val="00FF4913"/>
    <w:rsid w:val="00FF4C3A"/>
    <w:rsid w:val="00FF4CEC"/>
    <w:rsid w:val="00FF62F4"/>
    <w:rsid w:val="00FF6519"/>
    <w:rsid w:val="00FF6AF1"/>
    <w:rsid w:val="00FF73E3"/>
    <w:rsid w:val="00FF7B10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38116"/>
  <w15:chartTrackingRefBased/>
  <w15:docId w15:val="{4D454944-1674-4D2B-A5AA-69CF4918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Nadpis1">
    <w:name w:val="heading 1"/>
    <w:aliases w:val="Bayer-Heading 1,Bayer Heading 1,Kopje"/>
    <w:basedOn w:val="Normln"/>
    <w:next w:val="Normln"/>
    <w:link w:val="Nadpis1Char"/>
    <w:qFormat/>
    <w:rsid w:val="000515F7"/>
    <w:pPr>
      <w:spacing w:before="240" w:after="120"/>
      <w:ind w:left="357" w:hanging="357"/>
      <w:outlineLvl w:val="0"/>
    </w:pPr>
    <w:rPr>
      <w:rFonts w:eastAsia="MS Mincho"/>
      <w:b/>
      <w:bCs/>
      <w:caps/>
      <w:sz w:val="26"/>
      <w:szCs w:val="26"/>
    </w:rPr>
  </w:style>
  <w:style w:type="paragraph" w:styleId="Nadpis2">
    <w:name w:val="heading 2"/>
    <w:aliases w:val="Bayer-Heading 2,Bayer Heading 2,CPP Heading 2,Medical Heading 2,IB Heading 2"/>
    <w:basedOn w:val="Normln"/>
    <w:next w:val="Normln"/>
    <w:link w:val="Nadpis2Char"/>
    <w:qFormat/>
    <w:rsid w:val="000515F7"/>
    <w:pPr>
      <w:keepNext/>
      <w:spacing w:before="240" w:after="60"/>
      <w:outlineLvl w:val="1"/>
    </w:pPr>
    <w:rPr>
      <w:rFonts w:ascii="Helvetica" w:eastAsia="MS Mincho" w:hAnsi="Helvetica" w:cs="Helvetica"/>
      <w:b/>
      <w:bCs/>
      <w:i/>
      <w:iCs/>
      <w:sz w:val="24"/>
      <w:szCs w:val="24"/>
    </w:rPr>
  </w:style>
  <w:style w:type="paragraph" w:styleId="Nadpis3">
    <w:name w:val="heading 3"/>
    <w:aliases w:val="Bayer-Heading 3,Bayer Heading 3"/>
    <w:basedOn w:val="Normln"/>
    <w:next w:val="Normln"/>
    <w:link w:val="Nadpis3Char"/>
    <w:qFormat/>
    <w:rsid w:val="000515F7"/>
    <w:pPr>
      <w:keepNext/>
      <w:keepLines/>
      <w:spacing w:before="120" w:after="80"/>
      <w:outlineLvl w:val="2"/>
    </w:pPr>
    <w:rPr>
      <w:rFonts w:eastAsia="MS Mincho"/>
      <w:b/>
      <w:bCs/>
      <w:kern w:val="28"/>
      <w:sz w:val="24"/>
      <w:szCs w:val="24"/>
    </w:rPr>
  </w:style>
  <w:style w:type="paragraph" w:styleId="Nadpis4">
    <w:name w:val="heading 4"/>
    <w:aliases w:val="Bayer-Heading 4,Bayer Heading 4,Heading 4 Char"/>
    <w:basedOn w:val="Normln"/>
    <w:next w:val="Normln"/>
    <w:link w:val="Nadpis4Char"/>
    <w:qFormat/>
    <w:rsid w:val="000515F7"/>
    <w:pPr>
      <w:keepNext/>
      <w:jc w:val="both"/>
      <w:outlineLvl w:val="3"/>
    </w:pPr>
    <w:rPr>
      <w:rFonts w:eastAsia="MS Mincho"/>
      <w:b/>
      <w:bCs/>
      <w:noProof/>
      <w:szCs w:val="22"/>
    </w:rPr>
  </w:style>
  <w:style w:type="paragraph" w:styleId="Nadpis5">
    <w:name w:val="heading 5"/>
    <w:aliases w:val="Bayer-Heading 5,Bayer Heading 5"/>
    <w:basedOn w:val="Normln"/>
    <w:next w:val="Normln"/>
    <w:link w:val="Nadpis5Char"/>
    <w:qFormat/>
    <w:rsid w:val="000515F7"/>
    <w:pPr>
      <w:keepNext/>
      <w:jc w:val="both"/>
      <w:outlineLvl w:val="4"/>
    </w:pPr>
    <w:rPr>
      <w:rFonts w:eastAsia="MS Mincho"/>
      <w:noProof/>
      <w:szCs w:val="22"/>
    </w:rPr>
  </w:style>
  <w:style w:type="paragraph" w:styleId="Nadpis6">
    <w:name w:val="heading 6"/>
    <w:aliases w:val="Bayer-Heading 6,Bayer Heading 6"/>
    <w:basedOn w:val="Normln"/>
    <w:next w:val="Normln"/>
    <w:link w:val="Nadpis6Char"/>
    <w:qFormat/>
    <w:rsid w:val="000515F7"/>
    <w:pPr>
      <w:keepNext/>
      <w:tabs>
        <w:tab w:val="left" w:pos="-720"/>
        <w:tab w:val="left" w:pos="4536"/>
      </w:tabs>
      <w:suppressAutoHyphens/>
      <w:outlineLvl w:val="5"/>
    </w:pPr>
    <w:rPr>
      <w:rFonts w:eastAsia="MS Mincho"/>
      <w:i/>
      <w:iCs/>
      <w:szCs w:val="22"/>
    </w:rPr>
  </w:style>
  <w:style w:type="paragraph" w:styleId="Nadpis7">
    <w:name w:val="heading 7"/>
    <w:aliases w:val="Bayer-Heading 7,Bayer Heading 7"/>
    <w:basedOn w:val="Normln"/>
    <w:next w:val="Normln"/>
    <w:link w:val="Nadpis7Char"/>
    <w:qFormat/>
    <w:rsid w:val="000515F7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MS Mincho"/>
      <w:i/>
      <w:iCs/>
      <w:szCs w:val="22"/>
    </w:rPr>
  </w:style>
  <w:style w:type="paragraph" w:styleId="Nadpis8">
    <w:name w:val="heading 8"/>
    <w:aliases w:val="Bayer-Heading 8"/>
    <w:basedOn w:val="Normln"/>
    <w:next w:val="Normln"/>
    <w:link w:val="Nadpis8Char"/>
    <w:qFormat/>
    <w:rsid w:val="000515F7"/>
    <w:pPr>
      <w:keepNext/>
      <w:ind w:left="567" w:hanging="567"/>
      <w:jc w:val="both"/>
      <w:outlineLvl w:val="7"/>
    </w:pPr>
    <w:rPr>
      <w:rFonts w:eastAsia="MS Mincho"/>
      <w:b/>
      <w:bCs/>
      <w:i/>
      <w:iCs/>
      <w:szCs w:val="22"/>
    </w:rPr>
  </w:style>
  <w:style w:type="paragraph" w:styleId="Nadpis9">
    <w:name w:val="heading 9"/>
    <w:aliases w:val="Bayer-Heading 9"/>
    <w:basedOn w:val="Normln"/>
    <w:next w:val="Normln"/>
    <w:link w:val="Nadpis9Char"/>
    <w:qFormat/>
    <w:rsid w:val="000515F7"/>
    <w:pPr>
      <w:keepNext/>
      <w:jc w:val="both"/>
      <w:outlineLvl w:val="8"/>
    </w:pPr>
    <w:rPr>
      <w:rFonts w:eastAsia="MS Mincho"/>
      <w:b/>
      <w:bCs/>
      <w:i/>
      <w:i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"/>
    <w:next w:val="Normln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nky">
    <w:name w:val="page number"/>
    <w:basedOn w:val="Standardnpsmoodstavce"/>
    <w:uiPriority w:val="99"/>
    <w:rsid w:val="00812D16"/>
  </w:style>
  <w:style w:type="paragraph" w:styleId="Zkladntext">
    <w:name w:val="Body Text"/>
    <w:basedOn w:val="Normln"/>
    <w:link w:val="ZkladntextChar"/>
    <w:uiPriority w:val="99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e">
    <w:name w:val="annotation text"/>
    <w:basedOn w:val="Normln"/>
    <w:link w:val="TextkomenteChar"/>
    <w:uiPriority w:val="99"/>
    <w:rsid w:val="00812D16"/>
    <w:rPr>
      <w:sz w:val="20"/>
    </w:rPr>
  </w:style>
  <w:style w:type="character" w:styleId="Hypertextovodkaz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"/>
    <w:link w:val="TextbublinyChar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cs-CZ" w:eastAsia="en-GB" w:bidi="ar-SA"/>
    </w:r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styleId="Odkaznakoment">
    <w:name w:val="annotation reference"/>
    <w:uiPriority w:val="99"/>
    <w:rsid w:val="00BC6DC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C6DC2"/>
    <w:rPr>
      <w:b/>
      <w:bCs/>
    </w:rPr>
  </w:style>
  <w:style w:type="character" w:customStyle="1" w:styleId="TextkomenteChar">
    <w:name w:val="Text komentáře Char"/>
    <w:link w:val="Textkomente"/>
    <w:uiPriority w:val="99"/>
    <w:rsid w:val="00BC6DC2"/>
    <w:rPr>
      <w:rFonts w:eastAsia="Times New Roman"/>
      <w:lang w:eastAsia="en-US"/>
    </w:rPr>
  </w:style>
  <w:style w:type="character" w:customStyle="1" w:styleId="PedmtkomenteChar">
    <w:name w:val="Předmět komentáře Char"/>
    <w:link w:val="Pedmtkomente"/>
    <w:uiPriority w:val="99"/>
    <w:rsid w:val="00BC6DC2"/>
    <w:rPr>
      <w:rFonts w:eastAsia="Times New Roman"/>
      <w:b/>
      <w:bCs/>
      <w:lang w:eastAsia="en-US"/>
    </w:rPr>
  </w:style>
  <w:style w:type="paragraph" w:styleId="Revize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paragraph" w:customStyle="1" w:styleId="QSDTextStandard">
    <w:name w:val="QSD Text Standard"/>
    <w:rsid w:val="00F81202"/>
    <w:pPr>
      <w:spacing w:before="60" w:after="60"/>
      <w:jc w:val="both"/>
    </w:pPr>
    <w:rPr>
      <w:rFonts w:ascii="Arial" w:eastAsia="MS Mincho" w:hAnsi="Arial"/>
      <w:lang w:eastAsia="en-US"/>
    </w:rPr>
  </w:style>
  <w:style w:type="paragraph" w:customStyle="1" w:styleId="BayerBodyTextFull">
    <w:name w:val="Bayer Body Text Full"/>
    <w:basedOn w:val="Normln"/>
    <w:link w:val="BayerBodyTextFullChar"/>
    <w:qFormat/>
    <w:rsid w:val="009659BD"/>
    <w:pPr>
      <w:tabs>
        <w:tab w:val="clear" w:pos="567"/>
      </w:tabs>
      <w:spacing w:before="120" w:after="120" w:line="240" w:lineRule="auto"/>
    </w:pPr>
    <w:rPr>
      <w:rFonts w:eastAsia="MS Mincho"/>
      <w:sz w:val="24"/>
    </w:rPr>
  </w:style>
  <w:style w:type="character" w:customStyle="1" w:styleId="BayerBodyTextFullChar">
    <w:name w:val="Bayer Body Text Full Char"/>
    <w:link w:val="BayerBodyTextFull"/>
    <w:rsid w:val="009659BD"/>
    <w:rPr>
      <w:rFonts w:eastAsia="MS Mincho"/>
      <w:sz w:val="24"/>
      <w:lang w:eastAsia="en-US"/>
    </w:rPr>
  </w:style>
  <w:style w:type="paragraph" w:customStyle="1" w:styleId="Default">
    <w:name w:val="Default"/>
    <w:rsid w:val="006679E2"/>
    <w:pPr>
      <w:autoSpaceDE w:val="0"/>
      <w:autoSpaceDN w:val="0"/>
      <w:adjustRightInd w:val="0"/>
    </w:pPr>
    <w:rPr>
      <w:color w:val="000000"/>
      <w:sz w:val="24"/>
      <w:szCs w:val="24"/>
      <w:lang w:eastAsia="ko-KR"/>
    </w:rPr>
  </w:style>
  <w:style w:type="character" w:customStyle="1" w:styleId="Nadpis1Char">
    <w:name w:val="Nadpis 1 Char"/>
    <w:aliases w:val="Bayer-Heading 1 Char,Bayer Heading 1 Char,Kopje Char"/>
    <w:link w:val="Nadpis1"/>
    <w:rsid w:val="000515F7"/>
    <w:rPr>
      <w:rFonts w:eastAsia="MS Mincho"/>
      <w:b/>
      <w:bCs/>
      <w:caps/>
      <w:sz w:val="26"/>
      <w:szCs w:val="26"/>
      <w:lang w:val="cs-CZ" w:eastAsia="en-US"/>
    </w:rPr>
  </w:style>
  <w:style w:type="character" w:customStyle="1" w:styleId="Nadpis2Char">
    <w:name w:val="Nadpis 2 Char"/>
    <w:aliases w:val="Bayer-Heading 2 Char,Bayer Heading 2 Char,CPP Heading 2 Char,Medical Heading 2 Char,IB Heading 2 Char"/>
    <w:link w:val="Nadpis2"/>
    <w:rsid w:val="000515F7"/>
    <w:rPr>
      <w:rFonts w:ascii="Helvetica" w:eastAsia="MS Mincho" w:hAnsi="Helvetica" w:cs="Helvetica"/>
      <w:b/>
      <w:bCs/>
      <w:i/>
      <w:iCs/>
      <w:sz w:val="24"/>
      <w:szCs w:val="24"/>
      <w:lang w:val="cs-CZ" w:eastAsia="en-US"/>
    </w:rPr>
  </w:style>
  <w:style w:type="character" w:customStyle="1" w:styleId="Nadpis3Char">
    <w:name w:val="Nadpis 3 Char"/>
    <w:aliases w:val="Bayer-Heading 3 Char,Bayer Heading 3 Char"/>
    <w:link w:val="Nadpis3"/>
    <w:rsid w:val="000515F7"/>
    <w:rPr>
      <w:rFonts w:eastAsia="MS Mincho"/>
      <w:b/>
      <w:bCs/>
      <w:kern w:val="28"/>
      <w:sz w:val="24"/>
      <w:szCs w:val="24"/>
      <w:lang w:val="cs-CZ" w:eastAsia="en-US"/>
    </w:rPr>
  </w:style>
  <w:style w:type="character" w:customStyle="1" w:styleId="Nadpis4Char">
    <w:name w:val="Nadpis 4 Char"/>
    <w:aliases w:val="Bayer-Heading 4 Char,Bayer Heading 4 Char,Heading 4 Char Char"/>
    <w:link w:val="Nadpis4"/>
    <w:rsid w:val="000515F7"/>
    <w:rPr>
      <w:rFonts w:eastAsia="MS Mincho"/>
      <w:b/>
      <w:bCs/>
      <w:noProof/>
      <w:sz w:val="22"/>
      <w:szCs w:val="22"/>
      <w:lang w:val="cs-CZ" w:eastAsia="en-US"/>
    </w:rPr>
  </w:style>
  <w:style w:type="character" w:customStyle="1" w:styleId="Nadpis5Char">
    <w:name w:val="Nadpis 5 Char"/>
    <w:aliases w:val="Bayer-Heading 5 Char,Bayer Heading 5 Char"/>
    <w:link w:val="Nadpis5"/>
    <w:rsid w:val="000515F7"/>
    <w:rPr>
      <w:rFonts w:eastAsia="MS Mincho"/>
      <w:noProof/>
      <w:sz w:val="22"/>
      <w:szCs w:val="22"/>
      <w:lang w:val="cs-CZ" w:eastAsia="en-US"/>
    </w:rPr>
  </w:style>
  <w:style w:type="character" w:customStyle="1" w:styleId="Nadpis6Char">
    <w:name w:val="Nadpis 6 Char"/>
    <w:aliases w:val="Bayer-Heading 6 Char,Bayer Heading 6 Char"/>
    <w:link w:val="Nadpis6"/>
    <w:rsid w:val="000515F7"/>
    <w:rPr>
      <w:rFonts w:eastAsia="MS Mincho"/>
      <w:i/>
      <w:iCs/>
      <w:sz w:val="22"/>
      <w:szCs w:val="22"/>
      <w:lang w:val="cs-CZ" w:eastAsia="en-US"/>
    </w:rPr>
  </w:style>
  <w:style w:type="character" w:customStyle="1" w:styleId="Nadpis7Char">
    <w:name w:val="Nadpis 7 Char"/>
    <w:aliases w:val="Bayer-Heading 7 Char,Bayer Heading 7 Char"/>
    <w:link w:val="Nadpis7"/>
    <w:rsid w:val="000515F7"/>
    <w:rPr>
      <w:rFonts w:eastAsia="MS Mincho"/>
      <w:i/>
      <w:iCs/>
      <w:sz w:val="22"/>
      <w:szCs w:val="22"/>
      <w:lang w:val="cs-CZ" w:eastAsia="en-US"/>
    </w:rPr>
  </w:style>
  <w:style w:type="character" w:customStyle="1" w:styleId="Nadpis8Char">
    <w:name w:val="Nadpis 8 Char"/>
    <w:aliases w:val="Bayer-Heading 8 Char"/>
    <w:link w:val="Nadpis8"/>
    <w:rsid w:val="000515F7"/>
    <w:rPr>
      <w:rFonts w:eastAsia="MS Mincho"/>
      <w:b/>
      <w:bCs/>
      <w:i/>
      <w:iCs/>
      <w:sz w:val="22"/>
      <w:szCs w:val="22"/>
      <w:lang w:val="cs-CZ" w:eastAsia="en-US"/>
    </w:rPr>
  </w:style>
  <w:style w:type="character" w:customStyle="1" w:styleId="Nadpis9Char">
    <w:name w:val="Nadpis 9 Char"/>
    <w:aliases w:val="Bayer-Heading 9 Char"/>
    <w:link w:val="Nadpis9"/>
    <w:rsid w:val="000515F7"/>
    <w:rPr>
      <w:rFonts w:eastAsia="MS Mincho"/>
      <w:b/>
      <w:bCs/>
      <w:i/>
      <w:iCs/>
      <w:sz w:val="22"/>
      <w:szCs w:val="22"/>
      <w:lang w:val="cs-CZ" w:eastAsia="en-US"/>
    </w:rPr>
  </w:style>
  <w:style w:type="character" w:customStyle="1" w:styleId="ZhlavChar">
    <w:name w:val="Záhlaví Char"/>
    <w:link w:val="Zhlav"/>
    <w:uiPriority w:val="99"/>
    <w:rsid w:val="000515F7"/>
    <w:rPr>
      <w:rFonts w:ascii="Arial" w:eastAsia="Times New Roman" w:hAnsi="Arial"/>
      <w:lang w:val="cs-CZ" w:eastAsia="en-US"/>
    </w:rPr>
  </w:style>
  <w:style w:type="character" w:customStyle="1" w:styleId="ZpatChar">
    <w:name w:val="Zápatí Char"/>
    <w:link w:val="Zpat"/>
    <w:uiPriority w:val="99"/>
    <w:rsid w:val="000515F7"/>
    <w:rPr>
      <w:rFonts w:ascii="Arial" w:eastAsia="Times New Roman" w:hAnsi="Arial"/>
      <w:noProof/>
      <w:sz w:val="16"/>
      <w:lang w:val="cs-CZ" w:eastAsia="en-US"/>
    </w:rPr>
  </w:style>
  <w:style w:type="character" w:styleId="Odkaznavysvtlivky">
    <w:name w:val="endnote reference"/>
    <w:uiPriority w:val="99"/>
    <w:rsid w:val="000515F7"/>
    <w:rPr>
      <w:vertAlign w:val="superscript"/>
    </w:rPr>
  </w:style>
  <w:style w:type="paragraph" w:customStyle="1" w:styleId="StandardohneAbstand">
    <w:name w:val="Standard ohne Abstand"/>
    <w:basedOn w:val="Normln"/>
    <w:uiPriority w:val="99"/>
    <w:rsid w:val="000515F7"/>
    <w:pPr>
      <w:tabs>
        <w:tab w:val="clear" w:pos="567"/>
      </w:tabs>
      <w:spacing w:line="300" w:lineRule="exact"/>
    </w:pPr>
    <w:rPr>
      <w:rFonts w:ascii="Arial" w:eastAsia="MS Mincho" w:hAnsi="Arial" w:cs="Arial"/>
      <w:szCs w:val="22"/>
      <w:lang w:eastAsia="de-DE"/>
    </w:rPr>
  </w:style>
  <w:style w:type="character" w:customStyle="1" w:styleId="TextbublinyChar">
    <w:name w:val="Text bubliny Char"/>
    <w:link w:val="Textbubliny"/>
    <w:uiPriority w:val="99"/>
    <w:semiHidden/>
    <w:rsid w:val="000515F7"/>
    <w:rPr>
      <w:rFonts w:ascii="Tahoma" w:eastAsia="Times New Roman" w:hAnsi="Tahoma" w:cs="Tahoma"/>
      <w:sz w:val="16"/>
      <w:szCs w:val="16"/>
      <w:lang w:val="cs-CZ" w:eastAsia="en-US"/>
    </w:rPr>
  </w:style>
  <w:style w:type="character" w:customStyle="1" w:styleId="ZkladntextChar">
    <w:name w:val="Základní text Char"/>
    <w:link w:val="Zkladntext"/>
    <w:uiPriority w:val="99"/>
    <w:rsid w:val="000515F7"/>
    <w:rPr>
      <w:rFonts w:eastAsia="Times New Roman"/>
      <w:i/>
      <w:color w:val="008000"/>
      <w:sz w:val="22"/>
      <w:lang w:val="cs-CZ" w:eastAsia="en-US"/>
    </w:rPr>
  </w:style>
  <w:style w:type="paragraph" w:customStyle="1" w:styleId="StyleCaption12ptJustified">
    <w:name w:val="Style Caption + 12 pt Justified"/>
    <w:basedOn w:val="Titulek"/>
    <w:next w:val="Normln"/>
    <w:uiPriority w:val="99"/>
    <w:rsid w:val="000515F7"/>
    <w:pPr>
      <w:keepNext/>
      <w:tabs>
        <w:tab w:val="clear" w:pos="567"/>
      </w:tabs>
      <w:spacing w:line="240" w:lineRule="auto"/>
    </w:pPr>
    <w:rPr>
      <w:sz w:val="24"/>
      <w:szCs w:val="24"/>
    </w:rPr>
  </w:style>
  <w:style w:type="paragraph" w:customStyle="1" w:styleId="BayerTableStyleCentered">
    <w:name w:val="Bayer TableStyle Centered"/>
    <w:basedOn w:val="Normln"/>
    <w:uiPriority w:val="99"/>
    <w:rsid w:val="000515F7"/>
    <w:pPr>
      <w:keepNext/>
      <w:widowControl w:val="0"/>
      <w:tabs>
        <w:tab w:val="clear" w:pos="567"/>
      </w:tabs>
      <w:spacing w:line="240" w:lineRule="auto"/>
      <w:jc w:val="center"/>
    </w:pPr>
    <w:rPr>
      <w:rFonts w:ascii="Arial" w:eastAsia="MS Mincho" w:hAnsi="Arial" w:cs="Arial"/>
      <w:sz w:val="20"/>
    </w:rPr>
  </w:style>
  <w:style w:type="paragraph" w:customStyle="1" w:styleId="BayerTableRowHeadings">
    <w:name w:val="Bayer Table Row Headings"/>
    <w:basedOn w:val="Normln"/>
    <w:uiPriority w:val="99"/>
    <w:rsid w:val="000515F7"/>
    <w:pPr>
      <w:keepNext/>
      <w:widowControl w:val="0"/>
      <w:tabs>
        <w:tab w:val="clear" w:pos="567"/>
      </w:tabs>
      <w:spacing w:line="240" w:lineRule="auto"/>
    </w:pPr>
    <w:rPr>
      <w:rFonts w:ascii="Arial" w:eastAsia="MS Mincho" w:hAnsi="Arial" w:cs="Arial"/>
      <w:sz w:val="20"/>
    </w:rPr>
  </w:style>
  <w:style w:type="paragraph" w:customStyle="1" w:styleId="BayerTableColumnHeadings">
    <w:name w:val="Bayer Table Column Headings"/>
    <w:basedOn w:val="BayerTableStyleCentered"/>
    <w:uiPriority w:val="99"/>
    <w:rsid w:val="000515F7"/>
    <w:rPr>
      <w:b/>
      <w:bCs/>
    </w:rPr>
  </w:style>
  <w:style w:type="paragraph" w:styleId="Titulek">
    <w:name w:val="caption"/>
    <w:aliases w:val="Bayer Caption,IB Caption,Medical Caption,figure,Caption-FUSA,! Q,Caption Char Char Char Char,Caption Char Char Char,Caption Char Char,Table,c,Char"/>
    <w:basedOn w:val="Normln"/>
    <w:next w:val="Normln"/>
    <w:link w:val="TitulekChar"/>
    <w:qFormat/>
    <w:rsid w:val="000515F7"/>
    <w:pPr>
      <w:spacing w:before="120" w:after="120"/>
    </w:pPr>
    <w:rPr>
      <w:rFonts w:eastAsia="MS Mincho"/>
      <w:b/>
      <w:bCs/>
      <w:sz w:val="20"/>
    </w:rPr>
  </w:style>
  <w:style w:type="paragraph" w:customStyle="1" w:styleId="BayerTableStyleLeftJustified">
    <w:name w:val="Bayer TableStyle Left Justified"/>
    <w:basedOn w:val="Normln"/>
    <w:link w:val="BayerTableStyleLeftJustifiedZchn"/>
    <w:rsid w:val="000515F7"/>
    <w:pPr>
      <w:keepNext/>
      <w:widowControl w:val="0"/>
      <w:tabs>
        <w:tab w:val="clear" w:pos="567"/>
      </w:tabs>
      <w:spacing w:line="240" w:lineRule="auto"/>
    </w:pPr>
    <w:rPr>
      <w:rFonts w:ascii="Arial" w:eastAsia="MS Mincho" w:hAnsi="Arial" w:cs="Arial"/>
      <w:sz w:val="20"/>
    </w:rPr>
  </w:style>
  <w:style w:type="paragraph" w:customStyle="1" w:styleId="BayerTableFootnote">
    <w:name w:val="Bayer Table Footnote"/>
    <w:basedOn w:val="Normln"/>
    <w:uiPriority w:val="99"/>
    <w:rsid w:val="000515F7"/>
    <w:pPr>
      <w:keepNext/>
      <w:widowControl w:val="0"/>
      <w:tabs>
        <w:tab w:val="clear" w:pos="567"/>
      </w:tabs>
      <w:spacing w:line="240" w:lineRule="auto"/>
      <w:ind w:left="360" w:hanging="360"/>
    </w:pPr>
    <w:rPr>
      <w:rFonts w:ascii="Arial" w:eastAsia="MS Mincho" w:hAnsi="Arial" w:cs="Arial"/>
      <w:sz w:val="20"/>
    </w:rPr>
  </w:style>
  <w:style w:type="paragraph" w:styleId="Zkladntext2">
    <w:name w:val="Body Text 2"/>
    <w:basedOn w:val="Normln"/>
    <w:link w:val="Zkladntext2Char"/>
    <w:uiPriority w:val="99"/>
    <w:rsid w:val="000515F7"/>
    <w:pPr>
      <w:spacing w:after="120" w:line="480" w:lineRule="auto"/>
    </w:pPr>
    <w:rPr>
      <w:rFonts w:eastAsia="MS Mincho"/>
      <w:szCs w:val="22"/>
    </w:rPr>
  </w:style>
  <w:style w:type="character" w:customStyle="1" w:styleId="Zkladntext2Char">
    <w:name w:val="Základní text 2 Char"/>
    <w:link w:val="Zkladntext2"/>
    <w:uiPriority w:val="99"/>
    <w:rsid w:val="000515F7"/>
    <w:rPr>
      <w:rFonts w:eastAsia="MS Mincho"/>
      <w:sz w:val="22"/>
      <w:szCs w:val="22"/>
      <w:lang w:val="cs-CZ" w:eastAsia="en-US"/>
    </w:rPr>
  </w:style>
  <w:style w:type="paragraph" w:customStyle="1" w:styleId="BalloonText1">
    <w:name w:val="Balloon Text1"/>
    <w:basedOn w:val="Normln"/>
    <w:uiPriority w:val="99"/>
    <w:rsid w:val="000515F7"/>
    <w:rPr>
      <w:rFonts w:ascii="Tahoma" w:eastAsia="MS Mincho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515F7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entarsmne1">
    <w:name w:val="Kommentarsämne1"/>
    <w:basedOn w:val="Textkomente"/>
    <w:next w:val="Textkomente"/>
    <w:uiPriority w:val="99"/>
    <w:semiHidden/>
    <w:rsid w:val="000515F7"/>
    <w:rPr>
      <w:rFonts w:eastAsia="MS Mincho"/>
      <w:b/>
      <w:bCs/>
    </w:rPr>
  </w:style>
  <w:style w:type="paragraph" w:customStyle="1" w:styleId="Ballongtext1">
    <w:name w:val="Ballongtext1"/>
    <w:basedOn w:val="Normln"/>
    <w:uiPriority w:val="99"/>
    <w:semiHidden/>
    <w:rsid w:val="000515F7"/>
    <w:rPr>
      <w:rFonts w:ascii="Tahoma" w:eastAsia="MS Mincho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0515F7"/>
    <w:pPr>
      <w:spacing w:after="120"/>
    </w:pPr>
    <w:rPr>
      <w:rFonts w:eastAsia="MS Mincho"/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0515F7"/>
    <w:rPr>
      <w:rFonts w:eastAsia="MS Mincho"/>
      <w:sz w:val="16"/>
      <w:szCs w:val="16"/>
      <w:lang w:val="cs-CZ" w:eastAsia="en-US"/>
    </w:rPr>
  </w:style>
  <w:style w:type="paragraph" w:customStyle="1" w:styleId="Style1">
    <w:name w:val="Style1"/>
    <w:basedOn w:val="Normln"/>
    <w:uiPriority w:val="99"/>
    <w:rsid w:val="000515F7"/>
    <w:pPr>
      <w:widowControl w:val="0"/>
      <w:tabs>
        <w:tab w:val="clear" w:pos="567"/>
      </w:tabs>
      <w:autoSpaceDE w:val="0"/>
      <w:autoSpaceDN w:val="0"/>
      <w:adjustRightInd w:val="0"/>
      <w:spacing w:line="140" w:lineRule="atLeast"/>
    </w:pPr>
    <w:rPr>
      <w:rFonts w:ascii="Arial" w:eastAsia="MS Mincho" w:hAnsi="Arial" w:cs="Arial"/>
      <w:sz w:val="16"/>
      <w:szCs w:val="16"/>
    </w:rPr>
  </w:style>
  <w:style w:type="paragraph" w:customStyle="1" w:styleId="Smalltext120">
    <w:name w:val="Smalltext12:0"/>
    <w:basedOn w:val="Normln"/>
    <w:uiPriority w:val="99"/>
    <w:rsid w:val="000515F7"/>
    <w:pPr>
      <w:tabs>
        <w:tab w:val="clear" w:pos="567"/>
      </w:tabs>
      <w:spacing w:line="240" w:lineRule="auto"/>
    </w:pPr>
    <w:rPr>
      <w:rFonts w:eastAsia="MS Mincho"/>
      <w:sz w:val="24"/>
      <w:szCs w:val="24"/>
      <w:lang w:eastAsia="de-DE"/>
    </w:rPr>
  </w:style>
  <w:style w:type="paragraph" w:customStyle="1" w:styleId="TitleA">
    <w:name w:val="Title A"/>
    <w:basedOn w:val="Normln"/>
    <w:uiPriority w:val="99"/>
    <w:rsid w:val="000515F7"/>
    <w:pPr>
      <w:tabs>
        <w:tab w:val="clear" w:pos="567"/>
      </w:tabs>
      <w:spacing w:line="240" w:lineRule="auto"/>
      <w:jc w:val="center"/>
    </w:pPr>
    <w:rPr>
      <w:rFonts w:eastAsia="MS Mincho"/>
      <w:b/>
      <w:bCs/>
      <w:szCs w:val="22"/>
    </w:rPr>
  </w:style>
  <w:style w:type="paragraph" w:customStyle="1" w:styleId="TitleB">
    <w:name w:val="Title B"/>
    <w:basedOn w:val="Normln"/>
    <w:link w:val="TitleBChar"/>
    <w:uiPriority w:val="99"/>
    <w:rsid w:val="000515F7"/>
    <w:pPr>
      <w:ind w:left="567" w:hanging="567"/>
    </w:pPr>
    <w:rPr>
      <w:rFonts w:eastAsia="MS Mincho"/>
      <w:b/>
      <w:bCs/>
      <w:noProof/>
      <w:szCs w:val="22"/>
    </w:rPr>
  </w:style>
  <w:style w:type="paragraph" w:customStyle="1" w:styleId="GlobalBayerBodyText">
    <w:name w:val="Global Bayer Body Text"/>
    <w:basedOn w:val="Normln"/>
    <w:link w:val="GlobalBayerBodyTextChar"/>
    <w:uiPriority w:val="99"/>
    <w:rsid w:val="000515F7"/>
    <w:pPr>
      <w:tabs>
        <w:tab w:val="clear" w:pos="567"/>
        <w:tab w:val="left" w:pos="11174"/>
        <w:tab w:val="left" w:pos="15142"/>
      </w:tabs>
      <w:suppressAutoHyphens/>
      <w:spacing w:before="120" w:after="240" w:line="240" w:lineRule="auto"/>
    </w:pPr>
    <w:rPr>
      <w:rFonts w:ascii="Arial" w:eastAsia="MS Mincho" w:hAnsi="Arial" w:cs="Arial"/>
      <w:sz w:val="20"/>
      <w:lang w:eastAsia="de-DE"/>
    </w:rPr>
  </w:style>
  <w:style w:type="character" w:customStyle="1" w:styleId="GlobalBayerBodyTextChar">
    <w:name w:val="Global Bayer Body Text Char"/>
    <w:link w:val="GlobalBayerBodyText"/>
    <w:uiPriority w:val="99"/>
    <w:rsid w:val="000515F7"/>
    <w:rPr>
      <w:rFonts w:ascii="Arial" w:eastAsia="MS Mincho" w:hAnsi="Arial" w:cs="Arial"/>
      <w:lang w:val="cs-CZ"/>
    </w:rPr>
  </w:style>
  <w:style w:type="paragraph" w:styleId="Textvysvtlivek">
    <w:name w:val="endnote text"/>
    <w:basedOn w:val="Normln"/>
    <w:link w:val="TextvysvtlivekChar"/>
    <w:rsid w:val="000515F7"/>
    <w:pPr>
      <w:tabs>
        <w:tab w:val="clear" w:pos="567"/>
      </w:tabs>
      <w:spacing w:line="240" w:lineRule="auto"/>
      <w:ind w:left="227" w:hanging="227"/>
      <w:jc w:val="both"/>
    </w:pPr>
    <w:rPr>
      <w:rFonts w:ascii="Arial" w:eastAsia="MS Mincho" w:hAnsi="Arial"/>
      <w:sz w:val="20"/>
      <w:lang w:eastAsia="de-DE"/>
    </w:rPr>
  </w:style>
  <w:style w:type="character" w:customStyle="1" w:styleId="TextvysvtlivekChar">
    <w:name w:val="Text vysvětlivek Char"/>
    <w:link w:val="Textvysvtlivek"/>
    <w:rsid w:val="000515F7"/>
    <w:rPr>
      <w:rFonts w:ascii="Arial" w:eastAsia="MS Mincho" w:hAnsi="Arial"/>
    </w:rPr>
  </w:style>
  <w:style w:type="paragraph" w:customStyle="1" w:styleId="GlobalBayerHeading2">
    <w:name w:val="Global Bayer Heading 2"/>
    <w:basedOn w:val="Nadpis2"/>
    <w:next w:val="GlobalBayerBodyText"/>
    <w:link w:val="GlobalBayerHeading2Char"/>
    <w:rsid w:val="000515F7"/>
    <w:pPr>
      <w:tabs>
        <w:tab w:val="clear" w:pos="567"/>
      </w:tabs>
      <w:spacing w:after="120" w:line="240" w:lineRule="auto"/>
      <w:jc w:val="both"/>
    </w:pPr>
    <w:rPr>
      <w:rFonts w:ascii="Arial" w:hAnsi="Arial" w:cs="Times New Roman"/>
      <w:bCs w:val="0"/>
      <w:i w:val="0"/>
      <w:iCs w:val="0"/>
      <w:szCs w:val="20"/>
    </w:rPr>
  </w:style>
  <w:style w:type="character" w:customStyle="1" w:styleId="GlobalBayerHeading2Char">
    <w:name w:val="Global Bayer Heading 2 Char"/>
    <w:link w:val="GlobalBayerHeading2"/>
    <w:rsid w:val="000515F7"/>
    <w:rPr>
      <w:rFonts w:ascii="Arial" w:eastAsia="MS Mincho" w:hAnsi="Arial"/>
      <w:b/>
      <w:sz w:val="24"/>
      <w:lang w:val="cs-CZ" w:eastAsia="en-US"/>
    </w:rPr>
  </w:style>
  <w:style w:type="character" w:customStyle="1" w:styleId="BayerTableStyleLeftJustifiedZchn">
    <w:name w:val="Bayer TableStyle Left Justified Zchn"/>
    <w:link w:val="BayerTableStyleLeftJustified"/>
    <w:rsid w:val="000515F7"/>
    <w:rPr>
      <w:rFonts w:ascii="Arial" w:eastAsia="MS Mincho" w:hAnsi="Arial" w:cs="Arial"/>
      <w:lang w:val="cs-CZ" w:eastAsia="en-US"/>
    </w:rPr>
  </w:style>
  <w:style w:type="character" w:customStyle="1" w:styleId="BayerBodyTextFullZchn">
    <w:name w:val="Bayer Body Text Full Zchn"/>
    <w:rsid w:val="000515F7"/>
    <w:rPr>
      <w:sz w:val="24"/>
      <w:lang w:val="cs-CZ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0515F7"/>
    <w:pPr>
      <w:ind w:left="708"/>
    </w:pPr>
    <w:rPr>
      <w:rFonts w:eastAsia="MS Mincho"/>
      <w:szCs w:val="22"/>
    </w:rPr>
  </w:style>
  <w:style w:type="paragraph" w:customStyle="1" w:styleId="Lemm1">
    <w:name w:val="Lemm1"/>
    <w:basedOn w:val="Normln"/>
    <w:rsid w:val="000515F7"/>
    <w:pPr>
      <w:tabs>
        <w:tab w:val="clear" w:pos="567"/>
      </w:tabs>
      <w:spacing w:line="240" w:lineRule="auto"/>
    </w:pPr>
    <w:rPr>
      <w:rFonts w:ascii="Arial" w:eastAsia="MS Mincho" w:hAnsi="Arial"/>
      <w:lang w:eastAsia="ja-JP"/>
    </w:rPr>
  </w:style>
  <w:style w:type="table" w:styleId="Moderntabulka">
    <w:name w:val="Table Contemporary"/>
    <w:basedOn w:val="Normlntabulka"/>
    <w:rsid w:val="000515F7"/>
    <w:pPr>
      <w:tabs>
        <w:tab w:val="left" w:pos="567"/>
      </w:tabs>
      <w:spacing w:line="260" w:lineRule="exact"/>
    </w:pPr>
    <w:rPr>
      <w:rFonts w:eastAsia="MS Minch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BulletBayerBodyText">
    <w:name w:val="Bullet Bayer Body Text"/>
    <w:basedOn w:val="Normln"/>
    <w:rsid w:val="000515F7"/>
    <w:pPr>
      <w:numPr>
        <w:numId w:val="5"/>
      </w:numPr>
      <w:tabs>
        <w:tab w:val="clear" w:pos="567"/>
        <w:tab w:val="left" w:pos="1264"/>
      </w:tabs>
      <w:spacing w:after="120" w:line="240" w:lineRule="auto"/>
    </w:pPr>
    <w:rPr>
      <w:rFonts w:eastAsia="MS Mincho"/>
      <w:sz w:val="24"/>
    </w:rPr>
  </w:style>
  <w:style w:type="paragraph" w:customStyle="1" w:styleId="xCCDS-textproposal">
    <w:name w:val="xCCDS-text proposal"/>
    <w:basedOn w:val="BayerBodyTextFull"/>
    <w:link w:val="xCCDS-textproposalZchn"/>
    <w:rsid w:val="000515F7"/>
    <w:pPr>
      <w:spacing w:before="60"/>
    </w:pPr>
    <w:rPr>
      <w:sz w:val="28"/>
      <w:szCs w:val="24"/>
    </w:rPr>
  </w:style>
  <w:style w:type="character" w:customStyle="1" w:styleId="xCCDS-textproposalZchn">
    <w:name w:val="xCCDS-text proposal Zchn"/>
    <w:link w:val="xCCDS-textproposal"/>
    <w:rsid w:val="000515F7"/>
    <w:rPr>
      <w:rFonts w:eastAsia="MS Mincho"/>
      <w:sz w:val="28"/>
      <w:szCs w:val="24"/>
      <w:lang w:val="cs-CZ" w:eastAsia="en-US"/>
    </w:rPr>
  </w:style>
  <w:style w:type="paragraph" w:styleId="Normlnweb">
    <w:name w:val="Normal (Web)"/>
    <w:basedOn w:val="Normln"/>
    <w:uiPriority w:val="99"/>
    <w:unhideWhenUsed/>
    <w:rsid w:val="000515F7"/>
    <w:pPr>
      <w:tabs>
        <w:tab w:val="clear" w:pos="567"/>
      </w:tabs>
      <w:spacing w:before="100" w:beforeAutospacing="1" w:after="100" w:afterAutospacing="1" w:line="240" w:lineRule="auto"/>
    </w:pPr>
    <w:rPr>
      <w:rFonts w:eastAsia="MS Mincho"/>
      <w:sz w:val="24"/>
      <w:szCs w:val="24"/>
      <w:lang w:eastAsia="de-DE"/>
    </w:rPr>
  </w:style>
  <w:style w:type="paragraph" w:customStyle="1" w:styleId="BayerTRDASectionHeading5">
    <w:name w:val="Bayer TRD_A_Section Heading 5"/>
    <w:basedOn w:val="Normln"/>
    <w:next w:val="BayerBodyTextFull"/>
    <w:rsid w:val="000515F7"/>
    <w:pPr>
      <w:keepNext/>
      <w:tabs>
        <w:tab w:val="clear" w:pos="567"/>
        <w:tab w:val="left" w:pos="1134"/>
      </w:tabs>
      <w:spacing w:before="60" w:after="60" w:line="240" w:lineRule="auto"/>
      <w:ind w:left="1701" w:hanging="1134"/>
      <w:outlineLvl w:val="4"/>
    </w:pPr>
    <w:rPr>
      <w:rFonts w:eastAsia="MS Mincho"/>
      <w:kern w:val="28"/>
      <w:sz w:val="24"/>
    </w:rPr>
  </w:style>
  <w:style w:type="character" w:customStyle="1" w:styleId="BoldtextinprintedPIonly">
    <w:name w:val="Bold text in printed PI only"/>
    <w:rsid w:val="000515F7"/>
    <w:rPr>
      <w:b/>
    </w:rPr>
  </w:style>
  <w:style w:type="table" w:customStyle="1" w:styleId="Tabellenraster1">
    <w:name w:val="Tabellenraster1"/>
    <w:basedOn w:val="Normlntabulka"/>
    <w:next w:val="Mkatabulky"/>
    <w:uiPriority w:val="59"/>
    <w:rsid w:val="00051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rsid w:val="000515F7"/>
    <w:pPr>
      <w:tabs>
        <w:tab w:val="clear" w:pos="567"/>
        <w:tab w:val="right" w:leader="dot" w:pos="9356"/>
      </w:tabs>
      <w:spacing w:line="240" w:lineRule="auto"/>
      <w:ind w:left="425" w:hanging="425"/>
    </w:pPr>
    <w:rPr>
      <w:rFonts w:eastAsia="MS Mincho"/>
      <w:sz w:val="24"/>
    </w:rPr>
  </w:style>
  <w:style w:type="paragraph" w:customStyle="1" w:styleId="AmmTitulaireAdresse">
    <w:name w:val="AmmTitulaireAdresse"/>
    <w:basedOn w:val="Normln"/>
    <w:link w:val="AmmTitulaireAdresseCar"/>
    <w:rsid w:val="000515F7"/>
    <w:pPr>
      <w:tabs>
        <w:tab w:val="clear" w:pos="567"/>
      </w:tabs>
      <w:spacing w:line="240" w:lineRule="auto"/>
    </w:pPr>
    <w:rPr>
      <w:rFonts w:ascii="Arial" w:eastAsia="MS Mincho" w:hAnsi="Arial"/>
      <w:caps/>
      <w:sz w:val="20"/>
      <w:lang w:eastAsia="fr-FR"/>
    </w:rPr>
  </w:style>
  <w:style w:type="character" w:customStyle="1" w:styleId="AmmTitulaireAdresseCar">
    <w:name w:val="AmmTitulaireAdresse Car"/>
    <w:link w:val="AmmTitulaireAdresse"/>
    <w:locked/>
    <w:rsid w:val="000515F7"/>
    <w:rPr>
      <w:rFonts w:ascii="Arial" w:eastAsia="MS Mincho" w:hAnsi="Arial"/>
      <w:caps/>
      <w:lang w:val="cs-CZ" w:eastAsia="fr-FR"/>
    </w:rPr>
  </w:style>
  <w:style w:type="paragraph" w:customStyle="1" w:styleId="Body">
    <w:name w:val="Body"/>
    <w:basedOn w:val="Normln"/>
    <w:link w:val="BodyChar"/>
    <w:rsid w:val="00952C3F"/>
    <w:pPr>
      <w:tabs>
        <w:tab w:val="clear" w:pos="567"/>
      </w:tabs>
      <w:spacing w:line="240" w:lineRule="auto"/>
      <w:ind w:firstLine="288"/>
    </w:pPr>
    <w:rPr>
      <w:rFonts w:ascii="Arial" w:eastAsia="MS Mincho" w:hAnsi="Arial"/>
      <w:sz w:val="20"/>
      <w:lang w:eastAsia="ja-JP"/>
    </w:rPr>
  </w:style>
  <w:style w:type="character" w:customStyle="1" w:styleId="BodyChar">
    <w:name w:val="Body Char"/>
    <w:link w:val="Body"/>
    <w:rsid w:val="00952C3F"/>
    <w:rPr>
      <w:rFonts w:ascii="Arial" w:eastAsia="MS Mincho" w:hAnsi="Arial"/>
      <w:lang w:val="cs-CZ" w:eastAsia="ja-JP"/>
    </w:rPr>
  </w:style>
  <w:style w:type="character" w:customStyle="1" w:styleId="OdstavecseseznamemChar">
    <w:name w:val="Odstavec se seznamem Char"/>
    <w:link w:val="Odstavecseseznamem"/>
    <w:uiPriority w:val="34"/>
    <w:rsid w:val="00A14126"/>
    <w:rPr>
      <w:rFonts w:eastAsia="MS Mincho"/>
      <w:sz w:val="22"/>
      <w:szCs w:val="22"/>
      <w:lang w:val="cs-CZ" w:eastAsia="en-US"/>
    </w:rPr>
  </w:style>
  <w:style w:type="paragraph" w:customStyle="1" w:styleId="C-BodyText">
    <w:name w:val="C-Body Text"/>
    <w:link w:val="C-BodyTextChar"/>
    <w:qFormat/>
    <w:rsid w:val="005656BC"/>
    <w:pPr>
      <w:spacing w:before="120" w:after="120" w:line="280" w:lineRule="atLeast"/>
    </w:pPr>
    <w:rPr>
      <w:rFonts w:eastAsia="Times New Roman"/>
      <w:sz w:val="24"/>
      <w:lang w:eastAsia="en-US"/>
    </w:rPr>
  </w:style>
  <w:style w:type="character" w:customStyle="1" w:styleId="C-BodyTextChar">
    <w:name w:val="C-Body Text Char"/>
    <w:link w:val="C-BodyText"/>
    <w:rsid w:val="005656BC"/>
    <w:rPr>
      <w:rFonts w:eastAsia="Times New Roman"/>
      <w:sz w:val="24"/>
      <w:lang w:val="cs-CZ" w:eastAsia="en-US"/>
    </w:rPr>
  </w:style>
  <w:style w:type="character" w:customStyle="1" w:styleId="TitulekChar">
    <w:name w:val="Titulek Char"/>
    <w:aliases w:val="Bayer Caption Char,IB Caption Char,Medical Caption Char,figure Char,Caption-FUSA Char,! Q Char,Caption Char Char Char Char Char,Caption Char Char Char Char1,Caption Char Char Char1,Table Char,c Char,Char Char"/>
    <w:link w:val="Titulek"/>
    <w:locked/>
    <w:rsid w:val="005656BC"/>
    <w:rPr>
      <w:rFonts w:eastAsia="MS Mincho"/>
      <w:b/>
      <w:bCs/>
      <w:lang w:val="cs-CZ" w:eastAsia="en-US"/>
    </w:rPr>
  </w:style>
  <w:style w:type="paragraph" w:customStyle="1" w:styleId="C-TableText">
    <w:name w:val="C-Table Text"/>
    <w:link w:val="C-TableTextChar"/>
    <w:rsid w:val="005656BC"/>
    <w:pPr>
      <w:spacing w:before="60" w:after="60"/>
    </w:pPr>
    <w:rPr>
      <w:rFonts w:eastAsia="Times New Roman"/>
      <w:sz w:val="22"/>
      <w:lang w:eastAsia="en-US"/>
    </w:rPr>
  </w:style>
  <w:style w:type="character" w:customStyle="1" w:styleId="C-TableTextChar">
    <w:name w:val="C-Table Text Char"/>
    <w:link w:val="C-TableText"/>
    <w:rsid w:val="005656BC"/>
    <w:rPr>
      <w:rFonts w:eastAsia="Times New Roman"/>
      <w:sz w:val="22"/>
      <w:lang w:val="cs-CZ" w:eastAsia="en-US"/>
    </w:rPr>
  </w:style>
  <w:style w:type="paragraph" w:customStyle="1" w:styleId="C-TableHeader">
    <w:name w:val="C-Table Header"/>
    <w:next w:val="C-TableText"/>
    <w:rsid w:val="005656BC"/>
    <w:pPr>
      <w:keepNext/>
      <w:spacing w:before="60" w:after="60"/>
    </w:pPr>
    <w:rPr>
      <w:rFonts w:eastAsia="Times New Roman"/>
      <w:b/>
      <w:sz w:val="22"/>
      <w:lang w:eastAsia="en-US"/>
    </w:rPr>
  </w:style>
  <w:style w:type="paragraph" w:customStyle="1" w:styleId="Bodyhangingindent">
    <w:name w:val="Body: hanging indent"/>
    <w:basedOn w:val="Body"/>
    <w:next w:val="Body"/>
    <w:rsid w:val="00533B1D"/>
    <w:pPr>
      <w:ind w:left="288" w:hanging="288"/>
    </w:pPr>
  </w:style>
  <w:style w:type="paragraph" w:customStyle="1" w:styleId="pstyle13">
    <w:name w:val="p_style13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earchinsearch">
    <w:name w:val="searchinsearch"/>
    <w:rsid w:val="00493775"/>
  </w:style>
  <w:style w:type="paragraph" w:customStyle="1" w:styleId="first">
    <w:name w:val="first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talics">
    <w:name w:val="italics"/>
    <w:rsid w:val="00493775"/>
  </w:style>
  <w:style w:type="paragraph" w:customStyle="1" w:styleId="pstyle3">
    <w:name w:val="p_style3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tyle10">
    <w:name w:val="style1"/>
    <w:rsid w:val="00493775"/>
  </w:style>
  <w:style w:type="paragraph" w:customStyle="1" w:styleId="pstyle6">
    <w:name w:val="p_style6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tyle2">
    <w:name w:val="style2"/>
    <w:rsid w:val="00493775"/>
  </w:style>
  <w:style w:type="paragraph" w:customStyle="1" w:styleId="pstyle7">
    <w:name w:val="p_style7"/>
    <w:basedOn w:val="Normln"/>
    <w:rsid w:val="00493775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PCLH1">
    <w:name w:val="CPCLH1"/>
    <w:basedOn w:val="Normln"/>
    <w:rsid w:val="00DB656B"/>
    <w:pPr>
      <w:tabs>
        <w:tab w:val="clear" w:pos="567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</w:tabs>
      <w:spacing w:line="240" w:lineRule="auto"/>
      <w:jc w:val="both"/>
    </w:pPr>
    <w:rPr>
      <w:rFonts w:ascii="Univers (W1)" w:hAnsi="Univers (W1)"/>
      <w:b/>
      <w:sz w:val="20"/>
    </w:rPr>
  </w:style>
  <w:style w:type="paragraph" w:customStyle="1" w:styleId="TitelA">
    <w:name w:val="Titel A"/>
    <w:basedOn w:val="Normln"/>
    <w:link w:val="TitelAChar"/>
    <w:qFormat/>
    <w:rsid w:val="00263FAE"/>
    <w:pPr>
      <w:spacing w:line="240" w:lineRule="auto"/>
      <w:jc w:val="center"/>
      <w:outlineLvl w:val="0"/>
    </w:pPr>
    <w:rPr>
      <w:b/>
    </w:rPr>
  </w:style>
  <w:style w:type="paragraph" w:customStyle="1" w:styleId="TitelB">
    <w:name w:val="Titel B"/>
    <w:basedOn w:val="TitleB"/>
    <w:link w:val="TitelBChar"/>
    <w:qFormat/>
    <w:rsid w:val="00263FAE"/>
    <w:pPr>
      <w:spacing w:line="240" w:lineRule="auto"/>
      <w:outlineLvl w:val="0"/>
    </w:pPr>
  </w:style>
  <w:style w:type="character" w:customStyle="1" w:styleId="TitelAChar">
    <w:name w:val="Titel A Char"/>
    <w:link w:val="TitelA"/>
    <w:rsid w:val="00263FAE"/>
    <w:rPr>
      <w:rFonts w:eastAsia="Times New Roman"/>
      <w:b/>
      <w:sz w:val="22"/>
      <w:lang w:eastAsia="en-US"/>
    </w:rPr>
  </w:style>
  <w:style w:type="character" w:customStyle="1" w:styleId="TitleBChar">
    <w:name w:val="Title B Char"/>
    <w:link w:val="TitleB"/>
    <w:uiPriority w:val="99"/>
    <w:rsid w:val="00263FAE"/>
    <w:rPr>
      <w:rFonts w:eastAsia="MS Mincho"/>
      <w:b/>
      <w:bCs/>
      <w:noProof/>
      <w:sz w:val="22"/>
      <w:szCs w:val="22"/>
      <w:lang w:eastAsia="en-US"/>
    </w:rPr>
  </w:style>
  <w:style w:type="character" w:customStyle="1" w:styleId="TitelBChar">
    <w:name w:val="Titel B Char"/>
    <w:basedOn w:val="TitleBChar"/>
    <w:link w:val="TitelB"/>
    <w:rsid w:val="00263FAE"/>
    <w:rPr>
      <w:rFonts w:eastAsia="MS Mincho"/>
      <w:b/>
      <w:bCs/>
      <w:noProof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43D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43D0E"/>
    <w:pPr>
      <w:widowControl w:val="0"/>
      <w:tabs>
        <w:tab w:val="clear" w:pos="567"/>
      </w:tabs>
      <w:autoSpaceDE w:val="0"/>
      <w:autoSpaceDN w:val="0"/>
      <w:spacing w:before="26" w:line="240" w:lineRule="auto"/>
      <w:jc w:val="center"/>
    </w:pPr>
    <w:rPr>
      <w:rFonts w:ascii="Microsoft Sans Serif" w:eastAsia="Microsoft Sans Serif" w:hAnsi="Microsoft Sans Serif" w:cs="Microsoft Sans Serif"/>
      <w:szCs w:val="22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F31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8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6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3.png"/><Relationship Id="rId25" Type="http://schemas.openxmlformats.org/officeDocument/2006/relationships/hyperlink" Target="https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armakovigilance@sukl.gov.cz" TargetMode="External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10.png"/><Relationship Id="rId5" Type="http://schemas.openxmlformats.org/officeDocument/2006/relationships/customXml" Target="../customXml/item5.xml"/><Relationship Id="rId15" Type="http://schemas.openxmlformats.org/officeDocument/2006/relationships/hyperlink" Target="https://sukl.gov.cz/nezadouciucinky" TargetMode="External"/><Relationship Id="rId23" Type="http://schemas.openxmlformats.org/officeDocument/2006/relationships/image" Target="media/image9.png"/><Relationship Id="rId28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bc43322-b630-4bac-8b27-31def233d1d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68F9263FF154094273DE4A9DA5BC4" ma:contentTypeVersion="28" ma:contentTypeDescription="Create a new document." ma:contentTypeScope="" ma:versionID="a329338f87850f331cb452d14e5050f0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dab10b47-f661-4cf6-bd71-43c4417799c8" xmlns:ns4="b9a38be6-b6d2-406e-9833-503da1f54212" targetNamespace="http://schemas.microsoft.com/office/2006/metadata/properties" ma:root="true" ma:fieldsID="a96a40b18cbabb0461cbb3afa0bdab01" ns1:_="" ns2:_="" ns3:_="" ns4:_="">
    <xsd:import namespace="http://schemas.microsoft.com/sharepoint/v3"/>
    <xsd:import namespace="1a4d292e-883c-434b-96e3-060cfff16c86"/>
    <xsd:import namespace="dab10b47-f661-4cf6-bd71-43c4417799c8"/>
    <xsd:import namespace="b9a38be6-b6d2-406e-9833-503da1f5421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0d2820-3228-4a20-b0fe-6f2be7e891ed}" ma:internalName="TaxCatchAll" ma:showField="CatchAllData" ma:web="dab10b47-f661-4cf6-bd71-43c441779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60d2820-3228-4a20-b0fe-6f2be7e891ed}" ma:internalName="TaxCatchAllLabel" ma:readOnly="true" ma:showField="CatchAllDataLabel" ma:web="dab10b47-f661-4cf6-bd71-43c441779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10b47-f661-4cf6-bd71-43c4417799c8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38be6-b6d2-406e-9833-503da1f54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2032-12-03T13:03:47+00:00</_dlc_ExpireDate>
    <_dlc_ExpireDateSaved xmlns="http://schemas.microsoft.com/sharepoint/v3" xsi:nil="true"/>
    <TaxCatchAll xmlns="1a4d292e-883c-434b-96e3-060cfff16c86" xsi:nil="true"/>
    <_dlc_Exempt xmlns="http://schemas.microsoft.com/sharepoint/v3" xsi:nil="true"/>
    <_dlc_DocId xmlns="dab10b47-f661-4cf6-bd71-43c4417799c8">365Z6MNKC47P-11-1619</_dlc_DocId>
    <_dlc_DocIdUrl xmlns="dab10b47-f661-4cf6-bd71-43c4417799c8">
      <Url>http://sp-coll-bhc.bayer-ag.com/sites/222147/keydocs/_layouts/15/DocIdRedir.aspx?ID=365Z6MNKC47P-11-1619</Url>
      <Description>365Z6MNKC47P-11-1619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A50A-25B5-4871-8927-45190CF20BF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E82F15B-9794-43FC-93D1-7A31299BF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AB9F0-CC12-400E-B7D9-A1B582D459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E9E9B1-4979-4383-9C91-D9648997469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BA90FF0-CB29-4EF4-B042-F7108EB75C66}"/>
</file>

<file path=customXml/itemProps6.xml><?xml version="1.0" encoding="utf-8"?>
<ds:datastoreItem xmlns:ds="http://schemas.openxmlformats.org/officeDocument/2006/customXml" ds:itemID="{B4971F43-1B35-4A72-99AF-276FAFF80F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a4d292e-883c-434b-96e3-060cfff16c86"/>
    <ds:schemaRef ds:uri="59ecfc17-b150-4d88-bb1d-6fe17ccf832e"/>
    <ds:schemaRef ds:uri="dab10b47-f661-4cf6-bd71-43c4417799c8"/>
  </ds:schemaRefs>
</ds:datastoreItem>
</file>

<file path=customXml/itemProps7.xml><?xml version="1.0" encoding="utf-8"?>
<ds:datastoreItem xmlns:ds="http://schemas.openxmlformats.org/officeDocument/2006/customXml" ds:itemID="{2FC711D1-D1E9-4153-A9DC-E57E69B9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5250</Words>
  <Characters>29929</Characters>
  <Application>Microsoft Office Word</Application>
  <DocSecurity>0</DocSecurity>
  <Lines>249</Lines>
  <Paragraphs>70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Verquvo, INN-vericiguat</vt:lpstr>
      <vt:lpstr>Verquvo, INN-vericiguat</vt:lpstr>
      <vt:lpstr>Verquvo, INN-vericiguat</vt:lpstr>
    </vt:vector>
  </TitlesOfParts>
  <Company>Bayer</Company>
  <LinksUpToDate>false</LinksUpToDate>
  <CharactersWithSpaces>35109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Verquvo, INN-vericiguat</dc:title>
  <dc:subject>EPAR</dc:subject>
  <dc:creator>CHMP</dc:creator>
  <cp:keywords>Verquvo, INN-vericiguat</cp:keywords>
  <dc:description/>
  <cp:lastModifiedBy>Barbora Slatinska</cp:lastModifiedBy>
  <cp:revision>3</cp:revision>
  <cp:lastPrinted>2021-01-11T10:29:00Z</cp:lastPrinted>
  <dcterms:created xsi:type="dcterms:W3CDTF">2025-11-06T16:29:00Z</dcterms:created>
  <dcterms:modified xsi:type="dcterms:W3CDTF">2025-11-06T16:33:00Z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  <property fmtid="{D5CDD505-2E9C-101B-9397-08002B2CF9AE}" pid="43" name="gbbd9102adcd43839cd73b51972a464c">
    <vt:lpwstr>Short-Term|6d967203-8346-4b9c-90f8-b3828a3fa508</vt:lpwstr>
  </property>
  <property fmtid="{D5CDD505-2E9C-101B-9397-08002B2CF9AE}" pid="44" name="TaxCatchAll">
    <vt:lpwstr>1;#Short-Term|6d967203-8346-4b9c-90f8-b3828a3fa508</vt:lpwstr>
  </property>
  <property fmtid="{D5CDD505-2E9C-101B-9397-08002B2CF9AE}" pid="45" name="_dlc_ExpireDate">
    <vt:lpwstr>2021-01-29T17:48:37Z</vt:lpwstr>
  </property>
  <property fmtid="{D5CDD505-2E9C-101B-9397-08002B2CF9AE}" pid="46" name="ItemRetentionFormula">
    <vt:lpwstr>&lt;formula id="Bayer SharePoint Retention Policy 2.1" /&gt;</vt:lpwstr>
  </property>
  <property fmtid="{D5CDD505-2E9C-101B-9397-08002B2CF9AE}" pid="47" name="_dlc_policyId">
    <vt:lpwstr>0x0101|-2126682137</vt:lpwstr>
  </property>
  <property fmtid="{D5CDD505-2E9C-101B-9397-08002B2CF9AE}" pid="48" name="_dlc_DocId">
    <vt:lpwstr>365Z6MNKC47P-11-1619</vt:lpwstr>
  </property>
  <property fmtid="{D5CDD505-2E9C-101B-9397-08002B2CF9AE}" pid="49" name="_dlc_DocIdUrl">
    <vt:lpwstr>http://sp-coll-bhc.bayer-ag.com/sites/222147/keydocs/_layouts/15/DocIdRedir.aspx?ID=365Z6MNKC47P-11-1619, 365Z6MNKC47P-11-1619</vt:lpwstr>
  </property>
  <property fmtid="{D5CDD505-2E9C-101B-9397-08002B2CF9AE}" pid="50" name="_dlc_DocIdItemGuid">
    <vt:lpwstr>748c5236-8002-4e8d-88ea-890c57d4ff1b</vt:lpwstr>
  </property>
  <property fmtid="{D5CDD505-2E9C-101B-9397-08002B2CF9AE}" pid="51" name="DataClassBayerRetention">
    <vt:lpwstr>1;#Short-Term|6d967203-8346-4b9c-90f8-b3828a3fa508</vt:lpwstr>
  </property>
  <property fmtid="{D5CDD505-2E9C-101B-9397-08002B2CF9AE}" pid="52" name="MSIP_Label_7f850223-87a8-40c3-9eb2-432606efca2a_Enabled">
    <vt:lpwstr>True</vt:lpwstr>
  </property>
  <property fmtid="{D5CDD505-2E9C-101B-9397-08002B2CF9AE}" pid="53" name="MSIP_Label_7f850223-87a8-40c3-9eb2-432606efca2a_SiteId">
    <vt:lpwstr>fcb2b37b-5da0-466b-9b83-0014b67a7c78</vt:lpwstr>
  </property>
  <property fmtid="{D5CDD505-2E9C-101B-9397-08002B2CF9AE}" pid="54" name="MSIP_Label_7f850223-87a8-40c3-9eb2-432606efca2a_Owner">
    <vt:lpwstr>bettina.hackethal@bayer.com</vt:lpwstr>
  </property>
  <property fmtid="{D5CDD505-2E9C-101B-9397-08002B2CF9AE}" pid="55" name="MSIP_Label_7f850223-87a8-40c3-9eb2-432606efca2a_SetDate">
    <vt:lpwstr>2019-11-27T12:38:39.3819308Z</vt:lpwstr>
  </property>
  <property fmtid="{D5CDD505-2E9C-101B-9397-08002B2CF9AE}" pid="56" name="MSIP_Label_7f850223-87a8-40c3-9eb2-432606efca2a_Name">
    <vt:lpwstr>NO CLASSIFICATION</vt:lpwstr>
  </property>
  <property fmtid="{D5CDD505-2E9C-101B-9397-08002B2CF9AE}" pid="57" name="MSIP_Label_7f850223-87a8-40c3-9eb2-432606efca2a_Application">
    <vt:lpwstr>Microsoft Azure Information Protection</vt:lpwstr>
  </property>
  <property fmtid="{D5CDD505-2E9C-101B-9397-08002B2CF9AE}" pid="58" name="MSIP_Label_7f850223-87a8-40c3-9eb2-432606efca2a_Extended_MSFT_Method">
    <vt:lpwstr>Automatic</vt:lpwstr>
  </property>
  <property fmtid="{D5CDD505-2E9C-101B-9397-08002B2CF9AE}" pid="59" name="Sensitivity">
    <vt:lpwstr>NO CLASSIFICATION</vt:lpwstr>
  </property>
  <property fmtid="{D5CDD505-2E9C-101B-9397-08002B2CF9AE}" pid="60" name="Sensitivity Classification">
    <vt:lpwstr>Confidential</vt:lpwstr>
  </property>
  <property fmtid="{D5CDD505-2E9C-101B-9397-08002B2CF9AE}" pid="61" name="ContentTypeId">
    <vt:lpwstr>0x01010093E68F9263FF154094273DE4A9DA5BC4</vt:lpwstr>
  </property>
  <property fmtid="{D5CDD505-2E9C-101B-9397-08002B2CF9AE}" pid="62" name="MediaServiceImageTags">
    <vt:lpwstr/>
  </property>
</Properties>
</file>