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FFBCB" w14:textId="77777777" w:rsidR="00DD6503" w:rsidRPr="0028273C" w:rsidRDefault="00DD6503" w:rsidP="00735457">
      <w:pPr>
        <w:tabs>
          <w:tab w:val="clear" w:pos="567"/>
        </w:tabs>
        <w:rPr>
          <w:lang w:val="cs-CZ"/>
        </w:rPr>
      </w:pPr>
    </w:p>
    <w:p w14:paraId="026B41B7" w14:textId="77777777" w:rsidR="00DD6503" w:rsidRPr="0028273C" w:rsidRDefault="00DD6503" w:rsidP="00735457">
      <w:pPr>
        <w:tabs>
          <w:tab w:val="clear" w:pos="567"/>
        </w:tabs>
        <w:rPr>
          <w:lang w:val="cs-CZ"/>
        </w:rPr>
      </w:pPr>
    </w:p>
    <w:p w14:paraId="67C4A7F9" w14:textId="586596F1" w:rsidR="00DD6503" w:rsidRPr="0028273C" w:rsidRDefault="00DD6503" w:rsidP="2119785A">
      <w:pPr>
        <w:keepNext/>
        <w:keepLines/>
        <w:tabs>
          <w:tab w:val="clear" w:pos="567"/>
        </w:tabs>
        <w:ind w:left="567" w:hanging="567"/>
        <w:outlineLvl w:val="1"/>
        <w:rPr>
          <w:b/>
          <w:bCs/>
          <w:lang w:val="cs-CZ"/>
        </w:rPr>
      </w:pPr>
      <w:r w:rsidRPr="2119785A">
        <w:rPr>
          <w:b/>
          <w:bCs/>
          <w:lang w:val="cs-CZ"/>
        </w:rPr>
        <w:t>1.</w:t>
      </w:r>
      <w:r>
        <w:tab/>
      </w:r>
      <w:r w:rsidR="00134CFF" w:rsidRPr="2119785A">
        <w:rPr>
          <w:b/>
          <w:bCs/>
          <w:lang w:val="cs-CZ"/>
        </w:rPr>
        <w:t>NÁZEV PŘÍPRAVKU</w:t>
      </w:r>
    </w:p>
    <w:p w14:paraId="7E6CF8E3" w14:textId="77777777" w:rsidR="00DD6503" w:rsidRPr="0028273C" w:rsidRDefault="00DD6503" w:rsidP="00735457">
      <w:pPr>
        <w:keepNext/>
        <w:keepLines/>
        <w:tabs>
          <w:tab w:val="clear" w:pos="567"/>
        </w:tabs>
        <w:rPr>
          <w:szCs w:val="22"/>
          <w:lang w:val="cs-CZ"/>
        </w:rPr>
      </w:pPr>
    </w:p>
    <w:p w14:paraId="35950FDB" w14:textId="77777777" w:rsidR="00DD6503" w:rsidRPr="0028273C" w:rsidRDefault="00A06EEB" w:rsidP="00FA1963">
      <w:pPr>
        <w:keepNext/>
        <w:tabs>
          <w:tab w:val="clear" w:pos="567"/>
        </w:tabs>
        <w:outlineLvl w:val="4"/>
        <w:rPr>
          <w:szCs w:val="22"/>
          <w:lang w:val="cs-CZ"/>
        </w:rPr>
      </w:pPr>
      <w:proofErr w:type="spellStart"/>
      <w:r w:rsidRPr="0028273C">
        <w:rPr>
          <w:szCs w:val="22"/>
          <w:lang w:val="cs-CZ"/>
        </w:rPr>
        <w:t>Jivi</w:t>
      </w:r>
      <w:proofErr w:type="spellEnd"/>
      <w:r w:rsidR="00B07BA7" w:rsidRPr="0028273C">
        <w:rPr>
          <w:szCs w:val="22"/>
          <w:lang w:val="cs-CZ"/>
        </w:rPr>
        <w:t xml:space="preserve"> </w:t>
      </w:r>
      <w:r w:rsidR="00DD6503" w:rsidRPr="0028273C">
        <w:rPr>
          <w:lang w:val="cs-CZ"/>
        </w:rPr>
        <w:t>250</w:t>
      </w:r>
      <w:r w:rsidR="00DD6503" w:rsidRPr="0028273C">
        <w:rPr>
          <w:szCs w:val="22"/>
          <w:lang w:val="cs-CZ"/>
        </w:rPr>
        <w:t> </w:t>
      </w:r>
      <w:r w:rsidR="00BF54B9" w:rsidRPr="0028273C">
        <w:rPr>
          <w:szCs w:val="22"/>
          <w:lang w:val="cs-CZ"/>
        </w:rPr>
        <w:t>IU</w:t>
      </w:r>
      <w:r w:rsidR="00DD6503" w:rsidRPr="0028273C">
        <w:rPr>
          <w:szCs w:val="22"/>
          <w:lang w:val="cs-CZ"/>
        </w:rPr>
        <w:t xml:space="preserve"> </w:t>
      </w:r>
      <w:r w:rsidR="00134CFF" w:rsidRPr="0028273C">
        <w:rPr>
          <w:lang w:val="cs-CZ"/>
        </w:rPr>
        <w:t>prášek a rozpouštědlo pro injekční roztok</w:t>
      </w:r>
    </w:p>
    <w:p w14:paraId="328E13E9" w14:textId="77777777" w:rsidR="0090554B" w:rsidRPr="0028273C" w:rsidRDefault="00A06EEB" w:rsidP="00FA1963">
      <w:pPr>
        <w:keepNext/>
        <w:tabs>
          <w:tab w:val="clear" w:pos="567"/>
        </w:tabs>
        <w:outlineLvl w:val="4"/>
        <w:rPr>
          <w:szCs w:val="22"/>
          <w:lang w:val="cs-CZ"/>
        </w:rPr>
      </w:pPr>
      <w:proofErr w:type="spellStart"/>
      <w:r w:rsidRPr="0028273C">
        <w:rPr>
          <w:szCs w:val="22"/>
          <w:lang w:val="cs-CZ"/>
        </w:rPr>
        <w:t>Jivi</w:t>
      </w:r>
      <w:proofErr w:type="spellEnd"/>
      <w:r w:rsidR="00B07BA7" w:rsidRPr="0028273C">
        <w:rPr>
          <w:szCs w:val="22"/>
          <w:lang w:val="cs-CZ"/>
        </w:rPr>
        <w:t xml:space="preserve"> </w:t>
      </w:r>
      <w:r w:rsidR="0090554B" w:rsidRPr="0028273C">
        <w:rPr>
          <w:szCs w:val="22"/>
          <w:lang w:val="cs-CZ"/>
        </w:rPr>
        <w:t>500 </w:t>
      </w:r>
      <w:r w:rsidR="00BF54B9" w:rsidRPr="0028273C">
        <w:rPr>
          <w:szCs w:val="22"/>
          <w:lang w:val="cs-CZ"/>
        </w:rPr>
        <w:t>IU</w:t>
      </w:r>
      <w:r w:rsidR="0090554B" w:rsidRPr="0028273C">
        <w:rPr>
          <w:szCs w:val="22"/>
          <w:lang w:val="cs-CZ"/>
        </w:rPr>
        <w:t xml:space="preserve"> </w:t>
      </w:r>
      <w:r w:rsidR="00134CFF" w:rsidRPr="0028273C">
        <w:rPr>
          <w:lang w:val="cs-CZ"/>
        </w:rPr>
        <w:t>prášek a rozpouštědlo pro injekční roztok</w:t>
      </w:r>
    </w:p>
    <w:p w14:paraId="0F9E92D6" w14:textId="77777777" w:rsidR="0090554B" w:rsidRPr="0028273C" w:rsidRDefault="00A06EEB" w:rsidP="00FA1963">
      <w:pPr>
        <w:keepNext/>
        <w:tabs>
          <w:tab w:val="clear" w:pos="567"/>
        </w:tabs>
        <w:outlineLvl w:val="4"/>
        <w:rPr>
          <w:szCs w:val="22"/>
          <w:lang w:val="cs-CZ"/>
        </w:rPr>
      </w:pPr>
      <w:proofErr w:type="spellStart"/>
      <w:r w:rsidRPr="0028273C">
        <w:rPr>
          <w:szCs w:val="22"/>
          <w:lang w:val="cs-CZ"/>
        </w:rPr>
        <w:t>Jivi</w:t>
      </w:r>
      <w:proofErr w:type="spellEnd"/>
      <w:r w:rsidR="00B07BA7" w:rsidRPr="0028273C">
        <w:rPr>
          <w:szCs w:val="22"/>
          <w:lang w:val="cs-CZ"/>
        </w:rPr>
        <w:t xml:space="preserve"> </w:t>
      </w:r>
      <w:r w:rsidR="0090554B" w:rsidRPr="0028273C">
        <w:rPr>
          <w:szCs w:val="22"/>
          <w:lang w:val="cs-CZ"/>
        </w:rPr>
        <w:t>1000 </w:t>
      </w:r>
      <w:r w:rsidR="00BF54B9" w:rsidRPr="0028273C">
        <w:rPr>
          <w:szCs w:val="22"/>
          <w:lang w:val="cs-CZ"/>
        </w:rPr>
        <w:t>IU</w:t>
      </w:r>
      <w:r w:rsidR="0090554B" w:rsidRPr="0028273C">
        <w:rPr>
          <w:szCs w:val="22"/>
          <w:lang w:val="cs-CZ"/>
        </w:rPr>
        <w:t xml:space="preserve"> </w:t>
      </w:r>
      <w:r w:rsidR="00134CFF" w:rsidRPr="0028273C">
        <w:rPr>
          <w:lang w:val="cs-CZ"/>
        </w:rPr>
        <w:t>prášek a rozpouštědlo pro injekční roztok</w:t>
      </w:r>
    </w:p>
    <w:p w14:paraId="5173D044" w14:textId="77777777" w:rsidR="0090554B" w:rsidRPr="0028273C" w:rsidRDefault="00A06EEB" w:rsidP="00FA1963">
      <w:pPr>
        <w:keepNext/>
        <w:tabs>
          <w:tab w:val="clear" w:pos="567"/>
        </w:tabs>
        <w:outlineLvl w:val="4"/>
        <w:rPr>
          <w:szCs w:val="22"/>
          <w:lang w:val="cs-CZ"/>
        </w:rPr>
      </w:pPr>
      <w:proofErr w:type="spellStart"/>
      <w:r w:rsidRPr="0028273C">
        <w:rPr>
          <w:szCs w:val="22"/>
          <w:lang w:val="cs-CZ"/>
        </w:rPr>
        <w:t>Jivi</w:t>
      </w:r>
      <w:proofErr w:type="spellEnd"/>
      <w:r w:rsidR="00B07BA7" w:rsidRPr="0028273C">
        <w:rPr>
          <w:szCs w:val="22"/>
          <w:lang w:val="cs-CZ"/>
        </w:rPr>
        <w:t xml:space="preserve"> </w:t>
      </w:r>
      <w:r w:rsidR="0090554B" w:rsidRPr="0028273C">
        <w:rPr>
          <w:szCs w:val="22"/>
          <w:lang w:val="cs-CZ"/>
        </w:rPr>
        <w:t>2000 </w:t>
      </w:r>
      <w:r w:rsidR="00BF54B9" w:rsidRPr="0028273C">
        <w:rPr>
          <w:szCs w:val="22"/>
          <w:lang w:val="cs-CZ"/>
        </w:rPr>
        <w:t>IU</w:t>
      </w:r>
      <w:r w:rsidR="0090554B" w:rsidRPr="0028273C">
        <w:rPr>
          <w:szCs w:val="22"/>
          <w:lang w:val="cs-CZ"/>
        </w:rPr>
        <w:t xml:space="preserve"> </w:t>
      </w:r>
      <w:r w:rsidR="00134CFF" w:rsidRPr="0028273C">
        <w:rPr>
          <w:lang w:val="cs-CZ"/>
        </w:rPr>
        <w:t>prášek a rozpouštědlo pro injekční roztok</w:t>
      </w:r>
    </w:p>
    <w:p w14:paraId="6309A734" w14:textId="77777777" w:rsidR="0090554B" w:rsidRPr="0028273C" w:rsidRDefault="00A06EEB" w:rsidP="00FA1963">
      <w:pPr>
        <w:keepNext/>
        <w:tabs>
          <w:tab w:val="clear" w:pos="567"/>
        </w:tabs>
        <w:outlineLvl w:val="4"/>
        <w:rPr>
          <w:szCs w:val="22"/>
          <w:lang w:val="cs-CZ"/>
        </w:rPr>
      </w:pPr>
      <w:proofErr w:type="spellStart"/>
      <w:r w:rsidRPr="0028273C">
        <w:rPr>
          <w:szCs w:val="22"/>
          <w:lang w:val="cs-CZ"/>
        </w:rPr>
        <w:t>Jivi</w:t>
      </w:r>
      <w:proofErr w:type="spellEnd"/>
      <w:r w:rsidR="00B07BA7" w:rsidRPr="0028273C">
        <w:rPr>
          <w:szCs w:val="22"/>
          <w:lang w:val="cs-CZ"/>
        </w:rPr>
        <w:t xml:space="preserve"> </w:t>
      </w:r>
      <w:r w:rsidR="0090554B" w:rsidRPr="0028273C">
        <w:rPr>
          <w:szCs w:val="22"/>
          <w:lang w:val="cs-CZ"/>
        </w:rPr>
        <w:t>3000 </w:t>
      </w:r>
      <w:r w:rsidR="00BF54B9" w:rsidRPr="0028273C">
        <w:rPr>
          <w:szCs w:val="22"/>
          <w:lang w:val="cs-CZ"/>
        </w:rPr>
        <w:t>IU</w:t>
      </w:r>
      <w:r w:rsidR="0090554B" w:rsidRPr="0028273C">
        <w:rPr>
          <w:szCs w:val="22"/>
          <w:lang w:val="cs-CZ"/>
        </w:rPr>
        <w:t xml:space="preserve"> </w:t>
      </w:r>
      <w:r w:rsidR="00134CFF" w:rsidRPr="0028273C">
        <w:rPr>
          <w:lang w:val="cs-CZ"/>
        </w:rPr>
        <w:t>prášek a rozpouštědlo pro injekční roztok</w:t>
      </w:r>
    </w:p>
    <w:p w14:paraId="1D5922B6" w14:textId="77777777" w:rsidR="00052138" w:rsidRPr="0028273C" w:rsidRDefault="00052138" w:rsidP="00052138">
      <w:pPr>
        <w:keepNext/>
        <w:tabs>
          <w:tab w:val="clear" w:pos="567"/>
        </w:tabs>
        <w:outlineLvl w:val="4"/>
        <w:rPr>
          <w:szCs w:val="22"/>
          <w:lang w:val="cs-CZ"/>
        </w:rPr>
      </w:pPr>
      <w:proofErr w:type="spellStart"/>
      <w:r w:rsidRPr="0028273C">
        <w:rPr>
          <w:szCs w:val="22"/>
          <w:lang w:val="cs-CZ"/>
        </w:rPr>
        <w:t>Jivi</w:t>
      </w:r>
      <w:proofErr w:type="spellEnd"/>
      <w:r w:rsidRPr="0028273C">
        <w:rPr>
          <w:szCs w:val="22"/>
          <w:lang w:val="cs-CZ"/>
        </w:rPr>
        <w:t xml:space="preserve"> </w:t>
      </w:r>
      <w:r>
        <w:rPr>
          <w:szCs w:val="22"/>
          <w:lang w:val="cs-CZ"/>
        </w:rPr>
        <w:t>4</w:t>
      </w:r>
      <w:r w:rsidRPr="0028273C">
        <w:rPr>
          <w:szCs w:val="22"/>
          <w:lang w:val="cs-CZ"/>
        </w:rPr>
        <w:t xml:space="preserve">000 IU </w:t>
      </w:r>
      <w:r w:rsidRPr="0028273C">
        <w:rPr>
          <w:lang w:val="cs-CZ"/>
        </w:rPr>
        <w:t>prášek a rozpouštědlo pro injekční roztok</w:t>
      </w:r>
    </w:p>
    <w:p w14:paraId="04606251" w14:textId="77777777" w:rsidR="00DD6503" w:rsidRPr="0028273C" w:rsidRDefault="00DD6503" w:rsidP="00735457">
      <w:pPr>
        <w:tabs>
          <w:tab w:val="clear" w:pos="567"/>
        </w:tabs>
        <w:rPr>
          <w:szCs w:val="22"/>
          <w:lang w:val="cs-CZ"/>
        </w:rPr>
      </w:pPr>
    </w:p>
    <w:p w14:paraId="00A86A89" w14:textId="77777777" w:rsidR="00DD6503" w:rsidRPr="0028273C" w:rsidRDefault="00DD6503" w:rsidP="00735457">
      <w:pPr>
        <w:tabs>
          <w:tab w:val="clear" w:pos="567"/>
        </w:tabs>
        <w:rPr>
          <w:szCs w:val="22"/>
          <w:lang w:val="cs-CZ"/>
        </w:rPr>
      </w:pPr>
    </w:p>
    <w:p w14:paraId="580BCA95" w14:textId="77777777" w:rsidR="00DD6503" w:rsidRPr="0028273C" w:rsidRDefault="00DD6503" w:rsidP="00FA1963">
      <w:pPr>
        <w:keepNext/>
        <w:keepLines/>
        <w:tabs>
          <w:tab w:val="clear" w:pos="567"/>
        </w:tabs>
        <w:ind w:left="567" w:hanging="567"/>
        <w:outlineLvl w:val="1"/>
        <w:rPr>
          <w:b/>
          <w:szCs w:val="22"/>
          <w:lang w:val="cs-CZ"/>
        </w:rPr>
      </w:pPr>
      <w:r w:rsidRPr="0028273C">
        <w:rPr>
          <w:b/>
          <w:szCs w:val="22"/>
          <w:lang w:val="cs-CZ"/>
        </w:rPr>
        <w:t>2.</w:t>
      </w:r>
      <w:r w:rsidRPr="0028273C">
        <w:rPr>
          <w:b/>
          <w:szCs w:val="22"/>
          <w:lang w:val="cs-CZ"/>
        </w:rPr>
        <w:tab/>
      </w:r>
      <w:r w:rsidR="00134CFF" w:rsidRPr="0028273C">
        <w:rPr>
          <w:b/>
          <w:szCs w:val="22"/>
          <w:lang w:val="cs-CZ"/>
        </w:rPr>
        <w:t>KVALITATIVNÍ A KVANTITATIVNÍ SLOŽENÍ</w:t>
      </w:r>
    </w:p>
    <w:p w14:paraId="5767948A" w14:textId="77777777" w:rsidR="00DD6503" w:rsidRPr="0028273C" w:rsidRDefault="00DD6503" w:rsidP="00735457">
      <w:pPr>
        <w:tabs>
          <w:tab w:val="clear" w:pos="567"/>
        </w:tabs>
        <w:rPr>
          <w:szCs w:val="22"/>
          <w:lang w:val="cs-CZ"/>
        </w:rPr>
      </w:pPr>
    </w:p>
    <w:p w14:paraId="3BBA5257" w14:textId="2B97838B" w:rsidR="008476B6" w:rsidRDefault="00E04E15" w:rsidP="00735457">
      <w:pPr>
        <w:tabs>
          <w:tab w:val="clear" w:pos="567"/>
        </w:tabs>
        <w:rPr>
          <w:szCs w:val="22"/>
          <w:u w:val="single"/>
          <w:lang w:val="cs-CZ"/>
        </w:rPr>
      </w:pPr>
      <w:proofErr w:type="spellStart"/>
      <w:r w:rsidRPr="0028273C">
        <w:rPr>
          <w:szCs w:val="22"/>
          <w:u w:val="single"/>
          <w:lang w:val="cs-CZ"/>
        </w:rPr>
        <w:t>Jivi</w:t>
      </w:r>
      <w:proofErr w:type="spellEnd"/>
      <w:r w:rsidRPr="0028273C">
        <w:rPr>
          <w:szCs w:val="22"/>
          <w:u w:val="single"/>
          <w:lang w:val="cs-CZ"/>
        </w:rPr>
        <w:t xml:space="preserve"> 250 IU prášek a</w:t>
      </w:r>
      <w:r w:rsidR="008B7C0A" w:rsidRPr="0028273C">
        <w:rPr>
          <w:szCs w:val="22"/>
          <w:u w:val="single"/>
          <w:lang w:val="cs-CZ"/>
        </w:rPr>
        <w:t> </w:t>
      </w:r>
      <w:r w:rsidRPr="0028273C">
        <w:rPr>
          <w:szCs w:val="22"/>
          <w:u w:val="single"/>
          <w:lang w:val="cs-CZ"/>
        </w:rPr>
        <w:t>rozpouštědlo pro injekční roztok</w:t>
      </w:r>
    </w:p>
    <w:p w14:paraId="592BCFAB" w14:textId="77777777" w:rsidR="005E1617" w:rsidRDefault="005E1617" w:rsidP="00735457">
      <w:pPr>
        <w:tabs>
          <w:tab w:val="clear" w:pos="567"/>
        </w:tabs>
        <w:rPr>
          <w:szCs w:val="22"/>
          <w:u w:val="single"/>
          <w:lang w:val="cs-CZ"/>
        </w:rPr>
      </w:pPr>
    </w:p>
    <w:p w14:paraId="75F5B622" w14:textId="0374ACE0" w:rsidR="00E04E15" w:rsidRPr="0028273C" w:rsidRDefault="008476B6" w:rsidP="00735457">
      <w:pPr>
        <w:tabs>
          <w:tab w:val="clear" w:pos="567"/>
        </w:tabs>
        <w:rPr>
          <w:szCs w:val="22"/>
          <w:lang w:val="cs-CZ"/>
        </w:rPr>
      </w:pPr>
      <w:r w:rsidRPr="0054357C">
        <w:rPr>
          <w:szCs w:val="22"/>
          <w:lang w:val="cs-CZ"/>
        </w:rPr>
        <w:t>Jeden ml přípravku</w:t>
      </w:r>
      <w:r w:rsidRPr="00673201">
        <w:rPr>
          <w:szCs w:val="22"/>
          <w:lang w:val="cs-CZ"/>
        </w:rPr>
        <w:t xml:space="preserve"> obsahuje p</w:t>
      </w:r>
      <w:r>
        <w:rPr>
          <w:szCs w:val="22"/>
          <w:lang w:val="cs-CZ"/>
        </w:rPr>
        <w:t>o</w:t>
      </w:r>
      <w:r w:rsidR="00D26DDD">
        <w:rPr>
          <w:szCs w:val="22"/>
          <w:lang w:val="cs-CZ"/>
        </w:rPr>
        <w:t xml:space="preserve"> </w:t>
      </w:r>
      <w:r w:rsidR="00E04E15" w:rsidRPr="0028273C">
        <w:rPr>
          <w:szCs w:val="22"/>
          <w:lang w:val="cs-CZ"/>
        </w:rPr>
        <w:t xml:space="preserve">rekonstituci </w:t>
      </w:r>
      <w:r w:rsidR="00C512D4" w:rsidRPr="0028273C">
        <w:rPr>
          <w:szCs w:val="22"/>
          <w:lang w:val="cs-CZ"/>
        </w:rPr>
        <w:t>v </w:t>
      </w:r>
      <w:r w:rsidR="00E04E15" w:rsidRPr="0028273C">
        <w:rPr>
          <w:szCs w:val="22"/>
          <w:lang w:val="cs-CZ"/>
        </w:rPr>
        <w:t>poskytnut</w:t>
      </w:r>
      <w:r w:rsidR="00C512D4" w:rsidRPr="0028273C">
        <w:rPr>
          <w:szCs w:val="22"/>
          <w:lang w:val="cs-CZ"/>
        </w:rPr>
        <w:t>é</w:t>
      </w:r>
      <w:r w:rsidR="00E04E15" w:rsidRPr="0028273C">
        <w:rPr>
          <w:szCs w:val="22"/>
          <w:lang w:val="cs-CZ"/>
        </w:rPr>
        <w:t xml:space="preserve">m rozpouštědle přibližně100 IU (250 IU/2,5 ml) </w:t>
      </w:r>
      <w:proofErr w:type="spellStart"/>
      <w:r w:rsidR="00B937FA">
        <w:rPr>
          <w:szCs w:val="22"/>
          <w:lang w:val="cs-CZ"/>
        </w:rPr>
        <w:t>damoktokogu</w:t>
      </w:r>
      <w:proofErr w:type="spellEnd"/>
      <w:r w:rsidR="00B937FA">
        <w:rPr>
          <w:szCs w:val="22"/>
          <w:lang w:val="cs-CZ"/>
        </w:rPr>
        <w:t xml:space="preserve"> alfa </w:t>
      </w:r>
      <w:proofErr w:type="spellStart"/>
      <w:r w:rsidR="00B937FA">
        <w:rPr>
          <w:szCs w:val="22"/>
          <w:lang w:val="cs-CZ"/>
        </w:rPr>
        <w:t>pegolu</w:t>
      </w:r>
      <w:proofErr w:type="spellEnd"/>
      <w:r w:rsidR="00B937FA" w:rsidRPr="0028273C">
        <w:rPr>
          <w:szCs w:val="22"/>
          <w:lang w:val="cs-CZ"/>
        </w:rPr>
        <w:t xml:space="preserve"> </w:t>
      </w:r>
      <w:r w:rsidR="008F0052">
        <w:rPr>
          <w:szCs w:val="22"/>
          <w:lang w:val="cs-CZ"/>
        </w:rPr>
        <w:t>(</w:t>
      </w:r>
      <w:r w:rsidR="00E04E15" w:rsidRPr="0028273C">
        <w:rPr>
          <w:szCs w:val="22"/>
          <w:lang w:val="cs-CZ"/>
        </w:rPr>
        <w:t>lidského koagulačního faktoru</w:t>
      </w:r>
      <w:r w:rsidR="008B7C0A" w:rsidRPr="0028273C">
        <w:rPr>
          <w:szCs w:val="22"/>
          <w:lang w:val="cs-CZ"/>
        </w:rPr>
        <w:t> </w:t>
      </w:r>
      <w:r w:rsidR="00E04E15" w:rsidRPr="0028273C">
        <w:rPr>
          <w:szCs w:val="22"/>
          <w:lang w:val="cs-CZ"/>
        </w:rPr>
        <w:t>VIII</w:t>
      </w:r>
      <w:r w:rsidR="008F0052">
        <w:rPr>
          <w:szCs w:val="22"/>
          <w:lang w:val="cs-CZ"/>
        </w:rPr>
        <w:t>).</w:t>
      </w:r>
    </w:p>
    <w:p w14:paraId="6E593115" w14:textId="77777777" w:rsidR="00E04E15" w:rsidRPr="0028273C" w:rsidRDefault="00E04E15" w:rsidP="00735457">
      <w:pPr>
        <w:tabs>
          <w:tab w:val="clear" w:pos="567"/>
        </w:tabs>
        <w:rPr>
          <w:szCs w:val="22"/>
          <w:lang w:val="cs-CZ"/>
        </w:rPr>
      </w:pPr>
    </w:p>
    <w:p w14:paraId="6EBCE0D9" w14:textId="77777777" w:rsidR="00E04E15" w:rsidRDefault="00E04E15" w:rsidP="00735457">
      <w:pPr>
        <w:tabs>
          <w:tab w:val="clear" w:pos="567"/>
        </w:tabs>
        <w:rPr>
          <w:szCs w:val="22"/>
          <w:u w:val="single"/>
          <w:lang w:val="cs-CZ"/>
        </w:rPr>
      </w:pPr>
      <w:proofErr w:type="spellStart"/>
      <w:r w:rsidRPr="0028273C">
        <w:rPr>
          <w:szCs w:val="22"/>
          <w:u w:val="single"/>
          <w:lang w:val="cs-CZ"/>
        </w:rPr>
        <w:t>Jivi</w:t>
      </w:r>
      <w:proofErr w:type="spellEnd"/>
      <w:r w:rsidRPr="0028273C">
        <w:rPr>
          <w:szCs w:val="22"/>
          <w:u w:val="single"/>
          <w:lang w:val="cs-CZ"/>
        </w:rPr>
        <w:t xml:space="preserve"> 500 IU prášek a</w:t>
      </w:r>
      <w:r w:rsidR="008B7C0A" w:rsidRPr="0028273C">
        <w:rPr>
          <w:szCs w:val="22"/>
          <w:u w:val="single"/>
          <w:lang w:val="cs-CZ"/>
        </w:rPr>
        <w:t> </w:t>
      </w:r>
      <w:r w:rsidRPr="0028273C">
        <w:rPr>
          <w:szCs w:val="22"/>
          <w:u w:val="single"/>
          <w:lang w:val="cs-CZ"/>
        </w:rPr>
        <w:t>rozpouštědlo pro injekční roztok</w:t>
      </w:r>
    </w:p>
    <w:p w14:paraId="7C1A96DC" w14:textId="77777777" w:rsidR="005E1617" w:rsidRPr="0028273C" w:rsidRDefault="005E1617" w:rsidP="00735457">
      <w:pPr>
        <w:tabs>
          <w:tab w:val="clear" w:pos="567"/>
        </w:tabs>
        <w:rPr>
          <w:szCs w:val="22"/>
          <w:u w:val="single"/>
          <w:lang w:val="cs-CZ"/>
        </w:rPr>
      </w:pPr>
    </w:p>
    <w:p w14:paraId="5F0AC62A" w14:textId="04105AE0" w:rsidR="00E04E15" w:rsidRPr="0028273C" w:rsidRDefault="008476B6" w:rsidP="00735457">
      <w:pPr>
        <w:tabs>
          <w:tab w:val="clear" w:pos="567"/>
        </w:tabs>
        <w:rPr>
          <w:szCs w:val="22"/>
          <w:lang w:val="cs-CZ"/>
        </w:rPr>
      </w:pPr>
      <w:r>
        <w:rPr>
          <w:szCs w:val="22"/>
          <w:lang w:val="cs-CZ"/>
        </w:rPr>
        <w:t>Jeden ml přípravku obsahuje p</w:t>
      </w:r>
      <w:r w:rsidR="00E04E15" w:rsidRPr="0028273C">
        <w:rPr>
          <w:szCs w:val="22"/>
          <w:lang w:val="cs-CZ"/>
        </w:rPr>
        <w:t xml:space="preserve">o rekonstituci </w:t>
      </w:r>
      <w:r w:rsidR="00C512D4" w:rsidRPr="0028273C">
        <w:rPr>
          <w:szCs w:val="22"/>
          <w:lang w:val="cs-CZ"/>
        </w:rPr>
        <w:t>v </w:t>
      </w:r>
      <w:r w:rsidR="00E04E15" w:rsidRPr="0028273C">
        <w:rPr>
          <w:szCs w:val="22"/>
          <w:lang w:val="cs-CZ"/>
        </w:rPr>
        <w:t>poskytnut</w:t>
      </w:r>
      <w:r w:rsidR="00C512D4" w:rsidRPr="0028273C">
        <w:rPr>
          <w:szCs w:val="22"/>
          <w:lang w:val="cs-CZ"/>
        </w:rPr>
        <w:t>é</w:t>
      </w:r>
      <w:r w:rsidR="00E04E15" w:rsidRPr="0028273C">
        <w:rPr>
          <w:szCs w:val="22"/>
          <w:lang w:val="cs-CZ"/>
        </w:rPr>
        <w:t>m rozpouštědle přibližně</w:t>
      </w:r>
      <w:r w:rsidR="008F0052" w:rsidRPr="0028273C">
        <w:rPr>
          <w:szCs w:val="22"/>
          <w:lang w:val="cs-CZ"/>
        </w:rPr>
        <w:t xml:space="preserve"> </w:t>
      </w:r>
      <w:r w:rsidR="00E04E15" w:rsidRPr="0028273C">
        <w:rPr>
          <w:szCs w:val="22"/>
          <w:lang w:val="cs-CZ"/>
        </w:rPr>
        <w:t>200 IU (500 IU/2,5 ml)</w:t>
      </w:r>
      <w:r w:rsidR="00B937FA" w:rsidRPr="00B937FA">
        <w:rPr>
          <w:szCs w:val="22"/>
          <w:lang w:val="cs-CZ"/>
        </w:rPr>
        <w:t xml:space="preserve"> </w:t>
      </w:r>
      <w:proofErr w:type="spellStart"/>
      <w:r w:rsidR="00B937FA">
        <w:rPr>
          <w:szCs w:val="22"/>
          <w:lang w:val="cs-CZ"/>
        </w:rPr>
        <w:t>damoktokogu</w:t>
      </w:r>
      <w:proofErr w:type="spellEnd"/>
      <w:r w:rsidR="00B937FA">
        <w:rPr>
          <w:szCs w:val="22"/>
          <w:lang w:val="cs-CZ"/>
        </w:rPr>
        <w:t xml:space="preserve"> alfa </w:t>
      </w:r>
      <w:proofErr w:type="spellStart"/>
      <w:r w:rsidR="00B937FA">
        <w:rPr>
          <w:szCs w:val="22"/>
          <w:lang w:val="cs-CZ"/>
        </w:rPr>
        <w:t>pegolu</w:t>
      </w:r>
      <w:proofErr w:type="spellEnd"/>
      <w:r w:rsidR="00E04E15" w:rsidRPr="0028273C">
        <w:rPr>
          <w:szCs w:val="22"/>
          <w:lang w:val="cs-CZ"/>
        </w:rPr>
        <w:t xml:space="preserve"> </w:t>
      </w:r>
      <w:r w:rsidR="008F0052">
        <w:rPr>
          <w:szCs w:val="22"/>
          <w:lang w:val="cs-CZ"/>
        </w:rPr>
        <w:t>(</w:t>
      </w:r>
      <w:r w:rsidR="00E04E15" w:rsidRPr="0028273C">
        <w:rPr>
          <w:szCs w:val="22"/>
          <w:lang w:val="cs-CZ"/>
        </w:rPr>
        <w:t>lidského koagulačního faktoru</w:t>
      </w:r>
      <w:r w:rsidR="008B7C0A" w:rsidRPr="0028273C">
        <w:rPr>
          <w:szCs w:val="22"/>
          <w:lang w:val="cs-CZ"/>
        </w:rPr>
        <w:t> </w:t>
      </w:r>
      <w:r w:rsidR="00E04E15" w:rsidRPr="0028273C">
        <w:rPr>
          <w:szCs w:val="22"/>
          <w:lang w:val="cs-CZ"/>
        </w:rPr>
        <w:t>VIII</w:t>
      </w:r>
      <w:r w:rsidR="008F0052">
        <w:rPr>
          <w:szCs w:val="22"/>
          <w:lang w:val="cs-CZ"/>
        </w:rPr>
        <w:t>)</w:t>
      </w:r>
      <w:r w:rsidR="00E04E15" w:rsidRPr="0028273C">
        <w:rPr>
          <w:szCs w:val="22"/>
          <w:lang w:val="cs-CZ"/>
        </w:rPr>
        <w:t>.</w:t>
      </w:r>
    </w:p>
    <w:p w14:paraId="3B61114D" w14:textId="77777777" w:rsidR="00E04E15" w:rsidRPr="0028273C" w:rsidRDefault="00E04E15" w:rsidP="00735457">
      <w:pPr>
        <w:tabs>
          <w:tab w:val="clear" w:pos="567"/>
        </w:tabs>
        <w:rPr>
          <w:szCs w:val="22"/>
          <w:lang w:val="cs-CZ"/>
        </w:rPr>
      </w:pPr>
    </w:p>
    <w:p w14:paraId="15E17ADC" w14:textId="77777777" w:rsidR="00E04E15" w:rsidRDefault="00E04E15" w:rsidP="00735457">
      <w:pPr>
        <w:tabs>
          <w:tab w:val="clear" w:pos="567"/>
        </w:tabs>
        <w:rPr>
          <w:szCs w:val="22"/>
          <w:u w:val="single"/>
          <w:lang w:val="cs-CZ"/>
        </w:rPr>
      </w:pPr>
      <w:proofErr w:type="spellStart"/>
      <w:r w:rsidRPr="0028273C">
        <w:rPr>
          <w:szCs w:val="22"/>
          <w:u w:val="single"/>
          <w:lang w:val="cs-CZ"/>
        </w:rPr>
        <w:t>Jivi</w:t>
      </w:r>
      <w:proofErr w:type="spellEnd"/>
      <w:r w:rsidRPr="0028273C">
        <w:rPr>
          <w:szCs w:val="22"/>
          <w:u w:val="single"/>
          <w:lang w:val="cs-CZ"/>
        </w:rPr>
        <w:t xml:space="preserve"> 1000 IU prášek a</w:t>
      </w:r>
      <w:r w:rsidR="008B7C0A" w:rsidRPr="0028273C">
        <w:rPr>
          <w:szCs w:val="22"/>
          <w:u w:val="single"/>
          <w:lang w:val="cs-CZ"/>
        </w:rPr>
        <w:t> </w:t>
      </w:r>
      <w:r w:rsidRPr="0028273C">
        <w:rPr>
          <w:szCs w:val="22"/>
          <w:u w:val="single"/>
          <w:lang w:val="cs-CZ"/>
        </w:rPr>
        <w:t>rozpouštědlo pro injekční roztok</w:t>
      </w:r>
    </w:p>
    <w:p w14:paraId="4A85B7A6" w14:textId="77777777" w:rsidR="005E1617" w:rsidRPr="0028273C" w:rsidRDefault="005E1617" w:rsidP="00735457">
      <w:pPr>
        <w:tabs>
          <w:tab w:val="clear" w:pos="567"/>
        </w:tabs>
        <w:rPr>
          <w:szCs w:val="22"/>
          <w:u w:val="single"/>
          <w:lang w:val="cs-CZ"/>
        </w:rPr>
      </w:pPr>
    </w:p>
    <w:p w14:paraId="06331321" w14:textId="41D8A0D1" w:rsidR="00E04E15" w:rsidRPr="0028273C" w:rsidRDefault="008476B6" w:rsidP="00735457">
      <w:pPr>
        <w:tabs>
          <w:tab w:val="clear" w:pos="567"/>
        </w:tabs>
        <w:rPr>
          <w:szCs w:val="22"/>
          <w:lang w:val="cs-CZ"/>
        </w:rPr>
      </w:pPr>
      <w:r>
        <w:rPr>
          <w:szCs w:val="22"/>
          <w:lang w:val="cs-CZ"/>
        </w:rPr>
        <w:t>Jeden ml přípravku obsahuje p</w:t>
      </w:r>
      <w:r w:rsidR="00E04E15" w:rsidRPr="0028273C">
        <w:rPr>
          <w:szCs w:val="22"/>
          <w:lang w:val="cs-CZ"/>
        </w:rPr>
        <w:t xml:space="preserve">o rekonstituci </w:t>
      </w:r>
      <w:r w:rsidR="00C512D4" w:rsidRPr="0028273C">
        <w:rPr>
          <w:szCs w:val="22"/>
          <w:lang w:val="cs-CZ"/>
        </w:rPr>
        <w:t>v </w:t>
      </w:r>
      <w:r w:rsidR="00E04E15" w:rsidRPr="0028273C">
        <w:rPr>
          <w:szCs w:val="22"/>
          <w:lang w:val="cs-CZ"/>
        </w:rPr>
        <w:t>poskytnut</w:t>
      </w:r>
      <w:r w:rsidR="00C512D4" w:rsidRPr="0028273C">
        <w:rPr>
          <w:szCs w:val="22"/>
          <w:lang w:val="cs-CZ"/>
        </w:rPr>
        <w:t>é</w:t>
      </w:r>
      <w:r w:rsidR="00E04E15" w:rsidRPr="0028273C">
        <w:rPr>
          <w:szCs w:val="22"/>
          <w:lang w:val="cs-CZ"/>
        </w:rPr>
        <w:t>m rozpouštědle přibližně</w:t>
      </w:r>
      <w:r w:rsidR="008F0052" w:rsidRPr="0028273C">
        <w:rPr>
          <w:szCs w:val="22"/>
          <w:lang w:val="cs-CZ"/>
        </w:rPr>
        <w:t xml:space="preserve"> </w:t>
      </w:r>
      <w:r w:rsidR="00E04E15" w:rsidRPr="0028273C">
        <w:rPr>
          <w:szCs w:val="22"/>
          <w:lang w:val="cs-CZ"/>
        </w:rPr>
        <w:t>400 IU (1</w:t>
      </w:r>
      <w:r w:rsidR="00841D45" w:rsidRPr="0028273C">
        <w:rPr>
          <w:szCs w:val="22"/>
          <w:lang w:val="cs-CZ"/>
        </w:rPr>
        <w:t> </w:t>
      </w:r>
      <w:r w:rsidR="00E04E15" w:rsidRPr="0028273C">
        <w:rPr>
          <w:szCs w:val="22"/>
          <w:lang w:val="cs-CZ"/>
        </w:rPr>
        <w:t xml:space="preserve">000 IU/2,5 ml) </w:t>
      </w:r>
      <w:proofErr w:type="spellStart"/>
      <w:r w:rsidR="00B937FA">
        <w:rPr>
          <w:szCs w:val="22"/>
          <w:lang w:val="cs-CZ"/>
        </w:rPr>
        <w:t>damoktokogu</w:t>
      </w:r>
      <w:proofErr w:type="spellEnd"/>
      <w:r w:rsidR="00B937FA">
        <w:rPr>
          <w:szCs w:val="22"/>
          <w:lang w:val="cs-CZ"/>
        </w:rPr>
        <w:t xml:space="preserve"> alfa </w:t>
      </w:r>
      <w:proofErr w:type="spellStart"/>
      <w:r w:rsidR="00B937FA">
        <w:rPr>
          <w:szCs w:val="22"/>
          <w:lang w:val="cs-CZ"/>
        </w:rPr>
        <w:t>pegolu</w:t>
      </w:r>
      <w:proofErr w:type="spellEnd"/>
      <w:r w:rsidR="00B937FA" w:rsidRPr="0028273C">
        <w:rPr>
          <w:szCs w:val="22"/>
          <w:lang w:val="cs-CZ"/>
        </w:rPr>
        <w:t xml:space="preserve"> </w:t>
      </w:r>
      <w:r w:rsidR="008F0052">
        <w:rPr>
          <w:szCs w:val="22"/>
          <w:lang w:val="cs-CZ"/>
        </w:rPr>
        <w:t>(</w:t>
      </w:r>
      <w:r w:rsidR="00E04E15" w:rsidRPr="0028273C">
        <w:rPr>
          <w:szCs w:val="22"/>
          <w:lang w:val="cs-CZ"/>
        </w:rPr>
        <w:t>lidského koagulačního faktoru</w:t>
      </w:r>
      <w:r w:rsidR="008B7C0A" w:rsidRPr="0028273C">
        <w:rPr>
          <w:szCs w:val="22"/>
          <w:lang w:val="cs-CZ"/>
        </w:rPr>
        <w:t> </w:t>
      </w:r>
      <w:r w:rsidR="00E04E15" w:rsidRPr="0028273C">
        <w:rPr>
          <w:szCs w:val="22"/>
          <w:lang w:val="cs-CZ"/>
        </w:rPr>
        <w:t>VIII</w:t>
      </w:r>
      <w:r w:rsidR="008F0052">
        <w:rPr>
          <w:szCs w:val="22"/>
          <w:lang w:val="cs-CZ"/>
        </w:rPr>
        <w:t>)</w:t>
      </w:r>
      <w:r w:rsidR="00E04E15" w:rsidRPr="0028273C">
        <w:rPr>
          <w:szCs w:val="22"/>
          <w:lang w:val="cs-CZ"/>
        </w:rPr>
        <w:t>.</w:t>
      </w:r>
    </w:p>
    <w:p w14:paraId="70719E38" w14:textId="77777777" w:rsidR="00E04E15" w:rsidRPr="0028273C" w:rsidRDefault="00E04E15" w:rsidP="00735457">
      <w:pPr>
        <w:tabs>
          <w:tab w:val="clear" w:pos="567"/>
        </w:tabs>
        <w:rPr>
          <w:szCs w:val="22"/>
          <w:lang w:val="cs-CZ"/>
        </w:rPr>
      </w:pPr>
    </w:p>
    <w:p w14:paraId="51CFC440" w14:textId="77777777" w:rsidR="00E04E15" w:rsidRDefault="00E04E15" w:rsidP="00735457">
      <w:pPr>
        <w:tabs>
          <w:tab w:val="clear" w:pos="567"/>
        </w:tabs>
        <w:rPr>
          <w:szCs w:val="22"/>
          <w:u w:val="single"/>
          <w:lang w:val="cs-CZ"/>
        </w:rPr>
      </w:pPr>
      <w:proofErr w:type="spellStart"/>
      <w:r w:rsidRPr="0028273C">
        <w:rPr>
          <w:szCs w:val="22"/>
          <w:u w:val="single"/>
          <w:lang w:val="cs-CZ"/>
        </w:rPr>
        <w:t>Jivi</w:t>
      </w:r>
      <w:proofErr w:type="spellEnd"/>
      <w:r w:rsidRPr="0028273C">
        <w:rPr>
          <w:szCs w:val="22"/>
          <w:u w:val="single"/>
          <w:lang w:val="cs-CZ"/>
        </w:rPr>
        <w:t xml:space="preserve"> 2000 IU prášek a</w:t>
      </w:r>
      <w:r w:rsidR="008B7C0A" w:rsidRPr="0028273C">
        <w:rPr>
          <w:szCs w:val="22"/>
          <w:u w:val="single"/>
          <w:lang w:val="cs-CZ"/>
        </w:rPr>
        <w:t> </w:t>
      </w:r>
      <w:r w:rsidRPr="0028273C">
        <w:rPr>
          <w:szCs w:val="22"/>
          <w:u w:val="single"/>
          <w:lang w:val="cs-CZ"/>
        </w:rPr>
        <w:t>rozpouštědlo pro injekční roztok</w:t>
      </w:r>
    </w:p>
    <w:p w14:paraId="58299F34" w14:textId="77777777" w:rsidR="005E1617" w:rsidRPr="0028273C" w:rsidRDefault="005E1617" w:rsidP="00735457">
      <w:pPr>
        <w:tabs>
          <w:tab w:val="clear" w:pos="567"/>
        </w:tabs>
        <w:rPr>
          <w:szCs w:val="22"/>
          <w:u w:val="single"/>
          <w:lang w:val="cs-CZ"/>
        </w:rPr>
      </w:pPr>
    </w:p>
    <w:p w14:paraId="2AA8B979" w14:textId="09660B8A" w:rsidR="00E04E15" w:rsidRPr="0028273C" w:rsidRDefault="008476B6" w:rsidP="00735457">
      <w:pPr>
        <w:tabs>
          <w:tab w:val="clear" w:pos="567"/>
        </w:tabs>
        <w:rPr>
          <w:szCs w:val="22"/>
          <w:lang w:val="cs-CZ"/>
        </w:rPr>
      </w:pPr>
      <w:r>
        <w:rPr>
          <w:szCs w:val="22"/>
          <w:lang w:val="cs-CZ"/>
        </w:rPr>
        <w:t>Jeden ml přípravku obsahuje p</w:t>
      </w:r>
      <w:r w:rsidR="00E04E15" w:rsidRPr="0028273C">
        <w:rPr>
          <w:szCs w:val="22"/>
          <w:lang w:val="cs-CZ"/>
        </w:rPr>
        <w:t xml:space="preserve">o rekonstituci </w:t>
      </w:r>
      <w:r w:rsidR="00C512D4" w:rsidRPr="0028273C">
        <w:rPr>
          <w:szCs w:val="22"/>
          <w:lang w:val="cs-CZ"/>
        </w:rPr>
        <w:t>v </w:t>
      </w:r>
      <w:r w:rsidR="00E04E15" w:rsidRPr="0028273C">
        <w:rPr>
          <w:szCs w:val="22"/>
          <w:lang w:val="cs-CZ"/>
        </w:rPr>
        <w:t>poskytnut</w:t>
      </w:r>
      <w:r w:rsidR="00C512D4" w:rsidRPr="0028273C">
        <w:rPr>
          <w:szCs w:val="22"/>
          <w:lang w:val="cs-CZ"/>
        </w:rPr>
        <w:t>é</w:t>
      </w:r>
      <w:r w:rsidR="00E04E15" w:rsidRPr="0028273C">
        <w:rPr>
          <w:szCs w:val="22"/>
          <w:lang w:val="cs-CZ"/>
        </w:rPr>
        <w:t>m rozpouštědle přibližně 800 IU (2</w:t>
      </w:r>
      <w:r w:rsidR="008135CE" w:rsidRPr="0028273C">
        <w:rPr>
          <w:szCs w:val="22"/>
          <w:lang w:val="cs-CZ"/>
        </w:rPr>
        <w:t> </w:t>
      </w:r>
      <w:r w:rsidR="00E04E15" w:rsidRPr="0028273C">
        <w:rPr>
          <w:szCs w:val="22"/>
          <w:lang w:val="cs-CZ"/>
        </w:rPr>
        <w:t xml:space="preserve">000 IU/2,5 ml) </w:t>
      </w:r>
      <w:proofErr w:type="spellStart"/>
      <w:r w:rsidR="0015460F">
        <w:rPr>
          <w:szCs w:val="22"/>
          <w:lang w:val="cs-CZ"/>
        </w:rPr>
        <w:t>damoktokogu</w:t>
      </w:r>
      <w:proofErr w:type="spellEnd"/>
      <w:r w:rsidR="0015460F">
        <w:rPr>
          <w:szCs w:val="22"/>
          <w:lang w:val="cs-CZ"/>
        </w:rPr>
        <w:t xml:space="preserve"> alfa </w:t>
      </w:r>
      <w:proofErr w:type="spellStart"/>
      <w:r w:rsidR="0015460F">
        <w:rPr>
          <w:szCs w:val="22"/>
          <w:lang w:val="cs-CZ"/>
        </w:rPr>
        <w:t>pegolu</w:t>
      </w:r>
      <w:proofErr w:type="spellEnd"/>
      <w:r w:rsidR="0015460F" w:rsidRPr="0028273C">
        <w:rPr>
          <w:szCs w:val="22"/>
          <w:lang w:val="cs-CZ"/>
        </w:rPr>
        <w:t xml:space="preserve"> </w:t>
      </w:r>
      <w:r w:rsidR="001E44BC">
        <w:rPr>
          <w:szCs w:val="22"/>
          <w:lang w:val="cs-CZ"/>
        </w:rPr>
        <w:t>(</w:t>
      </w:r>
      <w:r w:rsidR="00E04E15" w:rsidRPr="0028273C">
        <w:rPr>
          <w:szCs w:val="22"/>
          <w:lang w:val="cs-CZ"/>
        </w:rPr>
        <w:t>lidského koagulačního faktoru</w:t>
      </w:r>
      <w:r w:rsidR="008B7C0A" w:rsidRPr="0028273C">
        <w:rPr>
          <w:szCs w:val="22"/>
          <w:lang w:val="cs-CZ"/>
        </w:rPr>
        <w:t> </w:t>
      </w:r>
      <w:r w:rsidR="00E04E15" w:rsidRPr="0028273C">
        <w:rPr>
          <w:szCs w:val="22"/>
          <w:lang w:val="cs-CZ"/>
        </w:rPr>
        <w:t>VIII</w:t>
      </w:r>
      <w:r w:rsidR="001E44BC">
        <w:rPr>
          <w:szCs w:val="22"/>
          <w:lang w:val="cs-CZ"/>
        </w:rPr>
        <w:t>)</w:t>
      </w:r>
      <w:r w:rsidR="00E04E15" w:rsidRPr="0028273C">
        <w:rPr>
          <w:szCs w:val="22"/>
          <w:lang w:val="cs-CZ"/>
        </w:rPr>
        <w:t>.</w:t>
      </w:r>
    </w:p>
    <w:p w14:paraId="25E011DA" w14:textId="77777777" w:rsidR="00E04E15" w:rsidRPr="0028273C" w:rsidRDefault="00E04E15" w:rsidP="00735457">
      <w:pPr>
        <w:tabs>
          <w:tab w:val="clear" w:pos="567"/>
        </w:tabs>
        <w:rPr>
          <w:szCs w:val="22"/>
          <w:lang w:val="cs-CZ"/>
        </w:rPr>
      </w:pPr>
    </w:p>
    <w:p w14:paraId="2019A932" w14:textId="77777777" w:rsidR="00E04E15" w:rsidRDefault="00E04E15" w:rsidP="00735457">
      <w:pPr>
        <w:tabs>
          <w:tab w:val="clear" w:pos="567"/>
        </w:tabs>
        <w:rPr>
          <w:szCs w:val="22"/>
          <w:u w:val="single"/>
          <w:lang w:val="cs-CZ"/>
        </w:rPr>
      </w:pPr>
      <w:proofErr w:type="spellStart"/>
      <w:r w:rsidRPr="0028273C">
        <w:rPr>
          <w:szCs w:val="22"/>
          <w:u w:val="single"/>
          <w:lang w:val="cs-CZ"/>
        </w:rPr>
        <w:t>Jivi</w:t>
      </w:r>
      <w:proofErr w:type="spellEnd"/>
      <w:r w:rsidRPr="0028273C">
        <w:rPr>
          <w:szCs w:val="22"/>
          <w:u w:val="single"/>
          <w:lang w:val="cs-CZ"/>
        </w:rPr>
        <w:t xml:space="preserve"> 3000 IU prášek a</w:t>
      </w:r>
      <w:r w:rsidR="008B7C0A" w:rsidRPr="0028273C">
        <w:rPr>
          <w:szCs w:val="22"/>
          <w:u w:val="single"/>
          <w:lang w:val="cs-CZ"/>
        </w:rPr>
        <w:t> </w:t>
      </w:r>
      <w:r w:rsidRPr="0028273C">
        <w:rPr>
          <w:szCs w:val="22"/>
          <w:u w:val="single"/>
          <w:lang w:val="cs-CZ"/>
        </w:rPr>
        <w:t>rozpouštědlo pro injekční roztok</w:t>
      </w:r>
    </w:p>
    <w:p w14:paraId="17E00DC9" w14:textId="77777777" w:rsidR="005E1617" w:rsidRPr="0028273C" w:rsidRDefault="005E1617" w:rsidP="00735457">
      <w:pPr>
        <w:tabs>
          <w:tab w:val="clear" w:pos="567"/>
        </w:tabs>
        <w:rPr>
          <w:szCs w:val="22"/>
          <w:u w:val="single"/>
          <w:lang w:val="cs-CZ"/>
        </w:rPr>
      </w:pPr>
    </w:p>
    <w:p w14:paraId="137CA434" w14:textId="54B78B90" w:rsidR="00E04E15" w:rsidRPr="0028273C" w:rsidRDefault="008476B6" w:rsidP="00735457">
      <w:pPr>
        <w:tabs>
          <w:tab w:val="clear" w:pos="567"/>
        </w:tabs>
        <w:rPr>
          <w:szCs w:val="22"/>
          <w:lang w:val="cs-CZ"/>
        </w:rPr>
      </w:pPr>
      <w:r>
        <w:rPr>
          <w:szCs w:val="22"/>
          <w:lang w:val="cs-CZ"/>
        </w:rPr>
        <w:t>Jeden ml přípravku obsahuje p</w:t>
      </w:r>
      <w:r w:rsidR="00E04E15" w:rsidRPr="0028273C">
        <w:rPr>
          <w:szCs w:val="22"/>
          <w:lang w:val="cs-CZ"/>
        </w:rPr>
        <w:t xml:space="preserve">o rekonstituci </w:t>
      </w:r>
      <w:r w:rsidR="00C512D4" w:rsidRPr="0028273C">
        <w:rPr>
          <w:szCs w:val="22"/>
          <w:lang w:val="cs-CZ"/>
        </w:rPr>
        <w:t>v </w:t>
      </w:r>
      <w:r w:rsidR="00E04E15" w:rsidRPr="0028273C">
        <w:rPr>
          <w:szCs w:val="22"/>
          <w:lang w:val="cs-CZ"/>
        </w:rPr>
        <w:t>poskytnut</w:t>
      </w:r>
      <w:r w:rsidR="00C512D4" w:rsidRPr="0028273C">
        <w:rPr>
          <w:szCs w:val="22"/>
          <w:lang w:val="cs-CZ"/>
        </w:rPr>
        <w:t>é</w:t>
      </w:r>
      <w:r w:rsidR="00E04E15" w:rsidRPr="0028273C">
        <w:rPr>
          <w:szCs w:val="22"/>
          <w:lang w:val="cs-CZ"/>
        </w:rPr>
        <w:t xml:space="preserve">m </w:t>
      </w:r>
      <w:proofErr w:type="gramStart"/>
      <w:r w:rsidR="00E04E15" w:rsidRPr="0028273C">
        <w:rPr>
          <w:szCs w:val="22"/>
          <w:lang w:val="cs-CZ"/>
        </w:rPr>
        <w:t xml:space="preserve">rozpouštědle </w:t>
      </w:r>
      <w:r>
        <w:rPr>
          <w:szCs w:val="22"/>
          <w:lang w:val="cs-CZ"/>
        </w:rPr>
        <w:t xml:space="preserve"> </w:t>
      </w:r>
      <w:r w:rsidR="00E04E15" w:rsidRPr="0028273C">
        <w:rPr>
          <w:szCs w:val="22"/>
          <w:lang w:val="cs-CZ"/>
        </w:rPr>
        <w:t>přibližně</w:t>
      </w:r>
      <w:proofErr w:type="gramEnd"/>
      <w:r w:rsidR="00E04E15" w:rsidRPr="0028273C">
        <w:rPr>
          <w:szCs w:val="22"/>
          <w:lang w:val="cs-CZ"/>
        </w:rPr>
        <w:t xml:space="preserve"> 1</w:t>
      </w:r>
      <w:r w:rsidR="008135CE" w:rsidRPr="0028273C">
        <w:rPr>
          <w:szCs w:val="22"/>
          <w:lang w:val="cs-CZ"/>
        </w:rPr>
        <w:t> </w:t>
      </w:r>
      <w:r w:rsidR="00E04E15" w:rsidRPr="0028273C">
        <w:rPr>
          <w:szCs w:val="22"/>
          <w:lang w:val="cs-CZ"/>
        </w:rPr>
        <w:t>200 IU (3</w:t>
      </w:r>
      <w:r w:rsidR="008135CE" w:rsidRPr="0028273C">
        <w:rPr>
          <w:szCs w:val="22"/>
          <w:lang w:val="cs-CZ"/>
        </w:rPr>
        <w:t> </w:t>
      </w:r>
      <w:r w:rsidR="00E04E15" w:rsidRPr="0028273C">
        <w:rPr>
          <w:szCs w:val="22"/>
          <w:lang w:val="cs-CZ"/>
        </w:rPr>
        <w:t xml:space="preserve">000 IU/2,5 ml) </w:t>
      </w:r>
      <w:proofErr w:type="spellStart"/>
      <w:r w:rsidR="0015460F">
        <w:rPr>
          <w:szCs w:val="22"/>
          <w:lang w:val="cs-CZ"/>
        </w:rPr>
        <w:t>damoktokogu</w:t>
      </w:r>
      <w:proofErr w:type="spellEnd"/>
      <w:r w:rsidR="0015460F">
        <w:rPr>
          <w:szCs w:val="22"/>
          <w:lang w:val="cs-CZ"/>
        </w:rPr>
        <w:t xml:space="preserve"> alfa </w:t>
      </w:r>
      <w:proofErr w:type="spellStart"/>
      <w:r w:rsidR="0015460F">
        <w:rPr>
          <w:szCs w:val="22"/>
          <w:lang w:val="cs-CZ"/>
        </w:rPr>
        <w:t>pegolu</w:t>
      </w:r>
      <w:proofErr w:type="spellEnd"/>
      <w:r w:rsidR="0015460F" w:rsidRPr="0028273C">
        <w:rPr>
          <w:szCs w:val="22"/>
          <w:lang w:val="cs-CZ"/>
        </w:rPr>
        <w:t xml:space="preserve"> </w:t>
      </w:r>
      <w:r w:rsidR="00CA61CD">
        <w:rPr>
          <w:szCs w:val="22"/>
          <w:lang w:val="cs-CZ"/>
        </w:rPr>
        <w:t>(</w:t>
      </w:r>
      <w:r w:rsidR="00E04E15" w:rsidRPr="0028273C">
        <w:rPr>
          <w:szCs w:val="22"/>
          <w:lang w:val="cs-CZ"/>
        </w:rPr>
        <w:t>lidského koagulačního faktoru</w:t>
      </w:r>
      <w:r w:rsidR="008B7C0A" w:rsidRPr="0028273C">
        <w:rPr>
          <w:szCs w:val="22"/>
          <w:lang w:val="cs-CZ"/>
        </w:rPr>
        <w:t> </w:t>
      </w:r>
      <w:r w:rsidR="00E04E15" w:rsidRPr="0028273C">
        <w:rPr>
          <w:szCs w:val="22"/>
          <w:lang w:val="cs-CZ"/>
        </w:rPr>
        <w:t>VIII</w:t>
      </w:r>
      <w:r w:rsidR="00CA61CD">
        <w:rPr>
          <w:szCs w:val="22"/>
          <w:lang w:val="cs-CZ"/>
        </w:rPr>
        <w:t>)</w:t>
      </w:r>
      <w:r w:rsidR="00E04E15" w:rsidRPr="0028273C">
        <w:rPr>
          <w:szCs w:val="22"/>
          <w:lang w:val="cs-CZ"/>
        </w:rPr>
        <w:t>.</w:t>
      </w:r>
    </w:p>
    <w:p w14:paraId="2FB42BD8" w14:textId="77777777" w:rsidR="00E713CB" w:rsidRDefault="00E713CB" w:rsidP="00735457">
      <w:pPr>
        <w:tabs>
          <w:tab w:val="clear" w:pos="567"/>
        </w:tabs>
        <w:rPr>
          <w:szCs w:val="22"/>
          <w:lang w:val="cs-CZ"/>
        </w:rPr>
      </w:pPr>
    </w:p>
    <w:p w14:paraId="7980B62F" w14:textId="77777777" w:rsidR="00B049A9" w:rsidRDefault="00B049A9" w:rsidP="00B049A9">
      <w:pPr>
        <w:tabs>
          <w:tab w:val="clear" w:pos="567"/>
        </w:tabs>
        <w:rPr>
          <w:szCs w:val="22"/>
          <w:u w:val="single"/>
          <w:lang w:val="cs-CZ"/>
        </w:rPr>
      </w:pPr>
      <w:proofErr w:type="spellStart"/>
      <w:r w:rsidRPr="0028273C">
        <w:rPr>
          <w:szCs w:val="22"/>
          <w:u w:val="single"/>
          <w:lang w:val="cs-CZ"/>
        </w:rPr>
        <w:t>Jivi</w:t>
      </w:r>
      <w:proofErr w:type="spellEnd"/>
      <w:r w:rsidRPr="0028273C">
        <w:rPr>
          <w:szCs w:val="22"/>
          <w:u w:val="single"/>
          <w:lang w:val="cs-CZ"/>
        </w:rPr>
        <w:t xml:space="preserve"> </w:t>
      </w:r>
      <w:r>
        <w:rPr>
          <w:szCs w:val="22"/>
          <w:u w:val="single"/>
          <w:lang w:val="cs-CZ"/>
        </w:rPr>
        <w:t>4</w:t>
      </w:r>
      <w:r w:rsidRPr="0028273C">
        <w:rPr>
          <w:szCs w:val="22"/>
          <w:u w:val="single"/>
          <w:lang w:val="cs-CZ"/>
        </w:rPr>
        <w:t>000 IU prášek a rozpouštědlo pro injekční roztok</w:t>
      </w:r>
    </w:p>
    <w:p w14:paraId="59DA22D5" w14:textId="77777777" w:rsidR="00B049A9" w:rsidRPr="0028273C" w:rsidRDefault="00B049A9" w:rsidP="00B049A9">
      <w:pPr>
        <w:tabs>
          <w:tab w:val="clear" w:pos="567"/>
        </w:tabs>
        <w:rPr>
          <w:szCs w:val="22"/>
          <w:u w:val="single"/>
          <w:lang w:val="cs-CZ"/>
        </w:rPr>
      </w:pPr>
    </w:p>
    <w:p w14:paraId="207725AA" w14:textId="77777777" w:rsidR="00B049A9" w:rsidRPr="0028273C" w:rsidRDefault="00B049A9" w:rsidP="00B049A9">
      <w:pPr>
        <w:tabs>
          <w:tab w:val="clear" w:pos="567"/>
        </w:tabs>
        <w:rPr>
          <w:szCs w:val="22"/>
          <w:lang w:val="cs-CZ"/>
        </w:rPr>
      </w:pPr>
      <w:r>
        <w:rPr>
          <w:szCs w:val="22"/>
          <w:lang w:val="cs-CZ"/>
        </w:rPr>
        <w:t>Jeden ml přípravku obsahuje p</w:t>
      </w:r>
      <w:r w:rsidRPr="0028273C">
        <w:rPr>
          <w:szCs w:val="22"/>
          <w:lang w:val="cs-CZ"/>
        </w:rPr>
        <w:t xml:space="preserve">o rekonstituci v poskytnutém </w:t>
      </w:r>
      <w:proofErr w:type="gramStart"/>
      <w:r w:rsidRPr="0028273C">
        <w:rPr>
          <w:szCs w:val="22"/>
          <w:lang w:val="cs-CZ"/>
        </w:rPr>
        <w:t xml:space="preserve">rozpouštědle </w:t>
      </w:r>
      <w:r>
        <w:rPr>
          <w:szCs w:val="22"/>
          <w:lang w:val="cs-CZ"/>
        </w:rPr>
        <w:t xml:space="preserve"> </w:t>
      </w:r>
      <w:r w:rsidRPr="0028273C">
        <w:rPr>
          <w:szCs w:val="22"/>
          <w:lang w:val="cs-CZ"/>
        </w:rPr>
        <w:t>přibližně</w:t>
      </w:r>
      <w:proofErr w:type="gramEnd"/>
      <w:r w:rsidRPr="0028273C">
        <w:rPr>
          <w:szCs w:val="22"/>
          <w:lang w:val="cs-CZ"/>
        </w:rPr>
        <w:t xml:space="preserve"> </w:t>
      </w:r>
      <w:r>
        <w:rPr>
          <w:szCs w:val="22"/>
          <w:lang w:val="cs-CZ"/>
        </w:rPr>
        <w:t>8</w:t>
      </w:r>
      <w:r w:rsidRPr="0028273C">
        <w:rPr>
          <w:szCs w:val="22"/>
          <w:lang w:val="cs-CZ"/>
        </w:rPr>
        <w:t>00 IU (</w:t>
      </w:r>
      <w:r>
        <w:rPr>
          <w:szCs w:val="22"/>
          <w:lang w:val="cs-CZ"/>
        </w:rPr>
        <w:t>4</w:t>
      </w:r>
      <w:r w:rsidRPr="0028273C">
        <w:rPr>
          <w:szCs w:val="22"/>
          <w:lang w:val="cs-CZ"/>
        </w:rPr>
        <w:t> 000 IU/5 ml)</w:t>
      </w:r>
      <w:r>
        <w:rPr>
          <w:szCs w:val="22"/>
          <w:lang w:val="cs-CZ"/>
        </w:rPr>
        <w:t xml:space="preserve"> </w:t>
      </w:r>
      <w:proofErr w:type="spellStart"/>
      <w:r>
        <w:rPr>
          <w:szCs w:val="22"/>
          <w:lang w:val="cs-CZ"/>
        </w:rPr>
        <w:t>damoktokogu</w:t>
      </w:r>
      <w:proofErr w:type="spellEnd"/>
      <w:r>
        <w:rPr>
          <w:szCs w:val="22"/>
          <w:lang w:val="cs-CZ"/>
        </w:rPr>
        <w:t xml:space="preserve"> alfa </w:t>
      </w:r>
      <w:proofErr w:type="spellStart"/>
      <w:r>
        <w:rPr>
          <w:szCs w:val="22"/>
          <w:lang w:val="cs-CZ"/>
        </w:rPr>
        <w:t>pegolu</w:t>
      </w:r>
      <w:proofErr w:type="spellEnd"/>
      <w:r w:rsidRPr="0028273C">
        <w:rPr>
          <w:szCs w:val="22"/>
          <w:lang w:val="cs-CZ"/>
        </w:rPr>
        <w:t xml:space="preserve"> </w:t>
      </w:r>
      <w:r>
        <w:rPr>
          <w:szCs w:val="22"/>
          <w:lang w:val="cs-CZ"/>
        </w:rPr>
        <w:t>(</w:t>
      </w:r>
      <w:r w:rsidRPr="0028273C">
        <w:rPr>
          <w:szCs w:val="22"/>
          <w:lang w:val="cs-CZ"/>
        </w:rPr>
        <w:t>lidského koagulačního faktoru VIII</w:t>
      </w:r>
      <w:r>
        <w:rPr>
          <w:szCs w:val="22"/>
          <w:lang w:val="cs-CZ"/>
        </w:rPr>
        <w:t>)</w:t>
      </w:r>
      <w:r w:rsidRPr="0028273C">
        <w:rPr>
          <w:szCs w:val="22"/>
          <w:lang w:val="cs-CZ"/>
        </w:rPr>
        <w:t>.</w:t>
      </w:r>
    </w:p>
    <w:p w14:paraId="77CB9CF6" w14:textId="77777777" w:rsidR="00B049A9" w:rsidRPr="0028273C" w:rsidRDefault="00B049A9" w:rsidP="00735457">
      <w:pPr>
        <w:tabs>
          <w:tab w:val="clear" w:pos="567"/>
        </w:tabs>
        <w:rPr>
          <w:szCs w:val="22"/>
          <w:lang w:val="cs-CZ"/>
        </w:rPr>
      </w:pPr>
    </w:p>
    <w:p w14:paraId="2E02C5DA" w14:textId="77777777" w:rsidR="00E76D9E" w:rsidRPr="0028273C" w:rsidRDefault="00E14929" w:rsidP="00735457">
      <w:pPr>
        <w:tabs>
          <w:tab w:val="clear" w:pos="567"/>
        </w:tabs>
        <w:rPr>
          <w:szCs w:val="22"/>
          <w:lang w:val="cs-CZ"/>
        </w:rPr>
      </w:pPr>
      <w:r w:rsidRPr="0028273C">
        <w:rPr>
          <w:szCs w:val="22"/>
          <w:lang w:val="cs-CZ"/>
        </w:rPr>
        <w:t>Síla (IU) je určena chromogenní zkou</w:t>
      </w:r>
      <w:r w:rsidR="00A414C4" w:rsidRPr="0028273C">
        <w:rPr>
          <w:szCs w:val="22"/>
          <w:lang w:val="cs-CZ"/>
        </w:rPr>
        <w:t>škou podle Evropského lékopisu.</w:t>
      </w:r>
    </w:p>
    <w:p w14:paraId="3B6D0181" w14:textId="0F0E34FD" w:rsidR="005C1031" w:rsidRPr="0028273C" w:rsidRDefault="00E14929" w:rsidP="00735457">
      <w:pPr>
        <w:tabs>
          <w:tab w:val="clear" w:pos="567"/>
        </w:tabs>
        <w:rPr>
          <w:szCs w:val="22"/>
          <w:lang w:val="cs-CZ"/>
        </w:rPr>
      </w:pPr>
      <w:r w:rsidRPr="0028273C">
        <w:rPr>
          <w:szCs w:val="22"/>
          <w:lang w:val="cs-CZ"/>
        </w:rPr>
        <w:t xml:space="preserve">Specifická účinnost přípravku </w:t>
      </w:r>
      <w:proofErr w:type="spellStart"/>
      <w:r w:rsidRPr="0028273C">
        <w:rPr>
          <w:szCs w:val="22"/>
          <w:lang w:val="cs-CZ"/>
        </w:rPr>
        <w:t>Jivi</w:t>
      </w:r>
      <w:proofErr w:type="spellEnd"/>
      <w:r w:rsidRPr="0028273C">
        <w:rPr>
          <w:szCs w:val="22"/>
          <w:lang w:val="cs-CZ"/>
        </w:rPr>
        <w:t xml:space="preserve"> je přibližně </w:t>
      </w:r>
      <w:r w:rsidR="00704FDF" w:rsidRPr="0028273C">
        <w:rPr>
          <w:szCs w:val="22"/>
          <w:lang w:val="cs-CZ"/>
        </w:rPr>
        <w:t>10</w:t>
      </w:r>
      <w:r w:rsidR="001F26E3" w:rsidRPr="0028273C">
        <w:rPr>
          <w:szCs w:val="22"/>
          <w:lang w:val="cs-CZ"/>
        </w:rPr>
        <w:t> </w:t>
      </w:r>
      <w:r w:rsidR="00704FDF" w:rsidRPr="0028273C">
        <w:rPr>
          <w:szCs w:val="22"/>
          <w:lang w:val="cs-CZ"/>
        </w:rPr>
        <w:t>0</w:t>
      </w:r>
      <w:r w:rsidR="00336355" w:rsidRPr="0028273C">
        <w:rPr>
          <w:szCs w:val="22"/>
          <w:lang w:val="cs-CZ"/>
        </w:rPr>
        <w:t>00 </w:t>
      </w:r>
      <w:r w:rsidR="00BF54B9" w:rsidRPr="0028273C">
        <w:rPr>
          <w:szCs w:val="22"/>
          <w:lang w:val="cs-CZ"/>
        </w:rPr>
        <w:t>IU</w:t>
      </w:r>
      <w:r w:rsidR="005C1031" w:rsidRPr="0028273C">
        <w:rPr>
          <w:szCs w:val="22"/>
          <w:lang w:val="cs-CZ"/>
        </w:rPr>
        <w:t xml:space="preserve">/mg </w:t>
      </w:r>
      <w:r w:rsidRPr="0028273C">
        <w:rPr>
          <w:szCs w:val="22"/>
          <w:lang w:val="cs-CZ"/>
        </w:rPr>
        <w:t>bílkoviny</w:t>
      </w:r>
      <w:r w:rsidR="005C1031" w:rsidRPr="0028273C">
        <w:rPr>
          <w:szCs w:val="22"/>
          <w:lang w:val="cs-CZ"/>
        </w:rPr>
        <w:t>.</w:t>
      </w:r>
    </w:p>
    <w:p w14:paraId="5FDF8C60" w14:textId="77777777" w:rsidR="005C476E" w:rsidRPr="0028273C" w:rsidRDefault="005C476E" w:rsidP="00735457">
      <w:pPr>
        <w:tabs>
          <w:tab w:val="clear" w:pos="567"/>
        </w:tabs>
        <w:rPr>
          <w:szCs w:val="22"/>
          <w:lang w:val="cs-CZ"/>
        </w:rPr>
      </w:pPr>
    </w:p>
    <w:p w14:paraId="1E1928E7" w14:textId="6762E51A" w:rsidR="009A09CE" w:rsidRPr="0028273C" w:rsidRDefault="004429C4" w:rsidP="00735457">
      <w:pPr>
        <w:rPr>
          <w:szCs w:val="22"/>
          <w:lang w:val="cs-CZ"/>
        </w:rPr>
      </w:pPr>
      <w:r w:rsidRPr="0028273C">
        <w:rPr>
          <w:szCs w:val="22"/>
          <w:lang w:val="cs-CZ" w:eastAsia="de-DE"/>
        </w:rPr>
        <w:t xml:space="preserve">Léčivá látka </w:t>
      </w:r>
      <w:proofErr w:type="spellStart"/>
      <w:r w:rsidR="009A09CE" w:rsidRPr="0028273C">
        <w:rPr>
          <w:szCs w:val="22"/>
          <w:lang w:val="cs-CZ"/>
        </w:rPr>
        <w:t>damo</w:t>
      </w:r>
      <w:r w:rsidR="00945993">
        <w:rPr>
          <w:szCs w:val="22"/>
          <w:lang w:val="cs-CZ"/>
        </w:rPr>
        <w:t>kto</w:t>
      </w:r>
      <w:r w:rsidR="002F0D57">
        <w:rPr>
          <w:szCs w:val="22"/>
          <w:lang w:val="cs-CZ"/>
        </w:rPr>
        <w:t>kog</w:t>
      </w:r>
      <w:proofErr w:type="spellEnd"/>
      <w:r w:rsidR="009A09CE" w:rsidRPr="0028273C">
        <w:rPr>
          <w:szCs w:val="22"/>
          <w:lang w:val="cs-CZ"/>
        </w:rPr>
        <w:t xml:space="preserve"> alfa </w:t>
      </w:r>
      <w:proofErr w:type="spellStart"/>
      <w:r w:rsidR="009A09CE" w:rsidRPr="0028273C">
        <w:rPr>
          <w:szCs w:val="22"/>
          <w:lang w:val="cs-CZ"/>
        </w:rPr>
        <w:t>pegol</w:t>
      </w:r>
      <w:proofErr w:type="spellEnd"/>
      <w:r w:rsidR="009A09CE" w:rsidRPr="0028273C">
        <w:rPr>
          <w:szCs w:val="22"/>
          <w:lang w:val="cs-CZ"/>
        </w:rPr>
        <w:t xml:space="preserve"> </w:t>
      </w:r>
      <w:r w:rsidRPr="0028273C">
        <w:rPr>
          <w:szCs w:val="22"/>
          <w:lang w:val="cs-CZ"/>
        </w:rPr>
        <w:t>je</w:t>
      </w:r>
      <w:r w:rsidR="00EF2E31" w:rsidRPr="0028273C">
        <w:rPr>
          <w:szCs w:val="22"/>
          <w:lang w:val="cs-CZ"/>
        </w:rPr>
        <w:t xml:space="preserve"> </w:t>
      </w:r>
      <w:proofErr w:type="spellStart"/>
      <w:r w:rsidR="002F695A">
        <w:rPr>
          <w:szCs w:val="22"/>
          <w:lang w:val="cs-CZ"/>
        </w:rPr>
        <w:t>peg</w:t>
      </w:r>
      <w:r w:rsidR="00EF2E31" w:rsidRPr="0028273C">
        <w:rPr>
          <w:szCs w:val="22"/>
          <w:lang w:val="cs-CZ"/>
        </w:rPr>
        <w:t>ylovan</w:t>
      </w:r>
      <w:r w:rsidR="00982DC3">
        <w:rPr>
          <w:szCs w:val="22"/>
          <w:lang w:val="cs-CZ"/>
        </w:rPr>
        <w:t>ý</w:t>
      </w:r>
      <w:proofErr w:type="spellEnd"/>
      <w:r w:rsidR="00EF2E31" w:rsidRPr="0028273C">
        <w:rPr>
          <w:szCs w:val="22"/>
          <w:lang w:val="cs-CZ"/>
        </w:rPr>
        <w:t xml:space="preserve"> rekombinantní humánní koagulační faktor VIII</w:t>
      </w:r>
      <w:r w:rsidR="00982DC3">
        <w:rPr>
          <w:szCs w:val="22"/>
          <w:lang w:val="cs-CZ"/>
        </w:rPr>
        <w:t xml:space="preserve"> </w:t>
      </w:r>
      <w:r w:rsidR="00B733CB">
        <w:rPr>
          <w:szCs w:val="22"/>
          <w:lang w:val="cs-CZ"/>
        </w:rPr>
        <w:t>bez B-domény</w:t>
      </w:r>
      <w:r w:rsidR="00982DC3">
        <w:rPr>
          <w:szCs w:val="22"/>
          <w:lang w:val="cs-CZ"/>
        </w:rPr>
        <w:t>.</w:t>
      </w:r>
      <w:r w:rsidR="00984AB2">
        <w:rPr>
          <w:szCs w:val="22"/>
          <w:lang w:val="cs-CZ"/>
        </w:rPr>
        <w:t xml:space="preserve"> </w:t>
      </w:r>
      <w:r w:rsidR="00982DC3">
        <w:rPr>
          <w:szCs w:val="22"/>
          <w:lang w:val="cs-CZ"/>
        </w:rPr>
        <w:t>J</w:t>
      </w:r>
      <w:r w:rsidR="00EF2E31" w:rsidRPr="0028273C">
        <w:rPr>
          <w:szCs w:val="22"/>
          <w:lang w:val="cs-CZ"/>
        </w:rPr>
        <w:t xml:space="preserve">e vyráběn </w:t>
      </w:r>
      <w:r w:rsidR="00982DC3">
        <w:rPr>
          <w:szCs w:val="22"/>
          <w:lang w:val="cs-CZ"/>
        </w:rPr>
        <w:t>v ledvin</w:t>
      </w:r>
      <w:r w:rsidR="000517D3">
        <w:rPr>
          <w:szCs w:val="22"/>
          <w:lang w:val="cs-CZ"/>
        </w:rPr>
        <w:t>n</w:t>
      </w:r>
      <w:r w:rsidR="00982DC3">
        <w:rPr>
          <w:szCs w:val="22"/>
          <w:lang w:val="cs-CZ"/>
        </w:rPr>
        <w:t>ých</w:t>
      </w:r>
      <w:r w:rsidR="00EF2E31" w:rsidRPr="0028273C">
        <w:rPr>
          <w:szCs w:val="22"/>
          <w:lang w:val="cs-CZ"/>
        </w:rPr>
        <w:t xml:space="preserve"> buňkách mláďat </w:t>
      </w:r>
      <w:r w:rsidR="00A43AA9">
        <w:rPr>
          <w:szCs w:val="22"/>
          <w:lang w:val="cs-CZ"/>
        </w:rPr>
        <w:t>křečíka</w:t>
      </w:r>
      <w:r w:rsidR="00A43AA9" w:rsidRPr="0028273C">
        <w:rPr>
          <w:szCs w:val="22"/>
          <w:lang w:val="cs-CZ"/>
        </w:rPr>
        <w:t xml:space="preserve"> </w:t>
      </w:r>
      <w:r w:rsidR="00EF2E31" w:rsidRPr="0028273C">
        <w:rPr>
          <w:szCs w:val="22"/>
          <w:lang w:val="cs-CZ"/>
        </w:rPr>
        <w:t>(BHK) s</w:t>
      </w:r>
      <w:r w:rsidR="00982DC3">
        <w:rPr>
          <w:szCs w:val="22"/>
          <w:lang w:val="cs-CZ"/>
        </w:rPr>
        <w:t xml:space="preserve"> přidáním </w:t>
      </w:r>
      <w:r w:rsidR="00EF2E31" w:rsidRPr="0028273C">
        <w:rPr>
          <w:szCs w:val="22"/>
          <w:lang w:val="cs-CZ"/>
        </w:rPr>
        <w:t>rozvětven</w:t>
      </w:r>
      <w:r w:rsidR="00982DC3">
        <w:rPr>
          <w:szCs w:val="22"/>
          <w:lang w:val="cs-CZ"/>
        </w:rPr>
        <w:t>é</w:t>
      </w:r>
      <w:r w:rsidR="00EF2E31" w:rsidRPr="0028273C">
        <w:rPr>
          <w:szCs w:val="22"/>
          <w:lang w:val="cs-CZ"/>
        </w:rPr>
        <w:t xml:space="preserve"> </w:t>
      </w:r>
      <w:proofErr w:type="spellStart"/>
      <w:r w:rsidR="00EF2E31" w:rsidRPr="0028273C">
        <w:rPr>
          <w:szCs w:val="22"/>
          <w:lang w:val="cs-CZ"/>
        </w:rPr>
        <w:t>polyethylenglykolov</w:t>
      </w:r>
      <w:r w:rsidR="00982DC3">
        <w:rPr>
          <w:szCs w:val="22"/>
          <w:lang w:val="cs-CZ"/>
        </w:rPr>
        <w:t>é</w:t>
      </w:r>
      <w:proofErr w:type="spellEnd"/>
      <w:r w:rsidR="00EF2E31" w:rsidRPr="0028273C">
        <w:rPr>
          <w:szCs w:val="22"/>
          <w:lang w:val="cs-CZ"/>
        </w:rPr>
        <w:t xml:space="preserve"> část</w:t>
      </w:r>
      <w:r w:rsidR="00530605">
        <w:rPr>
          <w:szCs w:val="22"/>
          <w:lang w:val="cs-CZ"/>
        </w:rPr>
        <w:t>i</w:t>
      </w:r>
      <w:r w:rsidR="00EF2E31" w:rsidRPr="0028273C">
        <w:rPr>
          <w:szCs w:val="22"/>
          <w:lang w:val="cs-CZ"/>
        </w:rPr>
        <w:t xml:space="preserve"> o molekulové hmotnosti 60 </w:t>
      </w:r>
      <w:proofErr w:type="spellStart"/>
      <w:r w:rsidR="00EF2E31" w:rsidRPr="0028273C">
        <w:rPr>
          <w:szCs w:val="22"/>
          <w:lang w:val="cs-CZ"/>
        </w:rPr>
        <w:t>kDA</w:t>
      </w:r>
      <w:proofErr w:type="spellEnd"/>
      <w:r w:rsidR="00EF2E31" w:rsidRPr="0028273C">
        <w:rPr>
          <w:szCs w:val="22"/>
          <w:lang w:val="cs-CZ"/>
        </w:rPr>
        <w:t xml:space="preserve"> (dvě 30kDa PGA části). Molekulová hmot</w:t>
      </w:r>
      <w:r w:rsidR="00160D54" w:rsidRPr="0028273C">
        <w:rPr>
          <w:szCs w:val="22"/>
          <w:lang w:val="cs-CZ"/>
        </w:rPr>
        <w:t xml:space="preserve">nost </w:t>
      </w:r>
      <w:r w:rsidR="00982DC3">
        <w:rPr>
          <w:szCs w:val="22"/>
          <w:lang w:val="cs-CZ"/>
        </w:rPr>
        <w:t>proteinu</w:t>
      </w:r>
      <w:r w:rsidR="00982DC3" w:rsidRPr="0028273C">
        <w:rPr>
          <w:szCs w:val="22"/>
          <w:lang w:val="cs-CZ"/>
        </w:rPr>
        <w:t xml:space="preserve"> </w:t>
      </w:r>
      <w:r w:rsidR="00160D54" w:rsidRPr="0028273C">
        <w:rPr>
          <w:szCs w:val="22"/>
          <w:lang w:val="cs-CZ"/>
        </w:rPr>
        <w:t>je přibližně 234 </w:t>
      </w:r>
      <w:proofErr w:type="spellStart"/>
      <w:r w:rsidR="00EF2E31" w:rsidRPr="0028273C">
        <w:rPr>
          <w:szCs w:val="22"/>
          <w:lang w:val="cs-CZ"/>
        </w:rPr>
        <w:t>kDa</w:t>
      </w:r>
      <w:proofErr w:type="spellEnd"/>
      <w:r w:rsidR="00EF2E31" w:rsidRPr="0028273C">
        <w:rPr>
          <w:szCs w:val="22"/>
          <w:lang w:val="cs-CZ"/>
        </w:rPr>
        <w:t>.</w:t>
      </w:r>
    </w:p>
    <w:p w14:paraId="4642DA38" w14:textId="77777777" w:rsidR="00CF21F2" w:rsidRPr="0028273C" w:rsidRDefault="00CF21F2" w:rsidP="00735457">
      <w:pPr>
        <w:autoSpaceDE w:val="0"/>
        <w:autoSpaceDN w:val="0"/>
        <w:adjustRightInd w:val="0"/>
        <w:rPr>
          <w:szCs w:val="22"/>
          <w:lang w:val="cs-CZ"/>
        </w:rPr>
      </w:pPr>
    </w:p>
    <w:p w14:paraId="0DBA67F2" w14:textId="535A37E6" w:rsidR="00CC4DBA" w:rsidRPr="0028273C" w:rsidRDefault="00E76D9E" w:rsidP="00735457">
      <w:pPr>
        <w:autoSpaceDE w:val="0"/>
        <w:autoSpaceDN w:val="0"/>
        <w:adjustRightInd w:val="0"/>
        <w:rPr>
          <w:szCs w:val="22"/>
          <w:lang w:val="cs-CZ"/>
        </w:rPr>
      </w:pPr>
      <w:r w:rsidRPr="0028273C">
        <w:rPr>
          <w:szCs w:val="22"/>
          <w:lang w:val="cs-CZ"/>
        </w:rPr>
        <w:t xml:space="preserve">Přípravek </w:t>
      </w:r>
      <w:proofErr w:type="spellStart"/>
      <w:r w:rsidR="00DB48C5" w:rsidRPr="0028273C">
        <w:rPr>
          <w:szCs w:val="22"/>
          <w:lang w:val="cs-CZ"/>
        </w:rPr>
        <w:t>Jivi</w:t>
      </w:r>
      <w:proofErr w:type="spellEnd"/>
      <w:r w:rsidR="00DB48C5" w:rsidRPr="0028273C">
        <w:rPr>
          <w:szCs w:val="22"/>
          <w:lang w:val="cs-CZ"/>
        </w:rPr>
        <w:t xml:space="preserve"> </w:t>
      </w:r>
      <w:r w:rsidR="004429C4" w:rsidRPr="0028273C">
        <w:rPr>
          <w:szCs w:val="22"/>
          <w:lang w:val="cs-CZ"/>
        </w:rPr>
        <w:t xml:space="preserve">se vyrábí bez přidání proteinu lidského nebo zvířecího původu do procesu buněčné kultivace, purifikace nebo </w:t>
      </w:r>
      <w:proofErr w:type="spellStart"/>
      <w:r w:rsidR="00842614">
        <w:rPr>
          <w:szCs w:val="22"/>
          <w:lang w:val="cs-CZ"/>
        </w:rPr>
        <w:t>peg</w:t>
      </w:r>
      <w:r w:rsidR="004429C4" w:rsidRPr="0028273C">
        <w:rPr>
          <w:szCs w:val="22"/>
          <w:lang w:val="cs-CZ"/>
        </w:rPr>
        <w:t>ylace</w:t>
      </w:r>
      <w:proofErr w:type="spellEnd"/>
      <w:r w:rsidR="004429C4" w:rsidRPr="0028273C">
        <w:rPr>
          <w:szCs w:val="22"/>
          <w:lang w:val="cs-CZ"/>
        </w:rPr>
        <w:t xml:space="preserve"> či finální formulace</w:t>
      </w:r>
      <w:r w:rsidR="00591B77" w:rsidRPr="0028273C">
        <w:rPr>
          <w:szCs w:val="22"/>
          <w:lang w:val="cs-CZ"/>
        </w:rPr>
        <w:t>.</w:t>
      </w:r>
    </w:p>
    <w:p w14:paraId="43325AF9" w14:textId="77777777" w:rsidR="00B97A4A" w:rsidRDefault="00B97A4A" w:rsidP="00735457">
      <w:pPr>
        <w:autoSpaceDE w:val="0"/>
        <w:autoSpaceDN w:val="0"/>
        <w:adjustRightInd w:val="0"/>
        <w:rPr>
          <w:lang w:val="cs-CZ"/>
        </w:rPr>
      </w:pPr>
    </w:p>
    <w:p w14:paraId="357974F9" w14:textId="45BB094F" w:rsidR="00160930" w:rsidRPr="0005661C" w:rsidRDefault="00160930" w:rsidP="00735457">
      <w:pPr>
        <w:autoSpaceDE w:val="0"/>
        <w:autoSpaceDN w:val="0"/>
        <w:adjustRightInd w:val="0"/>
        <w:rPr>
          <w:u w:val="single"/>
          <w:lang w:val="cs-CZ"/>
        </w:rPr>
      </w:pPr>
      <w:r w:rsidRPr="0005661C">
        <w:rPr>
          <w:u w:val="single"/>
          <w:lang w:val="cs-CZ"/>
        </w:rPr>
        <w:t>Pomocná látka se známým účinkem</w:t>
      </w:r>
    </w:p>
    <w:p w14:paraId="7E14C273" w14:textId="77777777" w:rsidR="00160930" w:rsidRDefault="00160930" w:rsidP="00735457">
      <w:pPr>
        <w:autoSpaceDE w:val="0"/>
        <w:autoSpaceDN w:val="0"/>
        <w:adjustRightInd w:val="0"/>
        <w:rPr>
          <w:lang w:val="cs-CZ"/>
        </w:rPr>
      </w:pPr>
    </w:p>
    <w:p w14:paraId="1425853B" w14:textId="3F847686" w:rsidR="00160930" w:rsidRDefault="00160930" w:rsidP="00735457">
      <w:pPr>
        <w:autoSpaceDE w:val="0"/>
        <w:autoSpaceDN w:val="0"/>
        <w:adjustRightInd w:val="0"/>
        <w:rPr>
          <w:lang w:val="cs-CZ"/>
        </w:rPr>
      </w:pPr>
      <w:r>
        <w:rPr>
          <w:lang w:val="cs-CZ"/>
        </w:rPr>
        <w:lastRenderedPageBreak/>
        <w:t xml:space="preserve">Jeden ml injekčního roztoku obsahuje 0,08 mg </w:t>
      </w:r>
      <w:proofErr w:type="spellStart"/>
      <w:r>
        <w:rPr>
          <w:lang w:val="cs-CZ"/>
        </w:rPr>
        <w:t>polysorbátu</w:t>
      </w:r>
      <w:proofErr w:type="spellEnd"/>
      <w:r>
        <w:rPr>
          <w:lang w:val="cs-CZ"/>
        </w:rPr>
        <w:t> 80 (E 433).</w:t>
      </w:r>
    </w:p>
    <w:p w14:paraId="6699F338" w14:textId="77777777" w:rsidR="00160930" w:rsidRPr="0028273C" w:rsidRDefault="00160930" w:rsidP="00735457">
      <w:pPr>
        <w:autoSpaceDE w:val="0"/>
        <w:autoSpaceDN w:val="0"/>
        <w:adjustRightInd w:val="0"/>
        <w:rPr>
          <w:lang w:val="cs-CZ"/>
        </w:rPr>
      </w:pPr>
    </w:p>
    <w:p w14:paraId="7DD8D4CD" w14:textId="77777777" w:rsidR="004429C4" w:rsidRPr="0028273C" w:rsidRDefault="004429C4" w:rsidP="00735457">
      <w:pPr>
        <w:rPr>
          <w:szCs w:val="22"/>
          <w:lang w:val="cs-CZ"/>
        </w:rPr>
      </w:pPr>
      <w:r w:rsidRPr="0028273C">
        <w:rPr>
          <w:szCs w:val="22"/>
          <w:lang w:val="cs-CZ"/>
        </w:rPr>
        <w:t>Úplný seznam pomocných látek viz bod 6.1.</w:t>
      </w:r>
    </w:p>
    <w:p w14:paraId="0268AE38" w14:textId="77777777" w:rsidR="00DD6503" w:rsidRPr="0028273C" w:rsidRDefault="00DD6503" w:rsidP="00735457">
      <w:pPr>
        <w:tabs>
          <w:tab w:val="clear" w:pos="567"/>
        </w:tabs>
        <w:rPr>
          <w:szCs w:val="22"/>
          <w:lang w:val="cs-CZ"/>
        </w:rPr>
      </w:pPr>
    </w:p>
    <w:p w14:paraId="04F043A2" w14:textId="77777777" w:rsidR="00DD6503" w:rsidRPr="0028273C" w:rsidRDefault="00DD6503" w:rsidP="00735457">
      <w:pPr>
        <w:tabs>
          <w:tab w:val="clear" w:pos="567"/>
        </w:tabs>
        <w:rPr>
          <w:szCs w:val="22"/>
          <w:lang w:val="cs-CZ"/>
        </w:rPr>
      </w:pPr>
    </w:p>
    <w:p w14:paraId="105F548E" w14:textId="77777777" w:rsidR="00DD6503" w:rsidRPr="0028273C" w:rsidRDefault="00DD6503" w:rsidP="00FA1963">
      <w:pPr>
        <w:keepNext/>
        <w:keepLines/>
        <w:tabs>
          <w:tab w:val="clear" w:pos="567"/>
        </w:tabs>
        <w:ind w:left="567" w:hanging="567"/>
        <w:outlineLvl w:val="1"/>
        <w:rPr>
          <w:b/>
          <w:szCs w:val="22"/>
          <w:lang w:val="cs-CZ"/>
        </w:rPr>
      </w:pPr>
      <w:r w:rsidRPr="0028273C">
        <w:rPr>
          <w:b/>
          <w:szCs w:val="22"/>
          <w:lang w:val="cs-CZ"/>
        </w:rPr>
        <w:t>3.</w:t>
      </w:r>
      <w:r w:rsidRPr="0028273C">
        <w:rPr>
          <w:b/>
          <w:szCs w:val="22"/>
          <w:lang w:val="cs-CZ"/>
        </w:rPr>
        <w:tab/>
      </w:r>
      <w:r w:rsidR="004429C4" w:rsidRPr="0028273C">
        <w:rPr>
          <w:b/>
          <w:lang w:val="cs-CZ"/>
        </w:rPr>
        <w:t>LÉKOVÁ FORMA</w:t>
      </w:r>
    </w:p>
    <w:p w14:paraId="343B869F" w14:textId="77777777" w:rsidR="00DD6503" w:rsidRPr="0028273C" w:rsidRDefault="00DD6503" w:rsidP="00735457">
      <w:pPr>
        <w:keepNext/>
        <w:keepLines/>
        <w:tabs>
          <w:tab w:val="clear" w:pos="567"/>
        </w:tabs>
        <w:rPr>
          <w:szCs w:val="22"/>
          <w:lang w:val="cs-CZ"/>
        </w:rPr>
      </w:pPr>
    </w:p>
    <w:p w14:paraId="6AA85172" w14:textId="77777777" w:rsidR="00DD6503" w:rsidRPr="0028273C" w:rsidRDefault="004429C4" w:rsidP="00735457">
      <w:pPr>
        <w:keepNext/>
        <w:tabs>
          <w:tab w:val="clear" w:pos="567"/>
        </w:tabs>
        <w:rPr>
          <w:szCs w:val="22"/>
          <w:lang w:val="cs-CZ"/>
        </w:rPr>
      </w:pPr>
      <w:r w:rsidRPr="0028273C">
        <w:rPr>
          <w:szCs w:val="22"/>
          <w:lang w:val="cs-CZ"/>
        </w:rPr>
        <w:t xml:space="preserve">Prášek </w:t>
      </w:r>
      <w:r w:rsidRPr="0028273C">
        <w:rPr>
          <w:lang w:val="cs-CZ"/>
        </w:rPr>
        <w:t>a rozpouštědlo pro injekční roztok</w:t>
      </w:r>
      <w:r w:rsidR="00EE0AF3" w:rsidRPr="0028273C">
        <w:rPr>
          <w:szCs w:val="22"/>
          <w:lang w:val="cs-CZ"/>
        </w:rPr>
        <w:t>.</w:t>
      </w:r>
    </w:p>
    <w:p w14:paraId="56497624" w14:textId="77777777" w:rsidR="00DD6503" w:rsidRPr="0028273C" w:rsidRDefault="00DD6503" w:rsidP="00735457">
      <w:pPr>
        <w:tabs>
          <w:tab w:val="clear" w:pos="567"/>
        </w:tabs>
        <w:rPr>
          <w:szCs w:val="22"/>
          <w:lang w:val="cs-CZ"/>
        </w:rPr>
      </w:pPr>
    </w:p>
    <w:p w14:paraId="5B461EA4" w14:textId="77777777" w:rsidR="00DD6503" w:rsidRPr="0028273C" w:rsidRDefault="000B3FAC" w:rsidP="00735457">
      <w:pPr>
        <w:keepNext/>
        <w:tabs>
          <w:tab w:val="clear" w:pos="567"/>
        </w:tabs>
        <w:rPr>
          <w:szCs w:val="22"/>
          <w:lang w:val="cs-CZ"/>
        </w:rPr>
      </w:pPr>
      <w:r w:rsidRPr="0028273C">
        <w:rPr>
          <w:szCs w:val="22"/>
          <w:lang w:val="cs-CZ"/>
        </w:rPr>
        <w:t>Prášek</w:t>
      </w:r>
      <w:r w:rsidR="00DD6503" w:rsidRPr="0028273C">
        <w:rPr>
          <w:szCs w:val="22"/>
          <w:lang w:val="cs-CZ"/>
        </w:rPr>
        <w:t xml:space="preserve">: </w:t>
      </w:r>
      <w:r w:rsidR="004429C4" w:rsidRPr="0028273C">
        <w:rPr>
          <w:szCs w:val="22"/>
          <w:lang w:val="cs-CZ"/>
        </w:rPr>
        <w:t>pevný, bílý až nažloutlý</w:t>
      </w:r>
      <w:r w:rsidR="00DD6503" w:rsidRPr="0028273C">
        <w:rPr>
          <w:szCs w:val="22"/>
          <w:lang w:val="cs-CZ"/>
        </w:rPr>
        <w:t>.</w:t>
      </w:r>
    </w:p>
    <w:p w14:paraId="2C125212" w14:textId="77777777" w:rsidR="00DD6503" w:rsidRPr="0028273C" w:rsidRDefault="004429C4" w:rsidP="00735457">
      <w:pPr>
        <w:keepNext/>
        <w:tabs>
          <w:tab w:val="clear" w:pos="567"/>
        </w:tabs>
        <w:rPr>
          <w:szCs w:val="22"/>
          <w:lang w:val="cs-CZ"/>
        </w:rPr>
      </w:pPr>
      <w:r w:rsidRPr="0028273C">
        <w:rPr>
          <w:szCs w:val="22"/>
          <w:lang w:val="cs-CZ"/>
        </w:rPr>
        <w:t>Rozpouštědlo</w:t>
      </w:r>
      <w:r w:rsidR="00DD6503" w:rsidRPr="0028273C">
        <w:rPr>
          <w:szCs w:val="22"/>
          <w:lang w:val="cs-CZ"/>
        </w:rPr>
        <w:t xml:space="preserve">: </w:t>
      </w:r>
      <w:r w:rsidRPr="0028273C">
        <w:rPr>
          <w:szCs w:val="22"/>
          <w:lang w:val="cs-CZ"/>
        </w:rPr>
        <w:t>čirý roztok</w:t>
      </w:r>
      <w:r w:rsidR="00DD6503" w:rsidRPr="0028273C">
        <w:rPr>
          <w:szCs w:val="22"/>
          <w:lang w:val="cs-CZ"/>
        </w:rPr>
        <w:t>.</w:t>
      </w:r>
    </w:p>
    <w:p w14:paraId="55E343DF" w14:textId="77777777" w:rsidR="00DD6503" w:rsidRPr="0028273C" w:rsidRDefault="00DD6503" w:rsidP="00735457">
      <w:pPr>
        <w:tabs>
          <w:tab w:val="clear" w:pos="567"/>
        </w:tabs>
        <w:rPr>
          <w:szCs w:val="22"/>
          <w:lang w:val="cs-CZ"/>
        </w:rPr>
      </w:pPr>
    </w:p>
    <w:p w14:paraId="0AAF98DB" w14:textId="77777777" w:rsidR="00DD6503" w:rsidRPr="0028273C" w:rsidRDefault="00DD6503" w:rsidP="00735457">
      <w:pPr>
        <w:tabs>
          <w:tab w:val="clear" w:pos="567"/>
        </w:tabs>
        <w:rPr>
          <w:szCs w:val="22"/>
          <w:lang w:val="cs-CZ"/>
        </w:rPr>
      </w:pPr>
    </w:p>
    <w:p w14:paraId="0D87D10B" w14:textId="3A718ACB" w:rsidR="00DD6503" w:rsidRPr="0028273C" w:rsidRDefault="00DD6503" w:rsidP="2119785A">
      <w:pPr>
        <w:keepNext/>
        <w:keepLines/>
        <w:tabs>
          <w:tab w:val="clear" w:pos="567"/>
        </w:tabs>
        <w:ind w:left="567" w:hanging="567"/>
        <w:outlineLvl w:val="1"/>
        <w:rPr>
          <w:b/>
          <w:bCs/>
          <w:lang w:val="cs-CZ"/>
        </w:rPr>
      </w:pPr>
      <w:r w:rsidRPr="2119785A">
        <w:rPr>
          <w:b/>
          <w:bCs/>
          <w:lang w:val="cs-CZ"/>
        </w:rPr>
        <w:t>4.</w:t>
      </w:r>
      <w:r w:rsidR="66F7D99A" w:rsidRPr="2119785A">
        <w:rPr>
          <w:b/>
          <w:bCs/>
          <w:lang w:val="cs-CZ"/>
        </w:rPr>
        <w:t xml:space="preserve"> </w:t>
      </w:r>
      <w:r>
        <w:tab/>
      </w:r>
      <w:r w:rsidR="00051363" w:rsidRPr="2119785A">
        <w:rPr>
          <w:b/>
          <w:bCs/>
          <w:caps/>
          <w:lang w:val="cs-CZ"/>
        </w:rPr>
        <w:t>KLINICKÉ ÚDAJE</w:t>
      </w:r>
    </w:p>
    <w:p w14:paraId="2E6B516A" w14:textId="77777777" w:rsidR="00DD6503" w:rsidRPr="0028273C" w:rsidRDefault="00DD6503" w:rsidP="00735457">
      <w:pPr>
        <w:keepNext/>
        <w:keepLines/>
        <w:tabs>
          <w:tab w:val="clear" w:pos="567"/>
        </w:tabs>
        <w:rPr>
          <w:szCs w:val="22"/>
          <w:lang w:val="cs-CZ"/>
        </w:rPr>
      </w:pPr>
    </w:p>
    <w:p w14:paraId="661F0EBF" w14:textId="77777777" w:rsidR="00DD6503" w:rsidRPr="0028273C" w:rsidRDefault="00DD6503" w:rsidP="00FA1963">
      <w:pPr>
        <w:keepNext/>
        <w:keepLines/>
        <w:tabs>
          <w:tab w:val="clear" w:pos="567"/>
        </w:tabs>
        <w:ind w:left="567" w:hanging="567"/>
        <w:outlineLvl w:val="2"/>
        <w:rPr>
          <w:b/>
          <w:szCs w:val="22"/>
          <w:lang w:val="cs-CZ"/>
        </w:rPr>
      </w:pPr>
      <w:r w:rsidRPr="0028273C">
        <w:rPr>
          <w:b/>
          <w:szCs w:val="22"/>
          <w:lang w:val="cs-CZ"/>
        </w:rPr>
        <w:t>4.1</w:t>
      </w:r>
      <w:r w:rsidRPr="0028273C">
        <w:rPr>
          <w:b/>
          <w:szCs w:val="22"/>
          <w:lang w:val="cs-CZ"/>
        </w:rPr>
        <w:tab/>
      </w:r>
      <w:r w:rsidR="00051363" w:rsidRPr="0028273C">
        <w:rPr>
          <w:b/>
          <w:lang w:val="cs-CZ"/>
        </w:rPr>
        <w:t>Terapeutické indikace</w:t>
      </w:r>
    </w:p>
    <w:p w14:paraId="50859AEA" w14:textId="77777777" w:rsidR="00DD6503" w:rsidRPr="0028273C" w:rsidRDefault="00DD6503" w:rsidP="00735457">
      <w:pPr>
        <w:keepNext/>
        <w:keepLines/>
        <w:tabs>
          <w:tab w:val="clear" w:pos="567"/>
        </w:tabs>
        <w:rPr>
          <w:szCs w:val="22"/>
          <w:lang w:val="cs-CZ"/>
        </w:rPr>
      </w:pPr>
    </w:p>
    <w:p w14:paraId="3094E192" w14:textId="7965D95C" w:rsidR="00DD6503" w:rsidRPr="0028273C" w:rsidRDefault="001036B0" w:rsidP="00735457">
      <w:pPr>
        <w:keepNext/>
        <w:tabs>
          <w:tab w:val="clear" w:pos="567"/>
        </w:tabs>
        <w:rPr>
          <w:szCs w:val="22"/>
          <w:lang w:val="cs-CZ"/>
        </w:rPr>
      </w:pPr>
      <w:r w:rsidRPr="0028273C">
        <w:rPr>
          <w:szCs w:val="22"/>
          <w:lang w:val="cs-CZ"/>
        </w:rPr>
        <w:t xml:space="preserve">Léčba a profylaxe krvácení u dříve léčených pacientů ve věku </w:t>
      </w:r>
      <w:r w:rsidR="00FE3ACD" w:rsidRPr="0028273C">
        <w:rPr>
          <w:lang w:val="cs-CZ"/>
        </w:rPr>
        <w:t>≥</w:t>
      </w:r>
      <w:r w:rsidR="00606117">
        <w:rPr>
          <w:lang w:val="cs-CZ"/>
        </w:rPr>
        <w:t> 7</w:t>
      </w:r>
      <w:r w:rsidR="00606117" w:rsidRPr="0028273C">
        <w:rPr>
          <w:lang w:val="cs-CZ"/>
        </w:rPr>
        <w:t> </w:t>
      </w:r>
      <w:r w:rsidRPr="0028273C">
        <w:rPr>
          <w:lang w:val="cs-CZ"/>
        </w:rPr>
        <w:t>let s </w:t>
      </w:r>
      <w:r w:rsidR="000B3FAC" w:rsidRPr="0028273C">
        <w:rPr>
          <w:lang w:val="cs-CZ"/>
        </w:rPr>
        <w:t>hemofilií</w:t>
      </w:r>
      <w:r w:rsidRPr="0028273C">
        <w:rPr>
          <w:lang w:val="cs-CZ"/>
        </w:rPr>
        <w:t xml:space="preserve"> A (vrozený nedostatek faktoru VIII).</w:t>
      </w:r>
    </w:p>
    <w:p w14:paraId="5A9E5A5B" w14:textId="77777777" w:rsidR="00DD6503" w:rsidRPr="0028273C" w:rsidRDefault="00DD6503" w:rsidP="00735457">
      <w:pPr>
        <w:tabs>
          <w:tab w:val="clear" w:pos="567"/>
        </w:tabs>
        <w:rPr>
          <w:szCs w:val="22"/>
          <w:lang w:val="cs-CZ"/>
        </w:rPr>
      </w:pPr>
    </w:p>
    <w:p w14:paraId="07FD375E" w14:textId="77777777" w:rsidR="00DD6503" w:rsidRPr="0028273C" w:rsidRDefault="00DD6503" w:rsidP="00FA1963">
      <w:pPr>
        <w:keepNext/>
        <w:keepLines/>
        <w:tabs>
          <w:tab w:val="clear" w:pos="567"/>
        </w:tabs>
        <w:ind w:left="567" w:hanging="567"/>
        <w:outlineLvl w:val="2"/>
        <w:rPr>
          <w:b/>
          <w:szCs w:val="22"/>
          <w:lang w:val="cs-CZ"/>
        </w:rPr>
      </w:pPr>
      <w:r w:rsidRPr="0028273C">
        <w:rPr>
          <w:b/>
          <w:szCs w:val="22"/>
          <w:lang w:val="cs-CZ"/>
        </w:rPr>
        <w:t>4.2</w:t>
      </w:r>
      <w:r w:rsidRPr="0028273C">
        <w:rPr>
          <w:b/>
          <w:szCs w:val="22"/>
          <w:lang w:val="cs-CZ"/>
        </w:rPr>
        <w:tab/>
      </w:r>
      <w:r w:rsidR="001036B0" w:rsidRPr="0028273C">
        <w:rPr>
          <w:b/>
          <w:lang w:val="cs-CZ"/>
        </w:rPr>
        <w:t>Dávkování a způsob podání</w:t>
      </w:r>
    </w:p>
    <w:p w14:paraId="1841D09E" w14:textId="77777777" w:rsidR="00DD6503" w:rsidRPr="0028273C" w:rsidRDefault="00DD6503" w:rsidP="00735457">
      <w:pPr>
        <w:keepNext/>
        <w:keepLines/>
        <w:tabs>
          <w:tab w:val="clear" w:pos="567"/>
        </w:tabs>
        <w:rPr>
          <w:szCs w:val="22"/>
          <w:lang w:val="cs-CZ"/>
        </w:rPr>
      </w:pPr>
    </w:p>
    <w:p w14:paraId="2FECEB1B" w14:textId="77777777" w:rsidR="001036B0" w:rsidRPr="0028273C" w:rsidRDefault="001036B0" w:rsidP="00735457">
      <w:pPr>
        <w:keepNext/>
        <w:rPr>
          <w:lang w:val="cs-CZ"/>
        </w:rPr>
      </w:pPr>
      <w:r w:rsidRPr="0028273C">
        <w:rPr>
          <w:lang w:val="cs-CZ"/>
        </w:rPr>
        <w:t>Léčba m</w:t>
      </w:r>
      <w:r w:rsidR="00010CD3">
        <w:rPr>
          <w:lang w:val="cs-CZ"/>
        </w:rPr>
        <w:t>á</w:t>
      </w:r>
      <w:r w:rsidRPr="0028273C">
        <w:rPr>
          <w:lang w:val="cs-CZ"/>
        </w:rPr>
        <w:t xml:space="preserve"> probíhat pod dozorem lékaře se zkušenostmi s léčbou hemofilie.</w:t>
      </w:r>
    </w:p>
    <w:p w14:paraId="2F043D02" w14:textId="77777777" w:rsidR="000B303C" w:rsidRPr="0028273C" w:rsidRDefault="000B303C" w:rsidP="00735457">
      <w:pPr>
        <w:tabs>
          <w:tab w:val="clear" w:pos="567"/>
        </w:tabs>
        <w:rPr>
          <w:szCs w:val="22"/>
          <w:u w:val="single"/>
          <w:lang w:val="cs-CZ"/>
        </w:rPr>
      </w:pPr>
    </w:p>
    <w:p w14:paraId="50A5332B" w14:textId="77777777" w:rsidR="00A33056" w:rsidRPr="0028273C" w:rsidRDefault="001036B0" w:rsidP="00735457">
      <w:pPr>
        <w:pStyle w:val="Default"/>
        <w:keepNext/>
        <w:rPr>
          <w:color w:val="auto"/>
          <w:sz w:val="22"/>
          <w:szCs w:val="22"/>
          <w:u w:val="single"/>
          <w:lang w:val="cs-CZ"/>
        </w:rPr>
      </w:pPr>
      <w:r w:rsidRPr="0028273C">
        <w:rPr>
          <w:color w:val="auto"/>
          <w:sz w:val="22"/>
          <w:szCs w:val="22"/>
          <w:u w:val="single"/>
          <w:lang w:val="cs-CZ"/>
        </w:rPr>
        <w:t>Sledování léčby</w:t>
      </w:r>
    </w:p>
    <w:p w14:paraId="6CA8D05C" w14:textId="77777777" w:rsidR="00A33056" w:rsidRPr="0028273C" w:rsidRDefault="00A33056" w:rsidP="00735457">
      <w:pPr>
        <w:pStyle w:val="Default"/>
        <w:keepNext/>
        <w:rPr>
          <w:color w:val="auto"/>
          <w:sz w:val="22"/>
          <w:szCs w:val="22"/>
          <w:lang w:val="cs-CZ"/>
        </w:rPr>
      </w:pPr>
    </w:p>
    <w:p w14:paraId="234E4E2A" w14:textId="3194A158" w:rsidR="001036B0" w:rsidRPr="0028273C" w:rsidRDefault="001036B0" w:rsidP="00735457">
      <w:pPr>
        <w:tabs>
          <w:tab w:val="clear" w:pos="567"/>
        </w:tabs>
        <w:autoSpaceDE w:val="0"/>
        <w:autoSpaceDN w:val="0"/>
        <w:adjustRightInd w:val="0"/>
        <w:rPr>
          <w:szCs w:val="22"/>
          <w:lang w:val="cs-CZ"/>
        </w:rPr>
      </w:pPr>
      <w:r w:rsidRPr="0028273C">
        <w:rPr>
          <w:rFonts w:eastAsia="TimesNewRoman"/>
          <w:szCs w:val="22"/>
          <w:lang w:val="cs-CZ" w:eastAsia="cs-CZ"/>
        </w:rPr>
        <w:t>V průběhu léčby se doporučuje, aby se podávaná dávka a četnost opakovaných infuzí řídily podle vh</w:t>
      </w:r>
      <w:r w:rsidR="00160D54" w:rsidRPr="0028273C">
        <w:rPr>
          <w:rFonts w:eastAsia="TimesNewRoman"/>
          <w:szCs w:val="22"/>
          <w:lang w:val="cs-CZ" w:eastAsia="cs-CZ"/>
        </w:rPr>
        <w:t>odného stanovení hladin faktoru </w:t>
      </w:r>
      <w:r w:rsidRPr="0028273C">
        <w:rPr>
          <w:rFonts w:eastAsia="TimesNewRoman"/>
          <w:szCs w:val="22"/>
          <w:lang w:val="cs-CZ" w:eastAsia="cs-CZ"/>
        </w:rPr>
        <w:t xml:space="preserve">VIII. Odpověď </w:t>
      </w:r>
      <w:r w:rsidR="00160D54" w:rsidRPr="0028273C">
        <w:rPr>
          <w:rFonts w:eastAsia="TimesNewRoman"/>
          <w:szCs w:val="22"/>
          <w:lang w:val="cs-CZ" w:eastAsia="cs-CZ"/>
        </w:rPr>
        <w:t>jednotlivých pacientů na faktor </w:t>
      </w:r>
      <w:r w:rsidRPr="0028273C">
        <w:rPr>
          <w:rFonts w:eastAsia="TimesNewRoman"/>
          <w:szCs w:val="22"/>
          <w:lang w:val="cs-CZ" w:eastAsia="cs-CZ"/>
        </w:rPr>
        <w:t>VIII se může lišit, a pacienti tak mohou vykazovat různé poločasy a</w:t>
      </w:r>
      <w:r w:rsidR="005D329A" w:rsidRPr="00764A31">
        <w:rPr>
          <w:rFonts w:eastAsia="TimesNewRoman"/>
          <w:szCs w:val="22"/>
          <w:lang w:val="cs-CZ" w:eastAsia="cs-CZ"/>
        </w:rPr>
        <w:t xml:space="preserve"> </w:t>
      </w:r>
      <w:r w:rsidR="00FD1677" w:rsidRPr="00764A31">
        <w:rPr>
          <w:rFonts w:eastAsia="TimesNewRoman"/>
          <w:szCs w:val="22"/>
          <w:lang w:val="cs-CZ" w:eastAsia="cs-CZ"/>
        </w:rPr>
        <w:t xml:space="preserve">doby </w:t>
      </w:r>
      <w:r w:rsidR="005D329A" w:rsidRPr="00764A31">
        <w:rPr>
          <w:rFonts w:eastAsia="TimesNewRoman"/>
          <w:szCs w:val="22"/>
          <w:lang w:val="cs-CZ" w:eastAsia="cs-CZ"/>
        </w:rPr>
        <w:t>zotavení</w:t>
      </w:r>
      <w:r w:rsidRPr="00764A31">
        <w:rPr>
          <w:rFonts w:eastAsia="TimesNewRoman"/>
          <w:szCs w:val="22"/>
          <w:lang w:val="cs-CZ" w:eastAsia="cs-CZ"/>
        </w:rPr>
        <w:t>.</w:t>
      </w:r>
      <w:r w:rsidRPr="0028273C">
        <w:rPr>
          <w:rFonts w:eastAsia="TimesNewRoman"/>
          <w:szCs w:val="22"/>
          <w:lang w:val="cs-CZ" w:eastAsia="cs-CZ"/>
        </w:rPr>
        <w:t xml:space="preserve"> Dávk</w:t>
      </w:r>
      <w:r w:rsidR="007454BB">
        <w:rPr>
          <w:rFonts w:eastAsia="TimesNewRoman"/>
          <w:szCs w:val="22"/>
          <w:lang w:val="cs-CZ" w:eastAsia="cs-CZ"/>
        </w:rPr>
        <w:t>a</w:t>
      </w:r>
      <w:r w:rsidRPr="0028273C">
        <w:rPr>
          <w:rFonts w:eastAsia="TimesNewRoman"/>
          <w:szCs w:val="22"/>
          <w:lang w:val="cs-CZ" w:eastAsia="cs-CZ"/>
        </w:rPr>
        <w:t xml:space="preserve"> </w:t>
      </w:r>
      <w:r w:rsidR="007454BB">
        <w:rPr>
          <w:rFonts w:eastAsia="TimesNewRoman"/>
          <w:szCs w:val="22"/>
          <w:lang w:val="cs-CZ" w:eastAsia="cs-CZ"/>
        </w:rPr>
        <w:t>založená na</w:t>
      </w:r>
      <w:r w:rsidRPr="0028273C">
        <w:rPr>
          <w:rFonts w:eastAsia="TimesNewRoman"/>
          <w:szCs w:val="22"/>
          <w:lang w:val="cs-CZ" w:eastAsia="cs-CZ"/>
        </w:rPr>
        <w:t xml:space="preserve"> tělesné hmotnosti může </w:t>
      </w:r>
      <w:r w:rsidR="007454BB">
        <w:rPr>
          <w:rFonts w:eastAsia="TimesNewRoman"/>
          <w:szCs w:val="22"/>
          <w:lang w:val="cs-CZ" w:eastAsia="cs-CZ"/>
        </w:rPr>
        <w:t xml:space="preserve">vyžadovat úpravu </w:t>
      </w:r>
      <w:r w:rsidRPr="0028273C">
        <w:rPr>
          <w:rFonts w:eastAsia="TimesNewRoman"/>
          <w:szCs w:val="22"/>
          <w:lang w:val="cs-CZ" w:eastAsia="cs-CZ"/>
        </w:rPr>
        <w:t>u pacientů s podváhou nebo nadváhou. Zejména v případě v</w:t>
      </w:r>
      <w:r w:rsidR="00DD5709">
        <w:rPr>
          <w:rFonts w:eastAsia="TimesNewRoman"/>
          <w:szCs w:val="22"/>
          <w:lang w:val="cs-CZ" w:eastAsia="cs-CZ"/>
        </w:rPr>
        <w:t>e</w:t>
      </w:r>
      <w:r w:rsidRPr="0028273C">
        <w:rPr>
          <w:rFonts w:eastAsia="TimesNewRoman"/>
          <w:szCs w:val="22"/>
          <w:lang w:val="cs-CZ" w:eastAsia="cs-CZ"/>
        </w:rPr>
        <w:t xml:space="preserve">lkých chirurgických </w:t>
      </w:r>
      <w:r w:rsidR="00585B10">
        <w:rPr>
          <w:rFonts w:eastAsia="TimesNewRoman"/>
          <w:szCs w:val="22"/>
          <w:lang w:val="cs-CZ" w:eastAsia="cs-CZ"/>
        </w:rPr>
        <w:t>výkonů</w:t>
      </w:r>
      <w:r w:rsidR="004B080A">
        <w:rPr>
          <w:rFonts w:eastAsia="TimesNewRoman"/>
          <w:szCs w:val="22"/>
          <w:lang w:val="cs-CZ" w:eastAsia="cs-CZ"/>
        </w:rPr>
        <w:t xml:space="preserve"> </w:t>
      </w:r>
      <w:r w:rsidRPr="0028273C">
        <w:rPr>
          <w:rFonts w:eastAsia="TimesNewRoman"/>
          <w:szCs w:val="22"/>
          <w:lang w:val="cs-CZ" w:eastAsia="cs-CZ"/>
        </w:rPr>
        <w:t xml:space="preserve">je nezbytné přesné sledování substituční </w:t>
      </w:r>
      <w:r w:rsidR="007454BB">
        <w:rPr>
          <w:rFonts w:eastAsia="TimesNewRoman"/>
          <w:szCs w:val="22"/>
          <w:lang w:val="cs-CZ" w:eastAsia="cs-CZ"/>
        </w:rPr>
        <w:t>léčby</w:t>
      </w:r>
      <w:r w:rsidR="007454BB" w:rsidRPr="0028273C">
        <w:rPr>
          <w:rFonts w:eastAsia="TimesNewRoman"/>
          <w:szCs w:val="22"/>
          <w:lang w:val="cs-CZ" w:eastAsia="cs-CZ"/>
        </w:rPr>
        <w:t xml:space="preserve"> </w:t>
      </w:r>
      <w:r w:rsidR="00010CD3">
        <w:rPr>
          <w:rFonts w:eastAsia="TimesNewRoman"/>
          <w:szCs w:val="22"/>
          <w:lang w:val="cs-CZ" w:eastAsia="cs-CZ"/>
        </w:rPr>
        <w:t xml:space="preserve">koagulační analýzou </w:t>
      </w:r>
      <w:r w:rsidRPr="0028273C">
        <w:rPr>
          <w:rFonts w:eastAsia="TimesNewRoman"/>
          <w:szCs w:val="22"/>
          <w:lang w:val="cs-CZ" w:eastAsia="cs-CZ"/>
        </w:rPr>
        <w:t>(plazmatické aktivity faktoru</w:t>
      </w:r>
      <w:r w:rsidR="00BD244F" w:rsidRPr="0028273C">
        <w:rPr>
          <w:rFonts w:eastAsia="TimesNewRoman"/>
          <w:szCs w:val="22"/>
          <w:lang w:val="cs-CZ" w:eastAsia="cs-CZ"/>
        </w:rPr>
        <w:t> </w:t>
      </w:r>
      <w:r w:rsidRPr="0028273C">
        <w:rPr>
          <w:rFonts w:eastAsia="TimesNewRoman"/>
          <w:szCs w:val="22"/>
          <w:lang w:val="cs-CZ" w:eastAsia="cs-CZ"/>
        </w:rPr>
        <w:t>VIII).</w:t>
      </w:r>
    </w:p>
    <w:p w14:paraId="0E1954BD" w14:textId="77777777" w:rsidR="00A33056" w:rsidRPr="0028273C" w:rsidRDefault="00A33056" w:rsidP="00735457">
      <w:pPr>
        <w:pStyle w:val="Default"/>
        <w:rPr>
          <w:color w:val="auto"/>
          <w:sz w:val="22"/>
          <w:szCs w:val="22"/>
          <w:lang w:val="cs-CZ"/>
        </w:rPr>
      </w:pPr>
    </w:p>
    <w:p w14:paraId="7CD481F7" w14:textId="7127D801" w:rsidR="00A33056" w:rsidRDefault="00D113DE" w:rsidP="00735457">
      <w:pPr>
        <w:keepNext/>
        <w:tabs>
          <w:tab w:val="clear" w:pos="567"/>
        </w:tabs>
        <w:rPr>
          <w:szCs w:val="22"/>
          <w:bdr w:val="nil"/>
          <w:lang w:val="cs-CZ" w:eastAsia="en-US"/>
        </w:rPr>
      </w:pPr>
      <w:r w:rsidRPr="0028273C">
        <w:rPr>
          <w:szCs w:val="22"/>
          <w:bdr w:val="nil"/>
          <w:lang w:val="cs-CZ" w:eastAsia="en-US"/>
        </w:rPr>
        <w:t xml:space="preserve">Při použití </w:t>
      </w:r>
      <w:r w:rsidR="001A5D70">
        <w:rPr>
          <w:szCs w:val="22"/>
          <w:bdr w:val="nil"/>
          <w:lang w:val="cs-CZ" w:eastAsia="en-US"/>
        </w:rPr>
        <w:t xml:space="preserve">jednostupňového koagulačního testu </w:t>
      </w:r>
      <w:r w:rsidRPr="0028273C">
        <w:rPr>
          <w:i/>
          <w:iCs/>
          <w:szCs w:val="22"/>
          <w:bdr w:val="nil"/>
          <w:lang w:val="cs-CZ" w:eastAsia="en-US"/>
        </w:rPr>
        <w:t>in</w:t>
      </w:r>
      <w:r w:rsidRPr="0028273C">
        <w:rPr>
          <w:szCs w:val="22"/>
          <w:bdr w:val="nil"/>
          <w:lang w:val="cs-CZ" w:eastAsia="en-US"/>
        </w:rPr>
        <w:t> </w:t>
      </w:r>
      <w:r w:rsidRPr="0028273C">
        <w:rPr>
          <w:i/>
          <w:iCs/>
          <w:szCs w:val="22"/>
          <w:bdr w:val="nil"/>
          <w:lang w:val="cs-CZ" w:eastAsia="en-US"/>
        </w:rPr>
        <w:t>vitro</w:t>
      </w:r>
      <w:r w:rsidRPr="0028273C">
        <w:rPr>
          <w:szCs w:val="22"/>
          <w:bdr w:val="nil"/>
          <w:lang w:val="cs-CZ" w:eastAsia="en-US"/>
        </w:rPr>
        <w:t xml:space="preserve">  </w:t>
      </w:r>
      <w:r w:rsidR="001A5D70">
        <w:rPr>
          <w:szCs w:val="22"/>
          <w:bdr w:val="nil"/>
          <w:lang w:val="cs-CZ" w:eastAsia="en-US"/>
        </w:rPr>
        <w:t xml:space="preserve">na základě </w:t>
      </w:r>
      <w:r w:rsidRPr="0028273C">
        <w:rPr>
          <w:szCs w:val="22"/>
          <w:bdr w:val="nil"/>
          <w:lang w:val="cs-CZ" w:eastAsia="en-US"/>
        </w:rPr>
        <w:t>aktivovan</w:t>
      </w:r>
      <w:r w:rsidR="001A5D70">
        <w:rPr>
          <w:szCs w:val="22"/>
          <w:bdr w:val="nil"/>
          <w:lang w:val="cs-CZ" w:eastAsia="en-US"/>
        </w:rPr>
        <w:t>ého</w:t>
      </w:r>
      <w:r w:rsidRPr="0028273C">
        <w:rPr>
          <w:szCs w:val="22"/>
          <w:bdr w:val="nil"/>
          <w:lang w:val="cs-CZ" w:eastAsia="en-US"/>
        </w:rPr>
        <w:t xml:space="preserve"> tromboplastinov</w:t>
      </w:r>
      <w:r w:rsidR="001A5D70">
        <w:rPr>
          <w:szCs w:val="22"/>
          <w:bdr w:val="nil"/>
          <w:lang w:val="cs-CZ" w:eastAsia="en-US"/>
        </w:rPr>
        <w:t>ého</w:t>
      </w:r>
      <w:r w:rsidRPr="0028273C">
        <w:rPr>
          <w:szCs w:val="22"/>
          <w:bdr w:val="nil"/>
          <w:lang w:val="cs-CZ" w:eastAsia="en-US"/>
        </w:rPr>
        <w:t xml:space="preserve"> parciální</w:t>
      </w:r>
      <w:r w:rsidR="001A5D70">
        <w:rPr>
          <w:szCs w:val="22"/>
          <w:bdr w:val="nil"/>
          <w:lang w:val="cs-CZ" w:eastAsia="en-US"/>
        </w:rPr>
        <w:t>ho</w:t>
      </w:r>
      <w:r w:rsidRPr="0028273C">
        <w:rPr>
          <w:szCs w:val="22"/>
          <w:bdr w:val="nil"/>
          <w:lang w:val="cs-CZ" w:eastAsia="en-US"/>
        </w:rPr>
        <w:t xml:space="preserve"> čas</w:t>
      </w:r>
      <w:r w:rsidR="001A5D70">
        <w:rPr>
          <w:szCs w:val="22"/>
          <w:bdr w:val="nil"/>
          <w:lang w:val="cs-CZ" w:eastAsia="en-US"/>
        </w:rPr>
        <w:t>u</w:t>
      </w:r>
      <w:r w:rsidRPr="0028273C">
        <w:rPr>
          <w:szCs w:val="22"/>
          <w:bdr w:val="nil"/>
          <w:lang w:val="cs-CZ" w:eastAsia="en-US"/>
        </w:rPr>
        <w:t xml:space="preserve"> (</w:t>
      </w:r>
      <w:proofErr w:type="spellStart"/>
      <w:r w:rsidRPr="0028273C">
        <w:rPr>
          <w:szCs w:val="22"/>
          <w:bdr w:val="nil"/>
          <w:lang w:val="cs-CZ" w:eastAsia="en-US"/>
        </w:rPr>
        <w:t>aPTT</w:t>
      </w:r>
      <w:proofErr w:type="spellEnd"/>
      <w:r w:rsidRPr="0028273C">
        <w:rPr>
          <w:szCs w:val="22"/>
          <w:bdr w:val="nil"/>
          <w:lang w:val="cs-CZ" w:eastAsia="en-US"/>
        </w:rPr>
        <w:t>) pro stanovení aktivity faktoru</w:t>
      </w:r>
      <w:r w:rsidR="00C512D4" w:rsidRPr="0028273C">
        <w:rPr>
          <w:szCs w:val="22"/>
          <w:bdr w:val="nil"/>
          <w:lang w:val="cs-CZ" w:eastAsia="en-US"/>
        </w:rPr>
        <w:t> </w:t>
      </w:r>
      <w:r w:rsidRPr="0028273C">
        <w:rPr>
          <w:szCs w:val="22"/>
          <w:bdr w:val="nil"/>
          <w:lang w:val="cs-CZ" w:eastAsia="en-US"/>
        </w:rPr>
        <w:t xml:space="preserve">VIII </w:t>
      </w:r>
      <w:r w:rsidR="003E40F7" w:rsidRPr="003E40F7">
        <w:rPr>
          <w:szCs w:val="22"/>
          <w:bdr w:val="nil"/>
          <w:lang w:val="cs-CZ" w:eastAsia="en-US"/>
        </w:rPr>
        <w:t xml:space="preserve">mohou být </w:t>
      </w:r>
      <w:r w:rsidRPr="0028273C">
        <w:rPr>
          <w:szCs w:val="22"/>
          <w:bdr w:val="nil"/>
          <w:lang w:val="cs-CZ" w:eastAsia="en-US"/>
        </w:rPr>
        <w:t>u krevních vzorků pacientů výsledky</w:t>
      </w:r>
      <w:r w:rsidR="00BD244F" w:rsidRPr="0028273C">
        <w:rPr>
          <w:szCs w:val="22"/>
          <w:bdr w:val="nil"/>
          <w:lang w:val="cs-CZ" w:eastAsia="en-US"/>
        </w:rPr>
        <w:t xml:space="preserve"> </w:t>
      </w:r>
      <w:r w:rsidR="001A5D70">
        <w:rPr>
          <w:szCs w:val="22"/>
          <w:bdr w:val="nil"/>
          <w:lang w:val="cs-CZ" w:eastAsia="en-US"/>
        </w:rPr>
        <w:t xml:space="preserve">plazmatické </w:t>
      </w:r>
      <w:r w:rsidR="00BD244F" w:rsidRPr="0028273C">
        <w:rPr>
          <w:szCs w:val="22"/>
          <w:bdr w:val="nil"/>
          <w:lang w:val="cs-CZ" w:eastAsia="en-US"/>
        </w:rPr>
        <w:t>aktivity faktoru </w:t>
      </w:r>
      <w:r w:rsidRPr="0028273C">
        <w:rPr>
          <w:szCs w:val="22"/>
          <w:bdr w:val="nil"/>
          <w:lang w:val="cs-CZ" w:eastAsia="en-US"/>
        </w:rPr>
        <w:t>VIII významně ovlivněny jak typem</w:t>
      </w:r>
      <w:r w:rsidR="001A5D70">
        <w:rPr>
          <w:szCs w:val="22"/>
          <w:bdr w:val="nil"/>
          <w:lang w:val="cs-CZ" w:eastAsia="en-US"/>
        </w:rPr>
        <w:t xml:space="preserve"> reagencia pro stanovení</w:t>
      </w:r>
      <w:r w:rsidR="00CF723B">
        <w:rPr>
          <w:szCs w:val="22"/>
          <w:bdr w:val="nil"/>
          <w:lang w:val="cs-CZ" w:eastAsia="en-US"/>
        </w:rPr>
        <w:t xml:space="preserve"> </w:t>
      </w:r>
      <w:proofErr w:type="spellStart"/>
      <w:r w:rsidRPr="0028273C">
        <w:rPr>
          <w:szCs w:val="22"/>
          <w:bdr w:val="nil"/>
          <w:lang w:val="cs-CZ" w:eastAsia="en-US"/>
        </w:rPr>
        <w:t>aPTT</w:t>
      </w:r>
      <w:proofErr w:type="spellEnd"/>
      <w:r w:rsidRPr="0028273C">
        <w:rPr>
          <w:szCs w:val="22"/>
          <w:bdr w:val="nil"/>
          <w:lang w:val="cs-CZ" w:eastAsia="en-US"/>
        </w:rPr>
        <w:t xml:space="preserve">, tak </w:t>
      </w:r>
      <w:r w:rsidR="001A5D70">
        <w:rPr>
          <w:szCs w:val="22"/>
          <w:bdr w:val="nil"/>
          <w:lang w:val="cs-CZ" w:eastAsia="en-US"/>
        </w:rPr>
        <w:t xml:space="preserve">i </w:t>
      </w:r>
      <w:r w:rsidRPr="0028273C">
        <w:rPr>
          <w:szCs w:val="22"/>
          <w:bdr w:val="nil"/>
          <w:lang w:val="cs-CZ" w:eastAsia="en-US"/>
        </w:rPr>
        <w:t xml:space="preserve">referenčním standardem </w:t>
      </w:r>
      <w:r w:rsidR="001A5D70">
        <w:rPr>
          <w:szCs w:val="22"/>
          <w:bdr w:val="nil"/>
          <w:lang w:val="cs-CZ" w:eastAsia="en-US"/>
        </w:rPr>
        <w:t xml:space="preserve">použitým </w:t>
      </w:r>
      <w:r w:rsidRPr="0028273C">
        <w:rPr>
          <w:szCs w:val="22"/>
          <w:bdr w:val="nil"/>
          <w:lang w:val="cs-CZ" w:eastAsia="en-US"/>
        </w:rPr>
        <w:t>v testu, což může vést k nadhodnocení neb</w:t>
      </w:r>
      <w:r w:rsidR="00BD244F" w:rsidRPr="0028273C">
        <w:rPr>
          <w:szCs w:val="22"/>
          <w:bdr w:val="nil"/>
          <w:lang w:val="cs-CZ" w:eastAsia="en-US"/>
        </w:rPr>
        <w:t>o podhodnocení aktivity faktoru </w:t>
      </w:r>
      <w:r w:rsidRPr="0028273C">
        <w:rPr>
          <w:szCs w:val="22"/>
          <w:bdr w:val="nil"/>
          <w:lang w:val="cs-CZ" w:eastAsia="en-US"/>
        </w:rPr>
        <w:t xml:space="preserve">VIII. </w:t>
      </w:r>
      <w:r w:rsidR="0099163F">
        <w:rPr>
          <w:szCs w:val="22"/>
          <w:bdr w:val="nil"/>
          <w:lang w:val="cs-CZ" w:eastAsia="en-US"/>
        </w:rPr>
        <w:t>Mohou se vyskytnout</w:t>
      </w:r>
      <w:r w:rsidRPr="0028273C">
        <w:rPr>
          <w:szCs w:val="22"/>
          <w:bdr w:val="nil"/>
          <w:lang w:val="cs-CZ" w:eastAsia="en-US"/>
        </w:rPr>
        <w:t xml:space="preserve"> významn</w:t>
      </w:r>
      <w:r w:rsidR="0099163F">
        <w:rPr>
          <w:szCs w:val="22"/>
          <w:bdr w:val="nil"/>
          <w:lang w:val="cs-CZ" w:eastAsia="en-US"/>
        </w:rPr>
        <w:t>é</w:t>
      </w:r>
      <w:r w:rsidRPr="0028273C">
        <w:rPr>
          <w:szCs w:val="22"/>
          <w:bdr w:val="nil"/>
          <w:lang w:val="cs-CZ" w:eastAsia="en-US"/>
        </w:rPr>
        <w:t xml:space="preserve"> rozdíl</w:t>
      </w:r>
      <w:r w:rsidR="0099163F">
        <w:rPr>
          <w:szCs w:val="22"/>
          <w:bdr w:val="nil"/>
          <w:lang w:val="cs-CZ" w:eastAsia="en-US"/>
        </w:rPr>
        <w:t>y u</w:t>
      </w:r>
      <w:r w:rsidRPr="0028273C">
        <w:rPr>
          <w:szCs w:val="22"/>
          <w:bdr w:val="nil"/>
          <w:lang w:val="cs-CZ" w:eastAsia="en-US"/>
        </w:rPr>
        <w:t xml:space="preserve"> výsledk</w:t>
      </w:r>
      <w:r w:rsidR="0099163F">
        <w:rPr>
          <w:szCs w:val="22"/>
          <w:bdr w:val="nil"/>
          <w:lang w:val="cs-CZ" w:eastAsia="en-US"/>
        </w:rPr>
        <w:t>ů</w:t>
      </w:r>
      <w:r w:rsidRPr="0028273C">
        <w:rPr>
          <w:szCs w:val="22"/>
          <w:bdr w:val="nil"/>
          <w:lang w:val="cs-CZ" w:eastAsia="en-US"/>
        </w:rPr>
        <w:t xml:space="preserve"> testů získaný</w:t>
      </w:r>
      <w:r w:rsidR="0099163F">
        <w:rPr>
          <w:szCs w:val="22"/>
          <w:bdr w:val="nil"/>
          <w:lang w:val="cs-CZ" w:eastAsia="en-US"/>
        </w:rPr>
        <w:t>ch</w:t>
      </w:r>
      <w:r w:rsidR="00984AB2">
        <w:rPr>
          <w:szCs w:val="22"/>
          <w:bdr w:val="nil"/>
          <w:lang w:val="cs-CZ" w:eastAsia="en-US"/>
        </w:rPr>
        <w:t xml:space="preserve"> </w:t>
      </w:r>
      <w:r w:rsidR="009F6643">
        <w:rPr>
          <w:szCs w:val="22"/>
          <w:bdr w:val="nil"/>
          <w:lang w:val="cs-CZ" w:eastAsia="en-US"/>
        </w:rPr>
        <w:t xml:space="preserve">jednostupňovým testem srážlivosti na základě </w:t>
      </w:r>
      <w:proofErr w:type="spellStart"/>
      <w:r w:rsidR="009F6643">
        <w:rPr>
          <w:szCs w:val="22"/>
          <w:bdr w:val="nil"/>
          <w:lang w:val="cs-CZ" w:eastAsia="en-US"/>
        </w:rPr>
        <w:t>aPTT</w:t>
      </w:r>
      <w:proofErr w:type="spellEnd"/>
      <w:r w:rsidRPr="0028273C">
        <w:rPr>
          <w:szCs w:val="22"/>
          <w:bdr w:val="nil"/>
          <w:lang w:val="cs-CZ" w:eastAsia="en-US"/>
        </w:rPr>
        <w:t xml:space="preserve"> a chromogenním test</w:t>
      </w:r>
      <w:r w:rsidR="009F6643">
        <w:rPr>
          <w:szCs w:val="22"/>
          <w:bdr w:val="nil"/>
          <w:lang w:val="cs-CZ" w:eastAsia="en-US"/>
        </w:rPr>
        <w:t>em</w:t>
      </w:r>
      <w:r w:rsidRPr="0028273C">
        <w:rPr>
          <w:szCs w:val="22"/>
          <w:bdr w:val="nil"/>
          <w:lang w:val="cs-CZ" w:eastAsia="en-US"/>
        </w:rPr>
        <w:t xml:space="preserve">. </w:t>
      </w:r>
      <w:r w:rsidR="00264D1E">
        <w:rPr>
          <w:szCs w:val="22"/>
          <w:bdr w:val="nil"/>
          <w:lang w:val="cs-CZ" w:eastAsia="en-US"/>
        </w:rPr>
        <w:t>Znalost této informace je</w:t>
      </w:r>
      <w:r w:rsidRPr="0028273C">
        <w:rPr>
          <w:szCs w:val="22"/>
          <w:bdr w:val="nil"/>
          <w:lang w:val="cs-CZ" w:eastAsia="en-US"/>
        </w:rPr>
        <w:t xml:space="preserve"> důležit</w:t>
      </w:r>
      <w:r w:rsidR="00264D1E">
        <w:rPr>
          <w:szCs w:val="22"/>
          <w:bdr w:val="nil"/>
          <w:lang w:val="cs-CZ" w:eastAsia="en-US"/>
        </w:rPr>
        <w:t>á</w:t>
      </w:r>
      <w:r w:rsidRPr="0028273C">
        <w:rPr>
          <w:szCs w:val="22"/>
          <w:bdr w:val="nil"/>
          <w:lang w:val="cs-CZ" w:eastAsia="en-US"/>
        </w:rPr>
        <w:t xml:space="preserve"> při monitorování aktivity faktoru</w:t>
      </w:r>
      <w:r w:rsidR="00BD244F" w:rsidRPr="0028273C">
        <w:rPr>
          <w:szCs w:val="22"/>
          <w:bdr w:val="nil"/>
          <w:lang w:val="cs-CZ" w:eastAsia="en-US"/>
        </w:rPr>
        <w:t> </w:t>
      </w:r>
      <w:r w:rsidRPr="0028273C">
        <w:rPr>
          <w:szCs w:val="22"/>
          <w:bdr w:val="nil"/>
          <w:lang w:val="cs-CZ" w:eastAsia="en-US"/>
        </w:rPr>
        <w:t xml:space="preserve">VIII přípravku </w:t>
      </w:r>
      <w:proofErr w:type="spellStart"/>
      <w:r w:rsidRPr="0028273C">
        <w:rPr>
          <w:szCs w:val="22"/>
          <w:bdr w:val="nil"/>
          <w:lang w:val="cs-CZ" w:eastAsia="en-US"/>
        </w:rPr>
        <w:t>Jivi</w:t>
      </w:r>
      <w:proofErr w:type="spellEnd"/>
      <w:r w:rsidRPr="0028273C">
        <w:rPr>
          <w:szCs w:val="22"/>
          <w:bdr w:val="nil"/>
          <w:lang w:val="cs-CZ" w:eastAsia="en-US"/>
        </w:rPr>
        <w:t xml:space="preserve"> a při změně laboratoře a/nebo </w:t>
      </w:r>
      <w:r w:rsidR="001A5D70">
        <w:rPr>
          <w:szCs w:val="22"/>
          <w:bdr w:val="nil"/>
          <w:lang w:val="cs-CZ" w:eastAsia="en-US"/>
        </w:rPr>
        <w:t>reagencií</w:t>
      </w:r>
      <w:r w:rsidR="001A5D70" w:rsidRPr="0028273C">
        <w:rPr>
          <w:szCs w:val="22"/>
          <w:bdr w:val="nil"/>
          <w:lang w:val="cs-CZ" w:eastAsia="en-US"/>
        </w:rPr>
        <w:t xml:space="preserve"> </w:t>
      </w:r>
      <w:r w:rsidR="009F6643">
        <w:rPr>
          <w:szCs w:val="22"/>
          <w:bdr w:val="nil"/>
          <w:lang w:val="cs-CZ" w:eastAsia="en-US"/>
        </w:rPr>
        <w:t>použitých</w:t>
      </w:r>
      <w:r w:rsidR="00984AB2">
        <w:rPr>
          <w:szCs w:val="22"/>
          <w:bdr w:val="nil"/>
          <w:lang w:val="cs-CZ" w:eastAsia="en-US"/>
        </w:rPr>
        <w:t xml:space="preserve"> </w:t>
      </w:r>
      <w:r w:rsidRPr="0028273C">
        <w:rPr>
          <w:szCs w:val="22"/>
          <w:bdr w:val="nil"/>
          <w:lang w:val="cs-CZ" w:eastAsia="en-US"/>
        </w:rPr>
        <w:t>v testu.</w:t>
      </w:r>
      <w:r w:rsidR="005C7D65" w:rsidRPr="0028273C">
        <w:rPr>
          <w:szCs w:val="22"/>
          <w:bdr w:val="nil"/>
          <w:lang w:val="cs-CZ" w:eastAsia="en-US"/>
        </w:rPr>
        <w:t xml:space="preserve"> Týká </w:t>
      </w:r>
      <w:r w:rsidR="008B7C0A" w:rsidRPr="0028273C">
        <w:rPr>
          <w:szCs w:val="22"/>
          <w:bdr w:val="nil"/>
          <w:lang w:val="cs-CZ" w:eastAsia="en-US"/>
        </w:rPr>
        <w:t xml:space="preserve">se to </w:t>
      </w:r>
      <w:r w:rsidR="005C7D65" w:rsidRPr="0028273C">
        <w:rPr>
          <w:szCs w:val="22"/>
          <w:bdr w:val="nil"/>
          <w:lang w:val="cs-CZ" w:eastAsia="en-US"/>
        </w:rPr>
        <w:t>také modifikovaných dlouhodobě působících přípravků obsahujících faktor</w:t>
      </w:r>
      <w:r w:rsidR="008B7C0A" w:rsidRPr="0028273C">
        <w:rPr>
          <w:szCs w:val="22"/>
          <w:bdr w:val="nil"/>
          <w:lang w:val="cs-CZ" w:eastAsia="en-US"/>
        </w:rPr>
        <w:t> </w:t>
      </w:r>
      <w:r w:rsidR="005C7D65" w:rsidRPr="0028273C">
        <w:rPr>
          <w:szCs w:val="22"/>
          <w:bdr w:val="nil"/>
          <w:lang w:val="cs-CZ" w:eastAsia="en-US"/>
        </w:rPr>
        <w:t>VIII.</w:t>
      </w:r>
    </w:p>
    <w:p w14:paraId="6F8AFF9F" w14:textId="77777777" w:rsidR="00360EA4" w:rsidRPr="0028273C" w:rsidRDefault="00360EA4" w:rsidP="00735457">
      <w:pPr>
        <w:keepNext/>
        <w:tabs>
          <w:tab w:val="clear" w:pos="567"/>
        </w:tabs>
        <w:rPr>
          <w:szCs w:val="22"/>
          <w:lang w:val="cs-CZ"/>
        </w:rPr>
      </w:pPr>
    </w:p>
    <w:p w14:paraId="7F8AE07B" w14:textId="77777777" w:rsidR="00D113DE" w:rsidRPr="0028273C" w:rsidRDefault="00D113DE" w:rsidP="00735457">
      <w:pPr>
        <w:autoSpaceDE w:val="0"/>
        <w:autoSpaceDN w:val="0"/>
        <w:adjustRightInd w:val="0"/>
        <w:rPr>
          <w:color w:val="000000"/>
          <w:szCs w:val="22"/>
          <w:bdr w:val="nil"/>
          <w:lang w:val="cs-CZ" w:eastAsia="en-US"/>
        </w:rPr>
      </w:pPr>
      <w:r w:rsidRPr="0028273C">
        <w:rPr>
          <w:color w:val="000000"/>
          <w:szCs w:val="22"/>
          <w:bdr w:val="nil"/>
          <w:lang w:val="cs-CZ" w:eastAsia="en-US"/>
        </w:rPr>
        <w:t xml:space="preserve">Laboratoře, které budou měřit aktivitu přípravku </w:t>
      </w:r>
      <w:proofErr w:type="spellStart"/>
      <w:r w:rsidRPr="0028273C">
        <w:rPr>
          <w:color w:val="000000"/>
          <w:szCs w:val="22"/>
          <w:bdr w:val="nil"/>
          <w:lang w:val="cs-CZ" w:eastAsia="en-US"/>
        </w:rPr>
        <w:t>Jivi</w:t>
      </w:r>
      <w:proofErr w:type="spellEnd"/>
      <w:r w:rsidR="008B7C0A" w:rsidRPr="0028273C">
        <w:rPr>
          <w:color w:val="000000"/>
          <w:szCs w:val="22"/>
          <w:bdr w:val="nil"/>
          <w:lang w:val="cs-CZ" w:eastAsia="en-US"/>
        </w:rPr>
        <w:t>,</w:t>
      </w:r>
      <w:r w:rsidRPr="0028273C">
        <w:rPr>
          <w:color w:val="000000"/>
          <w:szCs w:val="22"/>
          <w:bdr w:val="nil"/>
          <w:lang w:val="cs-CZ" w:eastAsia="en-US"/>
        </w:rPr>
        <w:t xml:space="preserve"> </w:t>
      </w:r>
      <w:r w:rsidR="00F4109B">
        <w:rPr>
          <w:color w:val="000000"/>
          <w:szCs w:val="22"/>
          <w:bdr w:val="nil"/>
          <w:lang w:val="cs-CZ" w:eastAsia="en-US"/>
        </w:rPr>
        <w:t>mají</w:t>
      </w:r>
      <w:r w:rsidRPr="0028273C">
        <w:rPr>
          <w:color w:val="000000"/>
          <w:szCs w:val="22"/>
          <w:bdr w:val="nil"/>
          <w:lang w:val="cs-CZ" w:eastAsia="en-US"/>
        </w:rPr>
        <w:t xml:space="preserve"> </w:t>
      </w:r>
      <w:r w:rsidRPr="0028273C">
        <w:rPr>
          <w:color w:val="000000"/>
          <w:bdr w:val="nil"/>
          <w:lang w:val="cs-CZ"/>
        </w:rPr>
        <w:t>provádět</w:t>
      </w:r>
      <w:r w:rsidRPr="0028273C">
        <w:rPr>
          <w:color w:val="000000"/>
          <w:szCs w:val="22"/>
          <w:bdr w:val="nil"/>
          <w:lang w:val="cs-CZ" w:eastAsia="en-US"/>
        </w:rPr>
        <w:t xml:space="preserve"> kontrolu svých postupů s ohledem na přesnost. </w:t>
      </w:r>
      <w:r w:rsidR="00264D1E">
        <w:rPr>
          <w:szCs w:val="22"/>
          <w:bdr w:val="nil"/>
          <w:lang w:val="cs-CZ" w:eastAsia="en-US"/>
        </w:rPr>
        <w:t>S</w:t>
      </w:r>
      <w:r w:rsidRPr="0028273C">
        <w:rPr>
          <w:szCs w:val="22"/>
          <w:bdr w:val="nil"/>
          <w:lang w:val="cs-CZ" w:eastAsia="en-US"/>
        </w:rPr>
        <w:t>tudie</w:t>
      </w:r>
      <w:r w:rsidR="00264D1E">
        <w:rPr>
          <w:szCs w:val="22"/>
          <w:bdr w:val="nil"/>
          <w:lang w:val="cs-CZ" w:eastAsia="en-US"/>
        </w:rPr>
        <w:t xml:space="preserve"> z praxe</w:t>
      </w:r>
      <w:r w:rsidRPr="0028273C">
        <w:rPr>
          <w:szCs w:val="22"/>
          <w:bdr w:val="nil"/>
          <w:lang w:val="cs-CZ" w:eastAsia="en-US"/>
        </w:rPr>
        <w:t xml:space="preserve"> ukázala, že aktivita faktoru</w:t>
      </w:r>
      <w:r w:rsidR="008B7C0A" w:rsidRPr="0028273C">
        <w:rPr>
          <w:szCs w:val="22"/>
          <w:bdr w:val="nil"/>
          <w:lang w:val="cs-CZ" w:eastAsia="en-US"/>
        </w:rPr>
        <w:t> </w:t>
      </w:r>
      <w:r w:rsidRPr="0028273C">
        <w:rPr>
          <w:szCs w:val="22"/>
          <w:bdr w:val="nil"/>
          <w:lang w:val="cs-CZ" w:eastAsia="en-US"/>
        </w:rPr>
        <w:t xml:space="preserve">VIII přípravku </w:t>
      </w:r>
      <w:proofErr w:type="spellStart"/>
      <w:r w:rsidRPr="0028273C">
        <w:rPr>
          <w:szCs w:val="22"/>
          <w:bdr w:val="nil"/>
          <w:lang w:val="cs-CZ" w:eastAsia="en-US"/>
        </w:rPr>
        <w:t>Jivi</w:t>
      </w:r>
      <w:proofErr w:type="spellEnd"/>
      <w:r w:rsidRPr="0028273C">
        <w:rPr>
          <w:szCs w:val="22"/>
          <w:bdr w:val="nil"/>
          <w:lang w:val="cs-CZ" w:eastAsia="en-US"/>
        </w:rPr>
        <w:t xml:space="preserve"> může být přesně </w:t>
      </w:r>
      <w:r w:rsidRPr="0028273C">
        <w:rPr>
          <w:bdr w:val="nil"/>
          <w:lang w:val="cs-CZ"/>
        </w:rPr>
        <w:t>z</w:t>
      </w:r>
      <w:r w:rsidRPr="0028273C">
        <w:rPr>
          <w:szCs w:val="22"/>
          <w:bdr w:val="nil"/>
          <w:lang w:val="cs-CZ" w:eastAsia="en-US"/>
        </w:rPr>
        <w:t xml:space="preserve">měřena v plazmě </w:t>
      </w:r>
      <w:r w:rsidR="00A44BAB">
        <w:rPr>
          <w:szCs w:val="22"/>
          <w:bdr w:val="nil"/>
          <w:lang w:val="cs-CZ" w:eastAsia="en-US"/>
        </w:rPr>
        <w:t>pomocí</w:t>
      </w:r>
      <w:r w:rsidRPr="0028273C">
        <w:rPr>
          <w:szCs w:val="22"/>
          <w:bdr w:val="nil"/>
          <w:lang w:val="cs-CZ" w:eastAsia="en-US"/>
        </w:rPr>
        <w:t xml:space="preserve"> validovaného </w:t>
      </w:r>
      <w:r w:rsidR="00984AB2">
        <w:rPr>
          <w:szCs w:val="22"/>
          <w:bdr w:val="nil"/>
          <w:lang w:val="cs-CZ" w:eastAsia="en-US"/>
        </w:rPr>
        <w:t>chromogenního</w:t>
      </w:r>
      <w:r w:rsidR="00A44BAB">
        <w:rPr>
          <w:szCs w:val="22"/>
          <w:bdr w:val="nil"/>
          <w:lang w:val="cs-CZ" w:eastAsia="en-US"/>
        </w:rPr>
        <w:t xml:space="preserve"> testu</w:t>
      </w:r>
      <w:r w:rsidRPr="0028273C">
        <w:rPr>
          <w:szCs w:val="22"/>
          <w:bdr w:val="nil"/>
          <w:lang w:val="cs-CZ" w:eastAsia="en-US"/>
        </w:rPr>
        <w:t xml:space="preserve"> nebo </w:t>
      </w:r>
      <w:r w:rsidR="000B3FAC" w:rsidRPr="0028273C">
        <w:rPr>
          <w:szCs w:val="22"/>
          <w:bdr w:val="nil"/>
          <w:lang w:val="cs-CZ" w:eastAsia="en-US"/>
        </w:rPr>
        <w:t>jedno</w:t>
      </w:r>
      <w:r w:rsidR="000B3FAC" w:rsidRPr="0028273C">
        <w:rPr>
          <w:bdr w:val="nil"/>
          <w:lang w:val="cs-CZ"/>
        </w:rPr>
        <w:t>stupňového</w:t>
      </w:r>
      <w:r w:rsidRPr="0028273C">
        <w:rPr>
          <w:szCs w:val="22"/>
          <w:bdr w:val="nil"/>
          <w:lang w:val="cs-CZ" w:eastAsia="en-US"/>
        </w:rPr>
        <w:t xml:space="preserve"> testu</w:t>
      </w:r>
      <w:r w:rsidRPr="0028273C">
        <w:rPr>
          <w:bdr w:val="nil"/>
          <w:lang w:val="cs-CZ"/>
        </w:rPr>
        <w:t xml:space="preserve"> srážlivosti</w:t>
      </w:r>
      <w:r w:rsidRPr="0028273C">
        <w:rPr>
          <w:szCs w:val="22"/>
          <w:bdr w:val="nil"/>
          <w:lang w:val="cs-CZ" w:eastAsia="en-US"/>
        </w:rPr>
        <w:t xml:space="preserve"> s použitím specifických </w:t>
      </w:r>
      <w:r w:rsidR="001A5D70">
        <w:rPr>
          <w:szCs w:val="22"/>
          <w:bdr w:val="nil"/>
          <w:lang w:val="cs-CZ" w:eastAsia="en-US"/>
        </w:rPr>
        <w:t>reagencií</w:t>
      </w:r>
      <w:r w:rsidRPr="0028273C">
        <w:rPr>
          <w:szCs w:val="22"/>
          <w:bdr w:val="nil"/>
          <w:lang w:val="cs-CZ" w:eastAsia="en-US"/>
        </w:rPr>
        <w:t xml:space="preserve">. U přípravku </w:t>
      </w:r>
      <w:proofErr w:type="spellStart"/>
      <w:r w:rsidRPr="0028273C">
        <w:rPr>
          <w:szCs w:val="22"/>
          <w:bdr w:val="nil"/>
          <w:lang w:val="cs-CZ" w:eastAsia="en-US"/>
        </w:rPr>
        <w:t>Jivi</w:t>
      </w:r>
      <w:proofErr w:type="spellEnd"/>
      <w:r w:rsidRPr="0028273C">
        <w:rPr>
          <w:szCs w:val="22"/>
          <w:bdr w:val="nil"/>
          <w:lang w:val="cs-CZ" w:eastAsia="en-US"/>
        </w:rPr>
        <w:t xml:space="preserve"> mohou některé testy na bázi </w:t>
      </w:r>
      <w:r w:rsidR="004761B4">
        <w:rPr>
          <w:szCs w:val="22"/>
          <w:bdr w:val="nil"/>
          <w:lang w:val="cs-CZ" w:eastAsia="en-US"/>
        </w:rPr>
        <w:t>křemíku</w:t>
      </w:r>
      <w:r w:rsidRPr="0028273C">
        <w:rPr>
          <w:szCs w:val="22"/>
          <w:bdr w:val="nil"/>
          <w:lang w:val="cs-CZ" w:eastAsia="en-US"/>
        </w:rPr>
        <w:t xml:space="preserve"> (např. APTT</w:t>
      </w:r>
      <w:r w:rsidR="008B7C0A" w:rsidRPr="0028273C">
        <w:rPr>
          <w:szCs w:val="22"/>
          <w:bdr w:val="nil"/>
          <w:lang w:val="cs-CZ" w:eastAsia="en-US"/>
        </w:rPr>
        <w:noBreakHyphen/>
      </w:r>
      <w:r w:rsidRPr="0028273C">
        <w:rPr>
          <w:szCs w:val="22"/>
          <w:bdr w:val="nil"/>
          <w:lang w:val="cs-CZ" w:eastAsia="en-US"/>
        </w:rPr>
        <w:t>SP, STA</w:t>
      </w:r>
      <w:r w:rsidR="008B7C0A" w:rsidRPr="0028273C">
        <w:rPr>
          <w:szCs w:val="22"/>
          <w:bdr w:val="nil"/>
          <w:lang w:val="cs-CZ" w:eastAsia="en-US"/>
        </w:rPr>
        <w:noBreakHyphen/>
      </w:r>
      <w:r w:rsidRPr="0028273C">
        <w:rPr>
          <w:szCs w:val="22"/>
          <w:bdr w:val="nil"/>
          <w:lang w:val="cs-CZ" w:eastAsia="en-US"/>
        </w:rPr>
        <w:t>PTT) podhodnotit aktivitu faktoru</w:t>
      </w:r>
      <w:r w:rsidR="008B7C0A" w:rsidRPr="0028273C">
        <w:rPr>
          <w:szCs w:val="22"/>
          <w:bdr w:val="nil"/>
          <w:lang w:val="cs-CZ" w:eastAsia="en-US"/>
        </w:rPr>
        <w:t> </w:t>
      </w:r>
      <w:r w:rsidRPr="0028273C">
        <w:rPr>
          <w:szCs w:val="22"/>
          <w:bdr w:val="nil"/>
          <w:lang w:val="cs-CZ" w:eastAsia="en-US"/>
        </w:rPr>
        <w:t xml:space="preserve">VIII v přípravku </w:t>
      </w:r>
      <w:proofErr w:type="spellStart"/>
      <w:r w:rsidRPr="0028273C">
        <w:rPr>
          <w:szCs w:val="22"/>
          <w:bdr w:val="nil"/>
          <w:lang w:val="cs-CZ" w:eastAsia="en-US"/>
        </w:rPr>
        <w:t>Jivi</w:t>
      </w:r>
      <w:proofErr w:type="spellEnd"/>
      <w:r w:rsidRPr="0028273C">
        <w:rPr>
          <w:szCs w:val="22"/>
          <w:bdr w:val="nil"/>
          <w:lang w:val="cs-CZ" w:eastAsia="en-US"/>
        </w:rPr>
        <w:t xml:space="preserve"> ve </w:t>
      </w:r>
      <w:r w:rsidRPr="0028273C">
        <w:rPr>
          <w:color w:val="000000"/>
          <w:szCs w:val="22"/>
          <w:bdr w:val="nil"/>
          <w:lang w:val="cs-CZ" w:eastAsia="en-US"/>
        </w:rPr>
        <w:t xml:space="preserve">vzorcích plazmy; </w:t>
      </w:r>
      <w:r w:rsidR="005C7D65" w:rsidRPr="0028273C">
        <w:rPr>
          <w:color w:val="000000"/>
          <w:szCs w:val="22"/>
          <w:bdr w:val="nil"/>
          <w:lang w:val="cs-CZ" w:eastAsia="en-US"/>
        </w:rPr>
        <w:t xml:space="preserve">některá </w:t>
      </w:r>
      <w:r w:rsidR="005F228C">
        <w:rPr>
          <w:color w:val="000000"/>
          <w:szCs w:val="22"/>
          <w:bdr w:val="nil"/>
          <w:lang w:val="cs-CZ" w:eastAsia="en-US"/>
        </w:rPr>
        <w:t>reagencia</w:t>
      </w:r>
      <w:r w:rsidRPr="0028273C">
        <w:rPr>
          <w:color w:val="000000"/>
          <w:szCs w:val="22"/>
          <w:bdr w:val="nil"/>
          <w:lang w:val="cs-CZ" w:eastAsia="en-US"/>
        </w:rPr>
        <w:t>,</w:t>
      </w:r>
      <w:r w:rsidR="005C7D65" w:rsidRPr="0028273C">
        <w:rPr>
          <w:color w:val="000000"/>
          <w:szCs w:val="22"/>
          <w:bdr w:val="nil"/>
          <w:lang w:val="cs-CZ" w:eastAsia="en-US"/>
        </w:rPr>
        <w:t xml:space="preserve"> např. s aktivátory na bázi</w:t>
      </w:r>
      <w:r w:rsidRPr="0028273C">
        <w:rPr>
          <w:color w:val="000000"/>
          <w:szCs w:val="22"/>
          <w:bdr w:val="nil"/>
          <w:lang w:val="cs-CZ" w:eastAsia="en-US"/>
        </w:rPr>
        <w:t xml:space="preserve"> kaolin</w:t>
      </w:r>
      <w:r w:rsidR="005C7D65" w:rsidRPr="0028273C">
        <w:rPr>
          <w:color w:val="000000"/>
          <w:szCs w:val="22"/>
          <w:bdr w:val="nil"/>
          <w:lang w:val="cs-CZ" w:eastAsia="en-US"/>
        </w:rPr>
        <w:t>u</w:t>
      </w:r>
      <w:r w:rsidRPr="0028273C">
        <w:rPr>
          <w:color w:val="000000"/>
          <w:szCs w:val="22"/>
          <w:bdr w:val="nil"/>
          <w:lang w:val="cs-CZ" w:eastAsia="en-US"/>
        </w:rPr>
        <w:t>, mají potenciál k nadhodnocení.</w:t>
      </w:r>
    </w:p>
    <w:p w14:paraId="0DD2C35A" w14:textId="77777777" w:rsidR="008B7C0A" w:rsidRPr="0028273C" w:rsidRDefault="008B7C0A" w:rsidP="00735457">
      <w:pPr>
        <w:tabs>
          <w:tab w:val="clear" w:pos="567"/>
        </w:tabs>
        <w:autoSpaceDE w:val="0"/>
        <w:autoSpaceDN w:val="0"/>
        <w:adjustRightInd w:val="0"/>
        <w:rPr>
          <w:szCs w:val="22"/>
          <w:bdr w:val="nil"/>
          <w:lang w:val="cs-CZ" w:eastAsia="en-US"/>
        </w:rPr>
      </w:pPr>
    </w:p>
    <w:p w14:paraId="699D0020" w14:textId="77777777" w:rsidR="00A33056" w:rsidRPr="0028273C" w:rsidRDefault="00D113DE" w:rsidP="00735457">
      <w:pPr>
        <w:tabs>
          <w:tab w:val="clear" w:pos="567"/>
        </w:tabs>
        <w:autoSpaceDE w:val="0"/>
        <w:autoSpaceDN w:val="0"/>
        <w:adjustRightInd w:val="0"/>
        <w:rPr>
          <w:snapToGrid w:val="0"/>
          <w:szCs w:val="22"/>
          <w:lang w:val="cs-CZ"/>
        </w:rPr>
      </w:pPr>
      <w:r w:rsidRPr="0028273C">
        <w:rPr>
          <w:szCs w:val="22"/>
          <w:bdr w:val="nil"/>
          <w:lang w:val="cs-CZ" w:eastAsia="en-US"/>
        </w:rPr>
        <w:t>Klinický účinek faktoru</w:t>
      </w:r>
      <w:r w:rsidR="008B7C0A" w:rsidRPr="0028273C">
        <w:rPr>
          <w:szCs w:val="22"/>
          <w:bdr w:val="nil"/>
          <w:lang w:val="cs-CZ" w:eastAsia="en-US"/>
        </w:rPr>
        <w:t> </w:t>
      </w:r>
      <w:r w:rsidRPr="0028273C">
        <w:rPr>
          <w:szCs w:val="22"/>
          <w:bdr w:val="nil"/>
          <w:lang w:val="cs-CZ" w:eastAsia="en-US"/>
        </w:rPr>
        <w:t xml:space="preserve">VIII je nejdůležitějším prvkem v hodnocení účinnosti léčby. </w:t>
      </w:r>
      <w:r w:rsidR="008B7C0A" w:rsidRPr="0028273C">
        <w:rPr>
          <w:szCs w:val="22"/>
          <w:bdr w:val="nil"/>
          <w:lang w:val="cs-CZ" w:eastAsia="en-US"/>
        </w:rPr>
        <w:t>Pro dosažení uspokojivých klinických výsledků m</w:t>
      </w:r>
      <w:r w:rsidR="005C7D65" w:rsidRPr="0028273C">
        <w:rPr>
          <w:szCs w:val="22"/>
          <w:bdr w:val="nil"/>
          <w:lang w:val="cs-CZ" w:eastAsia="en-US"/>
        </w:rPr>
        <w:t xml:space="preserve">ůže být nutné upravit individuální dávkování </w:t>
      </w:r>
      <w:r w:rsidR="00055371">
        <w:rPr>
          <w:szCs w:val="22"/>
          <w:bdr w:val="nil"/>
          <w:lang w:val="cs-CZ" w:eastAsia="en-US"/>
        </w:rPr>
        <w:t xml:space="preserve">potřebám </w:t>
      </w:r>
      <w:r w:rsidR="005C7D65" w:rsidRPr="0028273C">
        <w:rPr>
          <w:szCs w:val="22"/>
          <w:bdr w:val="nil"/>
          <w:lang w:val="cs-CZ" w:eastAsia="en-US"/>
        </w:rPr>
        <w:t xml:space="preserve">pacienta. </w:t>
      </w:r>
      <w:r w:rsidRPr="0028273C">
        <w:rPr>
          <w:szCs w:val="22"/>
          <w:bdr w:val="nil"/>
          <w:lang w:val="cs-CZ" w:eastAsia="en-US"/>
        </w:rPr>
        <w:t>Pokud vypočtená dávka nedosáhne očekávaných hladin faktoru</w:t>
      </w:r>
      <w:r w:rsidR="00C512D4" w:rsidRPr="0028273C">
        <w:rPr>
          <w:szCs w:val="22"/>
          <w:bdr w:val="nil"/>
          <w:lang w:val="cs-CZ" w:eastAsia="en-US"/>
        </w:rPr>
        <w:t> </w:t>
      </w:r>
      <w:r w:rsidRPr="0028273C">
        <w:rPr>
          <w:szCs w:val="22"/>
          <w:bdr w:val="nil"/>
          <w:lang w:val="cs-CZ" w:eastAsia="en-US"/>
        </w:rPr>
        <w:t>VIII nebo pokud není krvácení kontrolováno po podání vypočtené dávky, má být předpokládána přítomnost cirkulujícího inhibitoru faktoru</w:t>
      </w:r>
      <w:r w:rsidR="00C512D4" w:rsidRPr="0028273C">
        <w:rPr>
          <w:szCs w:val="22"/>
          <w:bdr w:val="nil"/>
          <w:lang w:val="cs-CZ" w:eastAsia="en-US"/>
        </w:rPr>
        <w:t> </w:t>
      </w:r>
      <w:r w:rsidRPr="0028273C">
        <w:rPr>
          <w:szCs w:val="22"/>
          <w:bdr w:val="nil"/>
          <w:lang w:val="cs-CZ" w:eastAsia="en-US"/>
        </w:rPr>
        <w:t>VIII nebo anti-PEG protilátek (viz bod</w:t>
      </w:r>
      <w:r w:rsidR="00BD244F" w:rsidRPr="0028273C">
        <w:rPr>
          <w:szCs w:val="22"/>
          <w:bdr w:val="nil"/>
          <w:lang w:val="cs-CZ" w:eastAsia="en-US"/>
        </w:rPr>
        <w:t> </w:t>
      </w:r>
      <w:r w:rsidRPr="0028273C">
        <w:rPr>
          <w:szCs w:val="22"/>
          <w:bdr w:val="nil"/>
          <w:lang w:val="cs-CZ" w:eastAsia="en-US"/>
        </w:rPr>
        <w:t>4.</w:t>
      </w:r>
      <w:r w:rsidR="005C7D65" w:rsidRPr="0028273C">
        <w:rPr>
          <w:szCs w:val="22"/>
          <w:bdr w:val="nil"/>
          <w:lang w:val="cs-CZ" w:eastAsia="en-US"/>
        </w:rPr>
        <w:t>4</w:t>
      </w:r>
      <w:r w:rsidRPr="0028273C">
        <w:rPr>
          <w:szCs w:val="22"/>
          <w:bdr w:val="nil"/>
          <w:lang w:val="cs-CZ" w:eastAsia="en-US"/>
        </w:rPr>
        <w:t>).</w:t>
      </w:r>
    </w:p>
    <w:p w14:paraId="471AC0D0" w14:textId="77777777" w:rsidR="00116AB9" w:rsidRPr="0028273C" w:rsidRDefault="00116AB9" w:rsidP="00735457">
      <w:pPr>
        <w:tabs>
          <w:tab w:val="clear" w:pos="567"/>
        </w:tabs>
        <w:rPr>
          <w:szCs w:val="22"/>
          <w:lang w:val="cs-CZ"/>
        </w:rPr>
      </w:pPr>
    </w:p>
    <w:p w14:paraId="6863C8B2" w14:textId="77777777" w:rsidR="00DD6503" w:rsidRPr="0028273C" w:rsidRDefault="00436E93" w:rsidP="00735457">
      <w:pPr>
        <w:keepNext/>
        <w:keepLines/>
        <w:tabs>
          <w:tab w:val="clear" w:pos="567"/>
        </w:tabs>
        <w:jc w:val="both"/>
        <w:rPr>
          <w:szCs w:val="22"/>
          <w:u w:val="single"/>
          <w:lang w:val="cs-CZ"/>
        </w:rPr>
      </w:pPr>
      <w:r w:rsidRPr="0028273C">
        <w:rPr>
          <w:szCs w:val="22"/>
          <w:u w:val="single"/>
          <w:lang w:val="cs-CZ"/>
        </w:rPr>
        <w:lastRenderedPageBreak/>
        <w:t>Dávkování</w:t>
      </w:r>
    </w:p>
    <w:p w14:paraId="57174C66" w14:textId="77777777" w:rsidR="00DD6503" w:rsidRPr="0028273C" w:rsidRDefault="00DD6503" w:rsidP="00735457">
      <w:pPr>
        <w:keepNext/>
        <w:keepLines/>
        <w:tabs>
          <w:tab w:val="clear" w:pos="567"/>
        </w:tabs>
        <w:rPr>
          <w:szCs w:val="22"/>
          <w:lang w:val="cs-CZ"/>
        </w:rPr>
      </w:pPr>
    </w:p>
    <w:p w14:paraId="33DAC8EF" w14:textId="77777777" w:rsidR="00436E93" w:rsidRDefault="00436E93" w:rsidP="00735457">
      <w:pPr>
        <w:rPr>
          <w:szCs w:val="22"/>
          <w:lang w:val="cs-CZ"/>
        </w:rPr>
      </w:pPr>
      <w:r w:rsidRPr="0028273C">
        <w:rPr>
          <w:szCs w:val="22"/>
          <w:lang w:val="cs-CZ"/>
        </w:rPr>
        <w:t>Dávka a délka substituční léčby závisí na závažnosti deficitu faktoru VIII, na lokalizaci a rozsahu krvácení a na klinickém stavu pacienta.</w:t>
      </w:r>
    </w:p>
    <w:p w14:paraId="40D4C80F" w14:textId="77777777" w:rsidR="00CA5AA9" w:rsidRPr="0028273C" w:rsidRDefault="00CA5AA9" w:rsidP="00735457">
      <w:pPr>
        <w:rPr>
          <w:szCs w:val="22"/>
          <w:lang w:val="cs-CZ"/>
        </w:rPr>
      </w:pPr>
    </w:p>
    <w:p w14:paraId="6B5B5788" w14:textId="77777777" w:rsidR="00DD6503" w:rsidRPr="0028273C" w:rsidRDefault="00436E93" w:rsidP="00735457">
      <w:pPr>
        <w:tabs>
          <w:tab w:val="clear" w:pos="567"/>
        </w:tabs>
        <w:rPr>
          <w:szCs w:val="22"/>
          <w:lang w:val="cs-CZ"/>
        </w:rPr>
      </w:pPr>
      <w:r w:rsidRPr="0028273C">
        <w:rPr>
          <w:lang w:val="cs-CZ"/>
        </w:rPr>
        <w:t>Počet jednotek podaného faktoru VIII je vyjádřen v mezinárodních jednotkách (IU), které jsou odvozeny od současné normy WHO pro přípravky s faktorem VIII. Plazmatická aktivita faktoru VIII je vyjádřena buď jako procento (vztažené k normální lidské plazmě), nebo v mezinárodních jednotkách (odvozených z mezinárodní normy pro faktor VIII v plazmě).</w:t>
      </w:r>
    </w:p>
    <w:p w14:paraId="2A39ED06" w14:textId="77777777" w:rsidR="00DD6503" w:rsidRPr="0028273C" w:rsidRDefault="00DD6503" w:rsidP="00735457">
      <w:pPr>
        <w:tabs>
          <w:tab w:val="clear" w:pos="567"/>
        </w:tabs>
        <w:rPr>
          <w:szCs w:val="22"/>
          <w:lang w:val="cs-CZ"/>
        </w:rPr>
      </w:pPr>
    </w:p>
    <w:p w14:paraId="0B46D952" w14:textId="77777777" w:rsidR="009378D3" w:rsidRPr="0028273C" w:rsidRDefault="00436E93" w:rsidP="00735457">
      <w:pPr>
        <w:pStyle w:val="BayerBodyTextFull"/>
        <w:spacing w:before="0" w:after="0"/>
        <w:rPr>
          <w:sz w:val="22"/>
          <w:szCs w:val="22"/>
          <w:lang w:val="cs-CZ"/>
        </w:rPr>
      </w:pPr>
      <w:r w:rsidRPr="0028273C">
        <w:rPr>
          <w:sz w:val="22"/>
          <w:szCs w:val="22"/>
          <w:lang w:val="cs-CZ"/>
        </w:rPr>
        <w:t>Aktivita jedné mezinárodní jednotky (IU) faktoru VIII odpovídá množství faktoru VIII obsaženému v jednom ml normální lidské plazmy.</w:t>
      </w:r>
    </w:p>
    <w:p w14:paraId="380BE5F9" w14:textId="77777777" w:rsidR="009378D3" w:rsidRPr="0028273C" w:rsidRDefault="009378D3" w:rsidP="00735457">
      <w:pPr>
        <w:tabs>
          <w:tab w:val="clear" w:pos="567"/>
        </w:tabs>
        <w:rPr>
          <w:szCs w:val="22"/>
          <w:lang w:val="cs-CZ"/>
        </w:rPr>
      </w:pPr>
    </w:p>
    <w:p w14:paraId="3B824A5D" w14:textId="77777777" w:rsidR="00DD6503" w:rsidRPr="0028273C" w:rsidRDefault="00436E93" w:rsidP="00735457">
      <w:pPr>
        <w:keepNext/>
        <w:keepLines/>
        <w:tabs>
          <w:tab w:val="clear" w:pos="567"/>
        </w:tabs>
        <w:rPr>
          <w:i/>
          <w:szCs w:val="22"/>
          <w:lang w:val="cs-CZ"/>
        </w:rPr>
      </w:pPr>
      <w:r w:rsidRPr="0028273C">
        <w:rPr>
          <w:i/>
          <w:szCs w:val="22"/>
          <w:lang w:val="cs-CZ"/>
        </w:rPr>
        <w:t>Léčba podle potřeby</w:t>
      </w:r>
    </w:p>
    <w:p w14:paraId="106BA183" w14:textId="77777777" w:rsidR="00DD6503" w:rsidRPr="0028273C" w:rsidRDefault="00DD6503" w:rsidP="00735457">
      <w:pPr>
        <w:keepNext/>
        <w:keepLines/>
        <w:tabs>
          <w:tab w:val="clear" w:pos="567"/>
        </w:tabs>
        <w:rPr>
          <w:szCs w:val="22"/>
          <w:lang w:val="cs-CZ"/>
        </w:rPr>
      </w:pPr>
    </w:p>
    <w:p w14:paraId="0C1FDC42" w14:textId="77777777" w:rsidR="00DD6503" w:rsidRPr="0028273C" w:rsidRDefault="00436E93" w:rsidP="00735457">
      <w:pPr>
        <w:keepNext/>
        <w:rPr>
          <w:szCs w:val="22"/>
          <w:lang w:val="cs-CZ"/>
        </w:rPr>
      </w:pPr>
      <w:r w:rsidRPr="0028273C">
        <w:rPr>
          <w:lang w:val="cs-CZ"/>
        </w:rPr>
        <w:t>Výpočet požadované dávky faktoru VIII vychází z empirické zkušenosti, že 1 mezinárodní jednotka (IU) faktoru VIII na jeden kg tělesné hmotnosti zvyšuje aktivitu plazmatického faktoru VIII o 1,5 %</w:t>
      </w:r>
      <w:r w:rsidR="00EB13C8" w:rsidRPr="0028273C">
        <w:rPr>
          <w:lang w:val="cs-CZ"/>
        </w:rPr>
        <w:t xml:space="preserve"> </w:t>
      </w:r>
      <w:r w:rsidR="005A7919" w:rsidRPr="0028273C">
        <w:rPr>
          <w:lang w:val="cs-CZ"/>
        </w:rPr>
        <w:t>–</w:t>
      </w:r>
      <w:r w:rsidRPr="0028273C">
        <w:rPr>
          <w:lang w:val="cs-CZ"/>
        </w:rPr>
        <w:t xml:space="preserve"> 2,5 % normální aktivity.</w:t>
      </w:r>
      <w:r w:rsidR="005A7919" w:rsidRPr="0028273C">
        <w:rPr>
          <w:lang w:val="cs-CZ"/>
        </w:rPr>
        <w:t xml:space="preserve"> </w:t>
      </w:r>
      <w:r w:rsidRPr="0028273C">
        <w:rPr>
          <w:lang w:val="cs-CZ"/>
        </w:rPr>
        <w:t>Požadovaná dávka se určí pomocí následujícího vzorce:</w:t>
      </w:r>
    </w:p>
    <w:p w14:paraId="3D519643" w14:textId="77777777" w:rsidR="00DD6503" w:rsidRPr="0028273C" w:rsidRDefault="00DD6503" w:rsidP="00735457">
      <w:pPr>
        <w:tabs>
          <w:tab w:val="clear" w:pos="567"/>
        </w:tabs>
        <w:rPr>
          <w:szCs w:val="22"/>
          <w:lang w:val="cs-CZ"/>
        </w:rPr>
      </w:pPr>
    </w:p>
    <w:p w14:paraId="7DFE4A59" w14:textId="175012D7" w:rsidR="00436E93" w:rsidRPr="0028273C" w:rsidRDefault="00436E93" w:rsidP="00735457">
      <w:pPr>
        <w:keepNext/>
        <w:rPr>
          <w:szCs w:val="22"/>
          <w:lang w:val="cs-CZ"/>
        </w:rPr>
      </w:pPr>
      <w:r w:rsidRPr="0028273C">
        <w:rPr>
          <w:szCs w:val="22"/>
          <w:lang w:val="cs-CZ"/>
        </w:rPr>
        <w:t xml:space="preserve">Požadované jednotky = tělesná hmotnost (kg) x požadované zvýšení faktoru VIII (% nebo IU/dl) x reciproční hodnota pozorovaného </w:t>
      </w:r>
      <w:r w:rsidR="00FA4225">
        <w:rPr>
          <w:szCs w:val="22"/>
          <w:lang w:val="cs-CZ"/>
        </w:rPr>
        <w:t>zotavení</w:t>
      </w:r>
      <w:r w:rsidR="004B080A">
        <w:rPr>
          <w:szCs w:val="22"/>
          <w:lang w:val="cs-CZ"/>
        </w:rPr>
        <w:t xml:space="preserve"> </w:t>
      </w:r>
      <w:r w:rsidRPr="0028273C">
        <w:rPr>
          <w:szCs w:val="22"/>
          <w:lang w:val="cs-CZ"/>
        </w:rPr>
        <w:t xml:space="preserve">(tj. 0,5 pro </w:t>
      </w:r>
      <w:r w:rsidR="00FA4225">
        <w:rPr>
          <w:szCs w:val="22"/>
          <w:lang w:val="cs-CZ"/>
        </w:rPr>
        <w:t xml:space="preserve">zotavení </w:t>
      </w:r>
      <w:r w:rsidRPr="0028273C">
        <w:rPr>
          <w:szCs w:val="22"/>
          <w:lang w:val="cs-CZ"/>
        </w:rPr>
        <w:t>2,0 %).</w:t>
      </w:r>
    </w:p>
    <w:p w14:paraId="1F773983" w14:textId="77777777" w:rsidR="00436E93" w:rsidRPr="0028273C" w:rsidRDefault="00436E93" w:rsidP="00735457">
      <w:pPr>
        <w:rPr>
          <w:szCs w:val="22"/>
          <w:lang w:val="cs-CZ"/>
        </w:rPr>
      </w:pPr>
    </w:p>
    <w:p w14:paraId="3BE60FC3" w14:textId="77777777" w:rsidR="00436E93" w:rsidRPr="0028273C" w:rsidRDefault="00436E93" w:rsidP="00735457">
      <w:pPr>
        <w:keepNext/>
        <w:keepLines/>
        <w:rPr>
          <w:szCs w:val="22"/>
          <w:lang w:val="cs-CZ"/>
        </w:rPr>
      </w:pPr>
      <w:r w:rsidRPr="0028273C">
        <w:rPr>
          <w:szCs w:val="22"/>
          <w:lang w:val="cs-CZ"/>
        </w:rPr>
        <w:t>Podané množství a frekvence podávání mají být vždy zacíleny na klinickou účinnost požadovanou v individuálním případě.</w:t>
      </w:r>
    </w:p>
    <w:p w14:paraId="03F77606" w14:textId="77777777" w:rsidR="00436E93" w:rsidRPr="0028273C" w:rsidRDefault="00436E93" w:rsidP="00735457">
      <w:pPr>
        <w:rPr>
          <w:szCs w:val="22"/>
          <w:lang w:val="cs-CZ"/>
        </w:rPr>
      </w:pPr>
    </w:p>
    <w:p w14:paraId="4C338558" w14:textId="4885DF21" w:rsidR="005A7919" w:rsidRDefault="00436E93" w:rsidP="00735457">
      <w:pPr>
        <w:tabs>
          <w:tab w:val="clear" w:pos="567"/>
        </w:tabs>
        <w:rPr>
          <w:lang w:val="cs-CZ"/>
        </w:rPr>
      </w:pPr>
      <w:r w:rsidRPr="0028273C">
        <w:rPr>
          <w:lang w:val="cs-CZ"/>
        </w:rPr>
        <w:t xml:space="preserve">V případě následujících </w:t>
      </w:r>
      <w:r w:rsidR="00E019BA">
        <w:rPr>
          <w:lang w:val="cs-CZ"/>
        </w:rPr>
        <w:t>krvácivých příhod</w:t>
      </w:r>
      <w:r w:rsidR="00E019BA" w:rsidRPr="0028273C" w:rsidDel="00FA4225">
        <w:rPr>
          <w:lang w:val="cs-CZ"/>
        </w:rPr>
        <w:t xml:space="preserve"> </w:t>
      </w:r>
      <w:r w:rsidRPr="0028273C">
        <w:rPr>
          <w:lang w:val="cs-CZ"/>
        </w:rPr>
        <w:t>nemá</w:t>
      </w:r>
      <w:r w:rsidRPr="0028273C">
        <w:rPr>
          <w:shd w:val="clear" w:color="auto" w:fill="FFFFFF"/>
          <w:lang w:val="cs-CZ"/>
        </w:rPr>
        <w:t xml:space="preserve"> aktivita</w:t>
      </w:r>
      <w:r w:rsidRPr="0028273C">
        <w:rPr>
          <w:lang w:val="cs-CZ"/>
        </w:rPr>
        <w:t xml:space="preserve"> faktoru VIII v příslušném období klesnout pod danou hladinu (v % normální hladiny). Následující tabulka může být použita jako návod pro dávkování</w:t>
      </w:r>
      <w:r w:rsidR="003652B5" w:rsidRPr="0028273C">
        <w:rPr>
          <w:lang w:val="cs-CZ"/>
        </w:rPr>
        <w:t xml:space="preserve"> </w:t>
      </w:r>
      <w:r w:rsidR="003652B5" w:rsidRPr="008B1BFD">
        <w:rPr>
          <w:lang w:val="cs-CZ"/>
        </w:rPr>
        <w:t>při krvácivých příhodách a chirurgických výkonech:</w:t>
      </w:r>
    </w:p>
    <w:p w14:paraId="10276467" w14:textId="77777777" w:rsidR="00CF6B39" w:rsidRPr="0028273C" w:rsidRDefault="00CF6B39" w:rsidP="00735457">
      <w:pPr>
        <w:tabs>
          <w:tab w:val="clear" w:pos="567"/>
        </w:tabs>
        <w:rPr>
          <w:szCs w:val="22"/>
          <w:lang w:val="cs-CZ"/>
        </w:rPr>
      </w:pPr>
    </w:p>
    <w:p w14:paraId="6F8F4D9E" w14:textId="53391C08" w:rsidR="00275119" w:rsidRPr="0028273C" w:rsidRDefault="00436E93" w:rsidP="00735457">
      <w:pPr>
        <w:pStyle w:val="Titulek"/>
        <w:keepNext/>
        <w:rPr>
          <w:sz w:val="22"/>
          <w:szCs w:val="22"/>
          <w:lang w:val="cs-CZ"/>
        </w:rPr>
      </w:pPr>
      <w:r w:rsidRPr="0028273C">
        <w:rPr>
          <w:sz w:val="22"/>
          <w:szCs w:val="22"/>
          <w:lang w:val="cs-CZ"/>
        </w:rPr>
        <w:lastRenderedPageBreak/>
        <w:t>Tabulka</w:t>
      </w:r>
      <w:r w:rsidR="000C5D3A" w:rsidRPr="0028273C">
        <w:rPr>
          <w:sz w:val="22"/>
          <w:szCs w:val="22"/>
          <w:lang w:val="cs-CZ"/>
        </w:rPr>
        <w:t> </w:t>
      </w:r>
      <w:r w:rsidR="00244CEF" w:rsidRPr="0028273C">
        <w:rPr>
          <w:sz w:val="22"/>
          <w:szCs w:val="22"/>
          <w:lang w:val="cs-CZ"/>
        </w:rPr>
        <w:fldChar w:fldCharType="begin"/>
      </w:r>
      <w:r w:rsidR="00244CEF" w:rsidRPr="0028273C">
        <w:rPr>
          <w:sz w:val="22"/>
          <w:szCs w:val="22"/>
          <w:lang w:val="cs-CZ"/>
        </w:rPr>
        <w:instrText xml:space="preserve"> SEQ Table \* ARABIC </w:instrText>
      </w:r>
      <w:r w:rsidR="00244CEF" w:rsidRPr="0028273C">
        <w:rPr>
          <w:sz w:val="22"/>
          <w:szCs w:val="22"/>
          <w:lang w:val="cs-CZ"/>
        </w:rPr>
        <w:fldChar w:fldCharType="separate"/>
      </w:r>
      <w:r w:rsidR="00B733CB">
        <w:rPr>
          <w:noProof/>
          <w:sz w:val="22"/>
          <w:szCs w:val="22"/>
          <w:lang w:val="cs-CZ"/>
        </w:rPr>
        <w:t>1</w:t>
      </w:r>
      <w:r w:rsidR="00244CEF" w:rsidRPr="0028273C">
        <w:rPr>
          <w:noProof/>
          <w:sz w:val="22"/>
          <w:szCs w:val="22"/>
          <w:lang w:val="cs-CZ"/>
        </w:rPr>
        <w:fldChar w:fldCharType="end"/>
      </w:r>
      <w:r w:rsidR="00244CEF" w:rsidRPr="0028273C">
        <w:rPr>
          <w:sz w:val="22"/>
          <w:szCs w:val="22"/>
          <w:lang w:val="cs-CZ"/>
        </w:rPr>
        <w:t xml:space="preserve">: </w:t>
      </w:r>
      <w:r w:rsidRPr="0028273C">
        <w:rPr>
          <w:sz w:val="22"/>
          <w:szCs w:val="22"/>
          <w:lang w:val="cs-CZ"/>
        </w:rPr>
        <w:t xml:space="preserve">Návod pro dávkování během krvácivých </w:t>
      </w:r>
      <w:r w:rsidR="00813739">
        <w:rPr>
          <w:sz w:val="22"/>
          <w:szCs w:val="22"/>
          <w:lang w:val="cs-CZ"/>
        </w:rPr>
        <w:t>příhod</w:t>
      </w:r>
      <w:r w:rsidR="00F20EA1">
        <w:rPr>
          <w:sz w:val="22"/>
          <w:szCs w:val="22"/>
          <w:lang w:val="cs-CZ"/>
        </w:rPr>
        <w:t xml:space="preserve"> </w:t>
      </w:r>
      <w:r w:rsidRPr="0028273C">
        <w:rPr>
          <w:sz w:val="22"/>
          <w:szCs w:val="22"/>
          <w:lang w:val="cs-CZ"/>
        </w:rPr>
        <w:t>a chirurgick</w:t>
      </w:r>
      <w:r w:rsidR="00815AEC">
        <w:rPr>
          <w:sz w:val="22"/>
          <w:szCs w:val="22"/>
          <w:lang w:val="cs-CZ"/>
        </w:rPr>
        <w:t>ých výkon</w:t>
      </w:r>
      <w:r w:rsidR="00567A4D">
        <w:rPr>
          <w:sz w:val="22"/>
          <w:szCs w:val="22"/>
          <w:lang w:val="cs-CZ"/>
        </w:rPr>
        <w:t>ů</w:t>
      </w:r>
    </w:p>
    <w:p w14:paraId="67A19FA1" w14:textId="77777777" w:rsidR="00146FBB" w:rsidRPr="0028273C" w:rsidRDefault="00146FBB" w:rsidP="00735457">
      <w:pPr>
        <w:keepNext/>
        <w:rPr>
          <w:szCs w:val="22"/>
          <w:lang w:val="cs-CZ"/>
        </w:rPr>
      </w:pPr>
    </w:p>
    <w:tbl>
      <w:tblPr>
        <w:tblW w:w="9072" w:type="dxa"/>
        <w:tblInd w:w="100" w:type="dxa"/>
        <w:tblBorders>
          <w:top w:val="single" w:sz="6" w:space="0" w:color="000000"/>
          <w:left w:val="single" w:sz="6" w:space="0" w:color="000000"/>
          <w:bottom w:val="single" w:sz="6" w:space="0" w:color="000000"/>
          <w:right w:val="single" w:sz="6" w:space="0" w:color="000000"/>
        </w:tblBorders>
        <w:tblLayout w:type="fixed"/>
        <w:tblCellMar>
          <w:left w:w="100" w:type="dxa"/>
          <w:right w:w="100" w:type="dxa"/>
        </w:tblCellMar>
        <w:tblLook w:val="0000" w:firstRow="0" w:lastRow="0" w:firstColumn="0" w:lastColumn="0" w:noHBand="0" w:noVBand="0"/>
      </w:tblPr>
      <w:tblGrid>
        <w:gridCol w:w="2977"/>
        <w:gridCol w:w="1418"/>
        <w:gridCol w:w="4677"/>
      </w:tblGrid>
      <w:tr w:rsidR="00436E93" w:rsidRPr="00052138" w14:paraId="73BFAB83" w14:textId="77777777" w:rsidTr="00C976BB">
        <w:trPr>
          <w:cantSplit/>
        </w:trPr>
        <w:tc>
          <w:tcPr>
            <w:tcW w:w="2977" w:type="dxa"/>
            <w:tcBorders>
              <w:bottom w:val="single" w:sz="6" w:space="0" w:color="000000"/>
            </w:tcBorders>
            <w:shd w:val="clear" w:color="auto" w:fill="auto"/>
          </w:tcPr>
          <w:p w14:paraId="3E75DFCB" w14:textId="037CE355" w:rsidR="00436E93" w:rsidRPr="0028273C" w:rsidRDefault="00436E93" w:rsidP="00735457">
            <w:pPr>
              <w:keepNext/>
              <w:keepLines/>
              <w:numPr>
                <w:ilvl w:val="12"/>
                <w:numId w:val="0"/>
              </w:numPr>
              <w:jc w:val="center"/>
              <w:rPr>
                <w:b/>
                <w:lang w:val="cs-CZ"/>
              </w:rPr>
            </w:pPr>
            <w:r w:rsidRPr="0028273C">
              <w:rPr>
                <w:b/>
                <w:lang w:val="cs-CZ"/>
              </w:rPr>
              <w:t>Stupeň krvácení /</w:t>
            </w:r>
            <w:r w:rsidR="00850A0A" w:rsidRPr="0028273C">
              <w:rPr>
                <w:b/>
                <w:lang w:val="cs-CZ"/>
              </w:rPr>
              <w:t xml:space="preserve"> </w:t>
            </w:r>
            <w:r w:rsidRPr="0028273C">
              <w:rPr>
                <w:b/>
                <w:lang w:val="cs-CZ"/>
              </w:rPr>
              <w:t xml:space="preserve">Typ chirurgického </w:t>
            </w:r>
            <w:r w:rsidR="005358F0">
              <w:rPr>
                <w:b/>
                <w:lang w:val="cs-CZ"/>
              </w:rPr>
              <w:t>výkonu</w:t>
            </w:r>
          </w:p>
        </w:tc>
        <w:tc>
          <w:tcPr>
            <w:tcW w:w="1418" w:type="dxa"/>
            <w:tcBorders>
              <w:bottom w:val="single" w:sz="6" w:space="0" w:color="000000"/>
            </w:tcBorders>
            <w:shd w:val="clear" w:color="auto" w:fill="auto"/>
          </w:tcPr>
          <w:p w14:paraId="4B1755B2" w14:textId="77777777" w:rsidR="00436E93" w:rsidRPr="0028273C" w:rsidRDefault="00436E93" w:rsidP="00735457">
            <w:pPr>
              <w:keepNext/>
              <w:keepLines/>
              <w:numPr>
                <w:ilvl w:val="12"/>
                <w:numId w:val="0"/>
              </w:numPr>
              <w:jc w:val="center"/>
              <w:rPr>
                <w:b/>
                <w:lang w:val="cs-CZ"/>
              </w:rPr>
            </w:pPr>
            <w:r w:rsidRPr="0028273C">
              <w:rPr>
                <w:b/>
                <w:lang w:val="cs-CZ"/>
              </w:rPr>
              <w:t>Požadovaná hladina faktoru VIII (%) (IU/dl)</w:t>
            </w:r>
          </w:p>
        </w:tc>
        <w:tc>
          <w:tcPr>
            <w:tcW w:w="4677" w:type="dxa"/>
            <w:tcBorders>
              <w:bottom w:val="single" w:sz="6" w:space="0" w:color="000000"/>
            </w:tcBorders>
          </w:tcPr>
          <w:p w14:paraId="593F7D88" w14:textId="4D096738" w:rsidR="00436E93" w:rsidRPr="0028273C" w:rsidRDefault="00436E93" w:rsidP="00735457">
            <w:pPr>
              <w:keepNext/>
              <w:keepLines/>
              <w:numPr>
                <w:ilvl w:val="12"/>
                <w:numId w:val="0"/>
              </w:numPr>
              <w:jc w:val="center"/>
              <w:rPr>
                <w:b/>
                <w:lang w:val="cs-CZ"/>
              </w:rPr>
            </w:pPr>
            <w:r w:rsidRPr="0028273C">
              <w:rPr>
                <w:b/>
                <w:lang w:val="cs-CZ"/>
              </w:rPr>
              <w:t>Četnost podání dávky (hodiny)</w:t>
            </w:r>
            <w:r w:rsidR="006673EE" w:rsidRPr="0028273C">
              <w:rPr>
                <w:b/>
                <w:lang w:val="cs-CZ"/>
              </w:rPr>
              <w:t xml:space="preserve"> </w:t>
            </w:r>
            <w:r w:rsidRPr="0028273C">
              <w:rPr>
                <w:b/>
                <w:lang w:val="cs-CZ"/>
              </w:rPr>
              <w:t>/</w:t>
            </w:r>
            <w:r w:rsidR="006673EE" w:rsidRPr="0028273C">
              <w:rPr>
                <w:b/>
                <w:lang w:val="cs-CZ"/>
              </w:rPr>
              <w:t xml:space="preserve"> </w:t>
            </w:r>
            <w:r w:rsidR="005358F0">
              <w:rPr>
                <w:b/>
                <w:lang w:val="cs-CZ"/>
              </w:rPr>
              <w:t>d</w:t>
            </w:r>
            <w:r w:rsidRPr="0028273C">
              <w:rPr>
                <w:b/>
                <w:lang w:val="cs-CZ"/>
              </w:rPr>
              <w:t xml:space="preserve">élka </w:t>
            </w:r>
            <w:r w:rsidR="00A47C95">
              <w:rPr>
                <w:b/>
                <w:lang w:val="cs-CZ"/>
              </w:rPr>
              <w:t>léčby</w:t>
            </w:r>
            <w:r w:rsidR="00334E91">
              <w:rPr>
                <w:b/>
                <w:lang w:val="cs-CZ"/>
              </w:rPr>
              <w:t xml:space="preserve"> </w:t>
            </w:r>
            <w:r w:rsidRPr="0028273C">
              <w:rPr>
                <w:b/>
                <w:lang w:val="cs-CZ"/>
              </w:rPr>
              <w:t>(dny)</w:t>
            </w:r>
          </w:p>
        </w:tc>
      </w:tr>
      <w:tr w:rsidR="00436E93" w:rsidRPr="00052138" w14:paraId="2284168D" w14:textId="77777777" w:rsidTr="00C976BB">
        <w:trPr>
          <w:cantSplit/>
        </w:trPr>
        <w:tc>
          <w:tcPr>
            <w:tcW w:w="2977" w:type="dxa"/>
            <w:tcBorders>
              <w:top w:val="single" w:sz="6" w:space="0" w:color="000000"/>
              <w:bottom w:val="dashed" w:sz="4" w:space="0" w:color="auto"/>
              <w:right w:val="dashed" w:sz="4" w:space="0" w:color="auto"/>
            </w:tcBorders>
            <w:shd w:val="clear" w:color="auto" w:fill="auto"/>
          </w:tcPr>
          <w:p w14:paraId="1B23AA04" w14:textId="77777777" w:rsidR="00436E93" w:rsidRPr="0028273C" w:rsidRDefault="00436E93" w:rsidP="00735457">
            <w:pPr>
              <w:keepNext/>
              <w:keepLines/>
              <w:rPr>
                <w:u w:val="single"/>
                <w:lang w:val="cs-CZ"/>
              </w:rPr>
            </w:pPr>
            <w:r w:rsidRPr="0028273C">
              <w:rPr>
                <w:u w:val="single"/>
                <w:lang w:val="cs-CZ"/>
              </w:rPr>
              <w:t>Krvácení</w:t>
            </w:r>
          </w:p>
          <w:p w14:paraId="423E24CF" w14:textId="77777777" w:rsidR="00436E93" w:rsidRPr="0028273C" w:rsidRDefault="00436E93" w:rsidP="00735457">
            <w:pPr>
              <w:keepNext/>
              <w:keepLines/>
              <w:rPr>
                <w:b/>
                <w:lang w:val="cs-CZ"/>
              </w:rPr>
            </w:pPr>
          </w:p>
          <w:p w14:paraId="6516EC5E" w14:textId="1C00DC36" w:rsidR="00436E93" w:rsidRPr="0028273C" w:rsidRDefault="00436E93" w:rsidP="00735457">
            <w:pPr>
              <w:keepNext/>
              <w:keepLines/>
              <w:rPr>
                <w:lang w:val="cs-CZ"/>
              </w:rPr>
            </w:pPr>
            <w:r w:rsidRPr="0028273C">
              <w:rPr>
                <w:lang w:val="cs-CZ"/>
              </w:rPr>
              <w:t>Časn</w:t>
            </w:r>
            <w:r w:rsidR="00A47C95">
              <w:rPr>
                <w:lang w:val="cs-CZ"/>
              </w:rPr>
              <w:t>ý</w:t>
            </w:r>
            <w:r w:rsidRPr="0028273C">
              <w:rPr>
                <w:lang w:val="cs-CZ"/>
              </w:rPr>
              <w:t xml:space="preserve"> </w:t>
            </w:r>
            <w:proofErr w:type="spellStart"/>
            <w:r w:rsidRPr="0028273C">
              <w:rPr>
                <w:lang w:val="cs-CZ"/>
              </w:rPr>
              <w:t>hemartr</w:t>
            </w:r>
            <w:r w:rsidR="00F864C3">
              <w:rPr>
                <w:lang w:val="cs-CZ"/>
              </w:rPr>
              <w:t>os</w:t>
            </w:r>
            <w:proofErr w:type="spellEnd"/>
            <w:r w:rsidRPr="0028273C">
              <w:rPr>
                <w:lang w:val="cs-CZ"/>
              </w:rPr>
              <w:t xml:space="preserve">, krvácení do svalu nebo krvácení </w:t>
            </w:r>
            <w:r w:rsidR="00447A3D">
              <w:rPr>
                <w:lang w:val="cs-CZ"/>
              </w:rPr>
              <w:t>do</w:t>
            </w:r>
            <w:r w:rsidR="004761B4">
              <w:rPr>
                <w:lang w:val="cs-CZ"/>
              </w:rPr>
              <w:t xml:space="preserve"> </w:t>
            </w:r>
            <w:r w:rsidRPr="0028273C">
              <w:rPr>
                <w:lang w:val="cs-CZ"/>
              </w:rPr>
              <w:t>dutiny ústní</w:t>
            </w:r>
          </w:p>
        </w:tc>
        <w:tc>
          <w:tcPr>
            <w:tcW w:w="1418" w:type="dxa"/>
            <w:tcBorders>
              <w:top w:val="single" w:sz="6" w:space="0" w:color="000000"/>
              <w:left w:val="dashed" w:sz="4" w:space="0" w:color="auto"/>
              <w:bottom w:val="dashed" w:sz="4" w:space="0" w:color="auto"/>
              <w:right w:val="dashed" w:sz="4" w:space="0" w:color="auto"/>
            </w:tcBorders>
            <w:shd w:val="clear" w:color="auto" w:fill="auto"/>
            <w:vAlign w:val="center"/>
          </w:tcPr>
          <w:p w14:paraId="3B76C3D1" w14:textId="77777777" w:rsidR="00436E93" w:rsidRPr="0028273C" w:rsidRDefault="00436E93" w:rsidP="00735457">
            <w:pPr>
              <w:keepNext/>
              <w:keepLines/>
              <w:rPr>
                <w:lang w:val="cs-CZ"/>
              </w:rPr>
            </w:pPr>
            <w:r w:rsidRPr="0028273C">
              <w:rPr>
                <w:lang w:val="cs-CZ"/>
              </w:rPr>
              <w:t>20–40</w:t>
            </w:r>
          </w:p>
        </w:tc>
        <w:tc>
          <w:tcPr>
            <w:tcW w:w="4677" w:type="dxa"/>
            <w:tcBorders>
              <w:top w:val="single" w:sz="6" w:space="0" w:color="000000"/>
              <w:left w:val="dashed" w:sz="4" w:space="0" w:color="auto"/>
              <w:bottom w:val="dashed" w:sz="4" w:space="0" w:color="auto"/>
            </w:tcBorders>
          </w:tcPr>
          <w:p w14:paraId="5642F175" w14:textId="77777777" w:rsidR="00F92DB9" w:rsidRPr="0028273C" w:rsidRDefault="00F92DB9" w:rsidP="00735457">
            <w:pPr>
              <w:keepNext/>
              <w:keepLines/>
              <w:rPr>
                <w:lang w:val="cs-CZ"/>
              </w:rPr>
            </w:pPr>
          </w:p>
          <w:p w14:paraId="6135E8BF" w14:textId="77777777" w:rsidR="00160D54" w:rsidRPr="0028273C" w:rsidRDefault="00436E93" w:rsidP="00735457">
            <w:pPr>
              <w:keepNext/>
              <w:keepLines/>
              <w:rPr>
                <w:lang w:val="cs-CZ"/>
              </w:rPr>
            </w:pPr>
            <w:r w:rsidRPr="0028273C">
              <w:rPr>
                <w:lang w:val="cs-CZ"/>
              </w:rPr>
              <w:t xml:space="preserve">Opakujte </w:t>
            </w:r>
            <w:r w:rsidR="004761B4">
              <w:rPr>
                <w:lang w:val="cs-CZ"/>
              </w:rPr>
              <w:t>i</w:t>
            </w:r>
            <w:r w:rsidR="009F483B">
              <w:rPr>
                <w:lang w:val="cs-CZ"/>
              </w:rPr>
              <w:t>nfu</w:t>
            </w:r>
            <w:r w:rsidR="004761B4">
              <w:rPr>
                <w:lang w:val="cs-CZ"/>
              </w:rPr>
              <w:t>zi</w:t>
            </w:r>
            <w:r w:rsidR="004761B4" w:rsidRPr="0028273C">
              <w:rPr>
                <w:lang w:val="cs-CZ"/>
              </w:rPr>
              <w:t xml:space="preserve"> </w:t>
            </w:r>
            <w:r w:rsidRPr="0028273C">
              <w:rPr>
                <w:lang w:val="cs-CZ"/>
              </w:rPr>
              <w:t>po 24</w:t>
            </w:r>
            <w:r w:rsidR="00E76D9E" w:rsidRPr="0028273C">
              <w:rPr>
                <w:lang w:val="cs-CZ"/>
              </w:rPr>
              <w:t>–48</w:t>
            </w:r>
            <w:r w:rsidR="00160D54" w:rsidRPr="0028273C">
              <w:rPr>
                <w:lang w:val="cs-CZ"/>
              </w:rPr>
              <w:t> hodinách.</w:t>
            </w:r>
          </w:p>
          <w:p w14:paraId="6C2EE005" w14:textId="77777777" w:rsidR="00436E93" w:rsidRPr="0028273C" w:rsidRDefault="00436E93" w:rsidP="00735457">
            <w:pPr>
              <w:keepNext/>
              <w:keepLines/>
              <w:rPr>
                <w:lang w:val="cs-CZ"/>
              </w:rPr>
            </w:pPr>
            <w:r w:rsidRPr="0028273C">
              <w:rPr>
                <w:lang w:val="cs-CZ"/>
              </w:rPr>
              <w:t>Minimálně 1 den, dokud krvácení projevující se bolestí není zastaveno nebo dokud nebylo dosaženo zahojení.</w:t>
            </w:r>
          </w:p>
          <w:p w14:paraId="5D550A96" w14:textId="77777777" w:rsidR="00240ED0" w:rsidRPr="0028273C" w:rsidRDefault="00240ED0" w:rsidP="00735457">
            <w:pPr>
              <w:keepNext/>
              <w:keepLines/>
              <w:rPr>
                <w:lang w:val="cs-CZ"/>
              </w:rPr>
            </w:pPr>
          </w:p>
        </w:tc>
      </w:tr>
      <w:tr w:rsidR="00436E93" w:rsidRPr="00052138" w14:paraId="58F7CF77" w14:textId="77777777" w:rsidTr="00C976BB">
        <w:trPr>
          <w:cantSplit/>
        </w:trPr>
        <w:tc>
          <w:tcPr>
            <w:tcW w:w="2977" w:type="dxa"/>
            <w:tcBorders>
              <w:top w:val="dashed" w:sz="4" w:space="0" w:color="auto"/>
              <w:bottom w:val="dashed" w:sz="4" w:space="0" w:color="auto"/>
              <w:right w:val="dashed" w:sz="4" w:space="0" w:color="auto"/>
            </w:tcBorders>
            <w:shd w:val="clear" w:color="auto" w:fill="auto"/>
          </w:tcPr>
          <w:p w14:paraId="4061F4F1" w14:textId="4AB0A733" w:rsidR="00436E93" w:rsidRPr="0028273C" w:rsidRDefault="000B7657" w:rsidP="00735457">
            <w:pPr>
              <w:keepNext/>
              <w:keepLines/>
              <w:rPr>
                <w:lang w:val="cs-CZ"/>
              </w:rPr>
            </w:pPr>
            <w:proofErr w:type="gramStart"/>
            <w:r>
              <w:rPr>
                <w:lang w:val="cs-CZ"/>
              </w:rPr>
              <w:t>Rozsáhlejší</w:t>
            </w:r>
            <w:r w:rsidR="00847F5F">
              <w:rPr>
                <w:lang w:val="cs-CZ"/>
              </w:rPr>
              <w:t xml:space="preserve"> </w:t>
            </w:r>
            <w:r w:rsidR="00804463">
              <w:rPr>
                <w:lang w:val="cs-CZ"/>
              </w:rPr>
              <w:t xml:space="preserve"> </w:t>
            </w:r>
            <w:proofErr w:type="spellStart"/>
            <w:r w:rsidR="00436E93" w:rsidRPr="0028273C">
              <w:rPr>
                <w:lang w:val="cs-CZ"/>
              </w:rPr>
              <w:t>hemartr</w:t>
            </w:r>
            <w:r w:rsidR="00447A3D">
              <w:rPr>
                <w:lang w:val="cs-CZ"/>
              </w:rPr>
              <w:t>os</w:t>
            </w:r>
            <w:proofErr w:type="spellEnd"/>
            <w:proofErr w:type="gramEnd"/>
            <w:r w:rsidR="00436E93" w:rsidRPr="0028273C">
              <w:rPr>
                <w:lang w:val="cs-CZ"/>
              </w:rPr>
              <w:t>, krvácení do svalu nebo tvorba hematomů</w:t>
            </w:r>
          </w:p>
        </w:tc>
        <w:tc>
          <w:tcPr>
            <w:tcW w:w="1418" w:type="dxa"/>
            <w:tcBorders>
              <w:top w:val="dashed" w:sz="4" w:space="0" w:color="auto"/>
              <w:left w:val="dashed" w:sz="4" w:space="0" w:color="auto"/>
              <w:bottom w:val="dashed" w:sz="4" w:space="0" w:color="auto"/>
              <w:right w:val="dashed" w:sz="4" w:space="0" w:color="auto"/>
            </w:tcBorders>
            <w:shd w:val="clear" w:color="auto" w:fill="auto"/>
            <w:vAlign w:val="center"/>
          </w:tcPr>
          <w:p w14:paraId="08FE939A" w14:textId="77777777" w:rsidR="00436E93" w:rsidRPr="0028273C" w:rsidRDefault="00436E93" w:rsidP="00735457">
            <w:pPr>
              <w:keepNext/>
              <w:keepLines/>
              <w:rPr>
                <w:lang w:val="cs-CZ"/>
              </w:rPr>
            </w:pPr>
            <w:r w:rsidRPr="0028273C">
              <w:rPr>
                <w:lang w:val="cs-CZ"/>
              </w:rPr>
              <w:t>30–60</w:t>
            </w:r>
          </w:p>
        </w:tc>
        <w:tc>
          <w:tcPr>
            <w:tcW w:w="4677" w:type="dxa"/>
            <w:tcBorders>
              <w:top w:val="dashed" w:sz="4" w:space="0" w:color="auto"/>
              <w:left w:val="dashed" w:sz="4" w:space="0" w:color="auto"/>
              <w:bottom w:val="dashed" w:sz="4" w:space="0" w:color="auto"/>
            </w:tcBorders>
          </w:tcPr>
          <w:p w14:paraId="29712A74" w14:textId="77777777" w:rsidR="00240ED0" w:rsidRPr="0028273C" w:rsidRDefault="004761B4" w:rsidP="00735457">
            <w:pPr>
              <w:keepNext/>
              <w:keepLines/>
              <w:rPr>
                <w:lang w:val="cs-CZ"/>
              </w:rPr>
            </w:pPr>
            <w:r>
              <w:rPr>
                <w:lang w:val="cs-CZ"/>
              </w:rPr>
              <w:t>Inf</w:t>
            </w:r>
            <w:r w:rsidR="009F483B">
              <w:rPr>
                <w:lang w:val="cs-CZ"/>
              </w:rPr>
              <w:t>u</w:t>
            </w:r>
            <w:r>
              <w:rPr>
                <w:lang w:val="cs-CZ"/>
              </w:rPr>
              <w:t>zi</w:t>
            </w:r>
            <w:r w:rsidRPr="0028273C">
              <w:rPr>
                <w:lang w:val="cs-CZ"/>
              </w:rPr>
              <w:t xml:space="preserve"> </w:t>
            </w:r>
            <w:r w:rsidR="00436E93" w:rsidRPr="0028273C">
              <w:rPr>
                <w:lang w:val="cs-CZ"/>
              </w:rPr>
              <w:t>opakujte po 24</w:t>
            </w:r>
            <w:r w:rsidR="00E76D9E" w:rsidRPr="0028273C">
              <w:rPr>
                <w:lang w:val="cs-CZ"/>
              </w:rPr>
              <w:t>–48</w:t>
            </w:r>
            <w:r w:rsidR="00436E93" w:rsidRPr="0028273C">
              <w:rPr>
                <w:lang w:val="cs-CZ"/>
              </w:rPr>
              <w:t> hodinách po dobu 3–4 dnů nebo déle, dokud nevymizí bolest a akutní porucha funkce.</w:t>
            </w:r>
          </w:p>
          <w:p w14:paraId="75765DC2" w14:textId="77777777" w:rsidR="00436E93" w:rsidRPr="0028273C" w:rsidRDefault="00436E93" w:rsidP="00735457">
            <w:pPr>
              <w:keepNext/>
              <w:keepLines/>
              <w:rPr>
                <w:lang w:val="cs-CZ"/>
              </w:rPr>
            </w:pPr>
          </w:p>
        </w:tc>
      </w:tr>
      <w:tr w:rsidR="00436E93" w:rsidRPr="00052138" w14:paraId="719E6BCE" w14:textId="77777777" w:rsidTr="00C976BB">
        <w:trPr>
          <w:cantSplit/>
        </w:trPr>
        <w:tc>
          <w:tcPr>
            <w:tcW w:w="2977" w:type="dxa"/>
            <w:tcBorders>
              <w:top w:val="dashed" w:sz="4" w:space="0" w:color="auto"/>
              <w:bottom w:val="single" w:sz="6" w:space="0" w:color="000000"/>
              <w:right w:val="dashed" w:sz="4" w:space="0" w:color="auto"/>
            </w:tcBorders>
            <w:shd w:val="clear" w:color="auto" w:fill="auto"/>
          </w:tcPr>
          <w:p w14:paraId="35DEE8F7" w14:textId="77777777" w:rsidR="009010EE" w:rsidRPr="0028273C" w:rsidRDefault="00F92DB9" w:rsidP="00735457">
            <w:pPr>
              <w:keepNext/>
              <w:keepLines/>
              <w:rPr>
                <w:u w:val="single"/>
                <w:lang w:val="cs-CZ"/>
              </w:rPr>
            </w:pPr>
            <w:r w:rsidRPr="0028273C">
              <w:rPr>
                <w:u w:val="single"/>
                <w:lang w:val="cs-CZ"/>
              </w:rPr>
              <w:t>Život ohrožující</w:t>
            </w:r>
          </w:p>
          <w:p w14:paraId="439C1250" w14:textId="77777777" w:rsidR="009010EE" w:rsidRPr="0028273C" w:rsidRDefault="009010EE" w:rsidP="00735457">
            <w:pPr>
              <w:keepNext/>
              <w:keepLines/>
              <w:rPr>
                <w:u w:val="single"/>
                <w:lang w:val="cs-CZ"/>
              </w:rPr>
            </w:pPr>
          </w:p>
          <w:p w14:paraId="557764F2" w14:textId="77777777" w:rsidR="00436E93" w:rsidRPr="0028273C" w:rsidRDefault="00F4109B" w:rsidP="00735457">
            <w:pPr>
              <w:keepNext/>
              <w:keepLines/>
              <w:rPr>
                <w:lang w:val="cs-CZ"/>
              </w:rPr>
            </w:pPr>
            <w:r>
              <w:rPr>
                <w:lang w:val="cs-CZ"/>
              </w:rPr>
              <w:t>Krvácení</w:t>
            </w:r>
          </w:p>
          <w:p w14:paraId="6068889B" w14:textId="77777777" w:rsidR="00240ED0" w:rsidRPr="0028273C" w:rsidRDefault="00240ED0" w:rsidP="00735457">
            <w:pPr>
              <w:keepNext/>
              <w:keepLines/>
              <w:rPr>
                <w:lang w:val="cs-CZ"/>
              </w:rPr>
            </w:pPr>
          </w:p>
        </w:tc>
        <w:tc>
          <w:tcPr>
            <w:tcW w:w="1418" w:type="dxa"/>
            <w:tcBorders>
              <w:top w:val="dashed" w:sz="4" w:space="0" w:color="auto"/>
              <w:left w:val="dashed" w:sz="4" w:space="0" w:color="auto"/>
              <w:bottom w:val="single" w:sz="6" w:space="0" w:color="000000"/>
              <w:right w:val="dashed" w:sz="4" w:space="0" w:color="auto"/>
            </w:tcBorders>
            <w:shd w:val="clear" w:color="auto" w:fill="auto"/>
            <w:vAlign w:val="center"/>
          </w:tcPr>
          <w:p w14:paraId="254D8358" w14:textId="77777777" w:rsidR="00436E93" w:rsidRPr="0028273C" w:rsidRDefault="00436E93" w:rsidP="00735457">
            <w:pPr>
              <w:keepNext/>
              <w:keepLines/>
              <w:rPr>
                <w:lang w:val="cs-CZ"/>
              </w:rPr>
            </w:pPr>
            <w:r w:rsidRPr="0028273C">
              <w:rPr>
                <w:lang w:val="cs-CZ"/>
              </w:rPr>
              <w:t>60–100</w:t>
            </w:r>
          </w:p>
        </w:tc>
        <w:tc>
          <w:tcPr>
            <w:tcW w:w="4677" w:type="dxa"/>
            <w:tcBorders>
              <w:top w:val="dashed" w:sz="4" w:space="0" w:color="auto"/>
              <w:left w:val="dashed" w:sz="4" w:space="0" w:color="auto"/>
              <w:bottom w:val="single" w:sz="6" w:space="0" w:color="000000"/>
            </w:tcBorders>
          </w:tcPr>
          <w:p w14:paraId="29B48310" w14:textId="77777777" w:rsidR="00240ED0" w:rsidRPr="0028273C" w:rsidRDefault="00240ED0" w:rsidP="00735457">
            <w:pPr>
              <w:keepNext/>
              <w:keepLines/>
              <w:rPr>
                <w:lang w:val="cs-CZ"/>
              </w:rPr>
            </w:pPr>
          </w:p>
          <w:p w14:paraId="0D14CA38" w14:textId="77777777" w:rsidR="00436E93" w:rsidRPr="0028273C" w:rsidRDefault="004761B4" w:rsidP="00735457">
            <w:pPr>
              <w:keepNext/>
              <w:keepLines/>
              <w:rPr>
                <w:lang w:val="cs-CZ"/>
              </w:rPr>
            </w:pPr>
            <w:r>
              <w:rPr>
                <w:lang w:val="cs-CZ"/>
              </w:rPr>
              <w:t>Inf</w:t>
            </w:r>
            <w:r w:rsidR="009F483B">
              <w:rPr>
                <w:lang w:val="cs-CZ"/>
              </w:rPr>
              <w:t>u</w:t>
            </w:r>
            <w:r>
              <w:rPr>
                <w:lang w:val="cs-CZ"/>
              </w:rPr>
              <w:t>zi</w:t>
            </w:r>
            <w:r w:rsidRPr="0028273C">
              <w:rPr>
                <w:lang w:val="cs-CZ"/>
              </w:rPr>
              <w:t xml:space="preserve"> </w:t>
            </w:r>
            <w:r w:rsidR="00436E93" w:rsidRPr="0028273C">
              <w:rPr>
                <w:lang w:val="cs-CZ"/>
              </w:rPr>
              <w:t xml:space="preserve">opakujte po 8 až 24 hodinách, dokud není hrozba odvrácena. </w:t>
            </w:r>
          </w:p>
        </w:tc>
      </w:tr>
      <w:tr w:rsidR="00436E93" w:rsidRPr="00052138" w14:paraId="0AF5E4B3" w14:textId="77777777" w:rsidTr="00C976BB">
        <w:trPr>
          <w:cantSplit/>
        </w:trPr>
        <w:tc>
          <w:tcPr>
            <w:tcW w:w="2977" w:type="dxa"/>
            <w:tcBorders>
              <w:top w:val="single" w:sz="6" w:space="0" w:color="000000"/>
              <w:bottom w:val="single" w:sz="6" w:space="0" w:color="000000"/>
              <w:right w:val="dashed" w:sz="4" w:space="0" w:color="auto"/>
            </w:tcBorders>
            <w:shd w:val="clear" w:color="auto" w:fill="auto"/>
          </w:tcPr>
          <w:p w14:paraId="659AB725" w14:textId="760B3C3F" w:rsidR="00436E93" w:rsidRPr="0028273C" w:rsidRDefault="00436E93" w:rsidP="00735457">
            <w:pPr>
              <w:keepNext/>
              <w:keepLines/>
              <w:rPr>
                <w:u w:val="single"/>
                <w:lang w:val="cs-CZ"/>
              </w:rPr>
            </w:pPr>
            <w:r w:rsidRPr="0028273C">
              <w:rPr>
                <w:u w:val="single"/>
                <w:lang w:val="cs-CZ"/>
              </w:rPr>
              <w:t xml:space="preserve">Chirurgické </w:t>
            </w:r>
            <w:r w:rsidR="00E63F57">
              <w:rPr>
                <w:u w:val="single"/>
                <w:lang w:val="cs-CZ"/>
              </w:rPr>
              <w:t>výkony</w:t>
            </w:r>
          </w:p>
          <w:p w14:paraId="7B70E346" w14:textId="77777777" w:rsidR="00436E93" w:rsidRPr="0028273C" w:rsidRDefault="00436E93" w:rsidP="00735457">
            <w:pPr>
              <w:keepNext/>
              <w:keepLines/>
              <w:rPr>
                <w:b/>
                <w:lang w:val="cs-CZ"/>
              </w:rPr>
            </w:pPr>
          </w:p>
          <w:p w14:paraId="0FC2592F" w14:textId="0AB6BB37" w:rsidR="00436E93" w:rsidRPr="0028273C" w:rsidRDefault="00E758D6" w:rsidP="00735457">
            <w:pPr>
              <w:keepNext/>
              <w:keepLines/>
              <w:rPr>
                <w:lang w:val="cs-CZ"/>
              </w:rPr>
            </w:pPr>
            <w:r w:rsidRPr="0028273C">
              <w:rPr>
                <w:lang w:val="cs-CZ"/>
              </w:rPr>
              <w:t>M</w:t>
            </w:r>
            <w:r>
              <w:rPr>
                <w:lang w:val="cs-CZ"/>
              </w:rPr>
              <w:t xml:space="preserve">enší chirurgické </w:t>
            </w:r>
            <w:proofErr w:type="spellStart"/>
            <w:r>
              <w:rPr>
                <w:lang w:val="cs-CZ"/>
              </w:rPr>
              <w:t>výkony</w:t>
            </w:r>
            <w:r w:rsidR="00436E93" w:rsidRPr="0028273C">
              <w:rPr>
                <w:lang w:val="cs-CZ"/>
              </w:rPr>
              <w:t>včetně</w:t>
            </w:r>
            <w:proofErr w:type="spellEnd"/>
            <w:r w:rsidR="00436E93" w:rsidRPr="0028273C">
              <w:rPr>
                <w:lang w:val="cs-CZ"/>
              </w:rPr>
              <w:t xml:space="preserve"> extrakce zubů</w:t>
            </w:r>
          </w:p>
          <w:p w14:paraId="2DE424DC" w14:textId="77777777" w:rsidR="00240ED0" w:rsidRPr="0028273C" w:rsidRDefault="00240ED0" w:rsidP="00735457">
            <w:pPr>
              <w:keepNext/>
              <w:keepLines/>
              <w:rPr>
                <w:i/>
                <w:lang w:val="cs-CZ"/>
              </w:rPr>
            </w:pPr>
          </w:p>
        </w:tc>
        <w:tc>
          <w:tcPr>
            <w:tcW w:w="1418" w:type="dxa"/>
            <w:tcBorders>
              <w:top w:val="single" w:sz="6" w:space="0" w:color="000000"/>
              <w:left w:val="dashed" w:sz="4" w:space="0" w:color="auto"/>
              <w:bottom w:val="single" w:sz="6" w:space="0" w:color="000000"/>
              <w:right w:val="dashed" w:sz="4" w:space="0" w:color="auto"/>
            </w:tcBorders>
            <w:shd w:val="clear" w:color="auto" w:fill="auto"/>
            <w:vAlign w:val="center"/>
          </w:tcPr>
          <w:p w14:paraId="2466DC06" w14:textId="77777777" w:rsidR="00436E93" w:rsidRPr="0028273C" w:rsidRDefault="00436E93" w:rsidP="00735457">
            <w:pPr>
              <w:keepNext/>
              <w:keepLines/>
              <w:rPr>
                <w:lang w:val="cs-CZ"/>
              </w:rPr>
            </w:pPr>
            <w:r w:rsidRPr="0028273C">
              <w:rPr>
                <w:lang w:val="cs-CZ"/>
              </w:rPr>
              <w:t>30–60</w:t>
            </w:r>
          </w:p>
        </w:tc>
        <w:tc>
          <w:tcPr>
            <w:tcW w:w="4677" w:type="dxa"/>
            <w:tcBorders>
              <w:top w:val="single" w:sz="6" w:space="0" w:color="000000"/>
              <w:left w:val="dashed" w:sz="4" w:space="0" w:color="auto"/>
              <w:bottom w:val="single" w:sz="6" w:space="0" w:color="000000"/>
            </w:tcBorders>
          </w:tcPr>
          <w:p w14:paraId="19138C54" w14:textId="77777777" w:rsidR="00436E93" w:rsidRPr="0028273C" w:rsidRDefault="00436E93" w:rsidP="00735457">
            <w:pPr>
              <w:keepNext/>
              <w:keepLines/>
              <w:rPr>
                <w:highlight w:val="yellow"/>
                <w:lang w:val="cs-CZ"/>
              </w:rPr>
            </w:pPr>
          </w:p>
          <w:p w14:paraId="1DFB2432" w14:textId="77777777" w:rsidR="00240ED0" w:rsidRPr="0028273C" w:rsidRDefault="00240ED0" w:rsidP="00735457">
            <w:pPr>
              <w:keepNext/>
              <w:keepLines/>
              <w:rPr>
                <w:highlight w:val="yellow"/>
                <w:lang w:val="cs-CZ"/>
              </w:rPr>
            </w:pPr>
          </w:p>
          <w:p w14:paraId="46A8560D" w14:textId="77777777" w:rsidR="00436E93" w:rsidRPr="0028273C" w:rsidRDefault="00436E93" w:rsidP="00735457">
            <w:pPr>
              <w:keepNext/>
              <w:keepLines/>
              <w:rPr>
                <w:lang w:val="cs-CZ"/>
              </w:rPr>
            </w:pPr>
            <w:r w:rsidRPr="0028273C">
              <w:rPr>
                <w:lang w:val="cs-CZ"/>
              </w:rPr>
              <w:t>Každých 24 hodin, minimálně 1 den, dokud není dosaženo zahojení.</w:t>
            </w:r>
          </w:p>
          <w:p w14:paraId="42F9F9EE" w14:textId="77777777" w:rsidR="00436E93" w:rsidRPr="0028273C" w:rsidRDefault="00436E93" w:rsidP="00735457">
            <w:pPr>
              <w:keepNext/>
              <w:keepLines/>
              <w:rPr>
                <w:lang w:val="cs-CZ"/>
              </w:rPr>
            </w:pPr>
          </w:p>
        </w:tc>
      </w:tr>
      <w:tr w:rsidR="00436E93" w:rsidRPr="00052138" w14:paraId="5FA46E04" w14:textId="77777777" w:rsidTr="00C976BB">
        <w:trPr>
          <w:cantSplit/>
          <w:trHeight w:val="1398"/>
        </w:trPr>
        <w:tc>
          <w:tcPr>
            <w:tcW w:w="2977" w:type="dxa"/>
            <w:tcBorders>
              <w:top w:val="single" w:sz="6" w:space="0" w:color="000000"/>
              <w:bottom w:val="single" w:sz="6" w:space="0" w:color="000000"/>
              <w:right w:val="dashed" w:sz="4" w:space="0" w:color="auto"/>
            </w:tcBorders>
            <w:shd w:val="clear" w:color="auto" w:fill="auto"/>
          </w:tcPr>
          <w:p w14:paraId="16535436" w14:textId="1F38DCDD" w:rsidR="00436E93" w:rsidRPr="0028273C" w:rsidRDefault="00436E93" w:rsidP="00735457">
            <w:pPr>
              <w:keepNext/>
              <w:keepLines/>
              <w:rPr>
                <w:u w:val="single"/>
                <w:lang w:val="cs-CZ"/>
              </w:rPr>
            </w:pPr>
            <w:r w:rsidRPr="0028273C">
              <w:rPr>
                <w:u w:val="single"/>
                <w:lang w:val="cs-CZ"/>
              </w:rPr>
              <w:t>V</w:t>
            </w:r>
            <w:r w:rsidR="00E17585">
              <w:rPr>
                <w:u w:val="single"/>
                <w:lang w:val="cs-CZ"/>
              </w:rPr>
              <w:t>elké chirurgické výkony</w:t>
            </w:r>
          </w:p>
        </w:tc>
        <w:tc>
          <w:tcPr>
            <w:tcW w:w="1418" w:type="dxa"/>
            <w:tcBorders>
              <w:top w:val="single" w:sz="6" w:space="0" w:color="000000"/>
              <w:left w:val="dashed" w:sz="4" w:space="0" w:color="auto"/>
              <w:bottom w:val="single" w:sz="6" w:space="0" w:color="000000"/>
              <w:right w:val="dashed" w:sz="4" w:space="0" w:color="auto"/>
            </w:tcBorders>
            <w:shd w:val="clear" w:color="auto" w:fill="auto"/>
            <w:vAlign w:val="center"/>
          </w:tcPr>
          <w:p w14:paraId="15D26367" w14:textId="77777777" w:rsidR="00436E93" w:rsidRPr="0028273C" w:rsidRDefault="00436E93" w:rsidP="00735457">
            <w:pPr>
              <w:keepNext/>
              <w:keepLines/>
              <w:rPr>
                <w:lang w:val="cs-CZ"/>
              </w:rPr>
            </w:pPr>
            <w:r w:rsidRPr="0028273C">
              <w:rPr>
                <w:lang w:val="cs-CZ"/>
              </w:rPr>
              <w:t>80–100</w:t>
            </w:r>
          </w:p>
          <w:p w14:paraId="433C1A58" w14:textId="77777777" w:rsidR="00436E93" w:rsidRPr="0028273C" w:rsidRDefault="00436E93" w:rsidP="00735457">
            <w:pPr>
              <w:keepNext/>
              <w:keepLines/>
              <w:rPr>
                <w:lang w:val="cs-CZ"/>
              </w:rPr>
            </w:pPr>
            <w:r w:rsidRPr="0028273C">
              <w:rPr>
                <w:lang w:val="cs-CZ"/>
              </w:rPr>
              <w:t>(</w:t>
            </w:r>
            <w:proofErr w:type="gramStart"/>
            <w:r w:rsidRPr="0028273C">
              <w:rPr>
                <w:lang w:val="cs-CZ"/>
              </w:rPr>
              <w:t>před- a</w:t>
            </w:r>
            <w:proofErr w:type="gramEnd"/>
            <w:r w:rsidRPr="0028273C">
              <w:rPr>
                <w:lang w:val="cs-CZ"/>
              </w:rPr>
              <w:t xml:space="preserve"> pooperační)</w:t>
            </w:r>
          </w:p>
        </w:tc>
        <w:tc>
          <w:tcPr>
            <w:tcW w:w="4677" w:type="dxa"/>
            <w:tcBorders>
              <w:top w:val="single" w:sz="6" w:space="0" w:color="000000"/>
              <w:left w:val="dashed" w:sz="4" w:space="0" w:color="auto"/>
              <w:bottom w:val="single" w:sz="6" w:space="0" w:color="000000"/>
            </w:tcBorders>
          </w:tcPr>
          <w:p w14:paraId="73CB7716" w14:textId="77777777" w:rsidR="00436E93" w:rsidRPr="0028273C" w:rsidRDefault="00436E93" w:rsidP="00735457">
            <w:pPr>
              <w:keepNext/>
              <w:keepLines/>
              <w:ind w:right="183"/>
              <w:rPr>
                <w:lang w:val="cs-CZ"/>
              </w:rPr>
            </w:pPr>
            <w:r w:rsidRPr="0028273C">
              <w:rPr>
                <w:lang w:val="cs-CZ"/>
              </w:rPr>
              <w:t>Inf</w:t>
            </w:r>
            <w:r w:rsidR="009F483B">
              <w:rPr>
                <w:lang w:val="cs-CZ"/>
              </w:rPr>
              <w:t>u</w:t>
            </w:r>
            <w:r w:rsidRPr="0028273C">
              <w:rPr>
                <w:lang w:val="cs-CZ"/>
              </w:rPr>
              <w:t xml:space="preserve">zi opakujte po </w:t>
            </w:r>
            <w:r w:rsidR="00E76D9E" w:rsidRPr="0028273C">
              <w:rPr>
                <w:lang w:val="cs-CZ"/>
              </w:rPr>
              <w:t>12</w:t>
            </w:r>
            <w:r w:rsidRPr="0028273C">
              <w:rPr>
                <w:lang w:val="cs-CZ"/>
              </w:rPr>
              <w:t>–24 hodinách, dokud není rána přiměřeně zahojena, poté terapie nejméně dalších 7 dnů, aby bylo udrženo 30</w:t>
            </w:r>
            <w:r w:rsidR="00E76D9E" w:rsidRPr="0028273C">
              <w:rPr>
                <w:lang w:val="cs-CZ"/>
              </w:rPr>
              <w:t>–</w:t>
            </w:r>
            <w:r w:rsidRPr="0028273C">
              <w:rPr>
                <w:lang w:val="cs-CZ"/>
              </w:rPr>
              <w:t>60 % (IU/dl) aktivity faktoru VIII.</w:t>
            </w:r>
          </w:p>
        </w:tc>
      </w:tr>
    </w:tbl>
    <w:p w14:paraId="421D865D" w14:textId="77777777" w:rsidR="00244CEF" w:rsidRPr="0028273C" w:rsidRDefault="00244CEF" w:rsidP="00735457">
      <w:pPr>
        <w:pStyle w:val="Default"/>
        <w:rPr>
          <w:color w:val="auto"/>
          <w:sz w:val="22"/>
          <w:szCs w:val="22"/>
          <w:u w:val="single"/>
          <w:lang w:val="cs-CZ"/>
        </w:rPr>
      </w:pPr>
    </w:p>
    <w:p w14:paraId="01B881BE" w14:textId="77777777" w:rsidR="00244CEF" w:rsidRPr="0028273C" w:rsidRDefault="00436E93" w:rsidP="00735457">
      <w:pPr>
        <w:pStyle w:val="SOPOMTextStandard"/>
        <w:keepNext/>
        <w:spacing w:before="0" w:after="0"/>
        <w:rPr>
          <w:rFonts w:ascii="Times New Roman" w:hAnsi="Times New Roman"/>
          <w:i/>
          <w:snapToGrid w:val="0"/>
          <w:sz w:val="22"/>
          <w:szCs w:val="22"/>
          <w:lang w:val="cs-CZ" w:eastAsia="de-DE"/>
        </w:rPr>
      </w:pPr>
      <w:r w:rsidRPr="0028273C">
        <w:rPr>
          <w:rFonts w:ascii="Times New Roman" w:hAnsi="Times New Roman"/>
          <w:i/>
          <w:snapToGrid w:val="0"/>
          <w:sz w:val="22"/>
          <w:szCs w:val="22"/>
          <w:lang w:val="cs-CZ" w:eastAsia="de-DE"/>
        </w:rPr>
        <w:t>Profylaxe</w:t>
      </w:r>
    </w:p>
    <w:p w14:paraId="1E561557" w14:textId="77777777" w:rsidR="00244CEF" w:rsidRPr="0028273C" w:rsidRDefault="00244CEF" w:rsidP="00735457">
      <w:pPr>
        <w:pStyle w:val="SOPOMTextStandard"/>
        <w:keepNext/>
        <w:spacing w:before="0" w:after="0"/>
        <w:rPr>
          <w:rFonts w:ascii="Times New Roman" w:hAnsi="Times New Roman"/>
          <w:snapToGrid w:val="0"/>
          <w:sz w:val="22"/>
          <w:szCs w:val="22"/>
          <w:lang w:val="cs-CZ" w:eastAsia="de-DE"/>
        </w:rPr>
      </w:pPr>
    </w:p>
    <w:p w14:paraId="677D70BD" w14:textId="6D3052C7" w:rsidR="00D113DE" w:rsidRPr="0028273C" w:rsidRDefault="00D113DE" w:rsidP="00735457">
      <w:pPr>
        <w:keepNext/>
        <w:adjustRightInd w:val="0"/>
        <w:snapToGrid w:val="0"/>
        <w:rPr>
          <w:snapToGrid w:val="0"/>
          <w:lang w:val="cs-CZ" w:eastAsia="de-DE"/>
        </w:rPr>
      </w:pPr>
      <w:r w:rsidRPr="0028273C">
        <w:rPr>
          <w:szCs w:val="22"/>
          <w:bdr w:val="nil"/>
          <w:lang w:val="cs-CZ" w:eastAsia="de-DE"/>
        </w:rPr>
        <w:t xml:space="preserve">Všechna </w:t>
      </w:r>
      <w:r w:rsidRPr="0028273C">
        <w:rPr>
          <w:bdr w:val="nil"/>
          <w:lang w:val="cs-CZ" w:eastAsia="de-DE"/>
        </w:rPr>
        <w:t>terapeutická rozhodnutí</w:t>
      </w:r>
      <w:r w:rsidRPr="0028273C">
        <w:rPr>
          <w:szCs w:val="22"/>
          <w:bdr w:val="nil"/>
          <w:lang w:val="cs-CZ" w:eastAsia="de-DE"/>
        </w:rPr>
        <w:t xml:space="preserve"> pro identifikaci vhodných profylaktických léčebných režimů mají být řízena klinickým úsudkem založeným na individuálních charakteristikách pacienta a odpovědi na léčbu.</w:t>
      </w:r>
      <w:r w:rsidR="00052C0B">
        <w:rPr>
          <w:szCs w:val="22"/>
          <w:bdr w:val="nil"/>
          <w:lang w:val="cs-CZ" w:eastAsia="de-DE"/>
        </w:rPr>
        <w:t xml:space="preserve"> </w:t>
      </w:r>
      <w:r w:rsidR="00052C0B" w:rsidRPr="00052C0B">
        <w:rPr>
          <w:szCs w:val="22"/>
          <w:bdr w:val="nil"/>
          <w:lang w:val="cs-CZ" w:eastAsia="de-DE"/>
        </w:rPr>
        <w:t>Na základě dosažených hladin faktoru</w:t>
      </w:r>
      <w:r w:rsidR="004D3C3C">
        <w:rPr>
          <w:szCs w:val="22"/>
          <w:bdr w:val="nil"/>
          <w:lang w:val="cs-CZ" w:eastAsia="de-DE"/>
        </w:rPr>
        <w:t> </w:t>
      </w:r>
      <w:r w:rsidR="00052C0B" w:rsidRPr="00052C0B">
        <w:rPr>
          <w:szCs w:val="22"/>
          <w:bdr w:val="nil"/>
          <w:lang w:val="cs-CZ" w:eastAsia="de-DE"/>
        </w:rPr>
        <w:t>VIII a</w:t>
      </w:r>
      <w:r w:rsidR="00052C0B">
        <w:rPr>
          <w:szCs w:val="22"/>
          <w:bdr w:val="nil"/>
          <w:lang w:val="cs-CZ" w:eastAsia="de-DE"/>
        </w:rPr>
        <w:t> </w:t>
      </w:r>
      <w:r w:rsidR="00052C0B" w:rsidRPr="00052C0B">
        <w:rPr>
          <w:szCs w:val="22"/>
          <w:bdr w:val="nil"/>
          <w:lang w:val="cs-CZ" w:eastAsia="de-DE"/>
        </w:rPr>
        <w:t>individuální</w:t>
      </w:r>
      <w:r w:rsidR="00567A4D">
        <w:rPr>
          <w:szCs w:val="22"/>
          <w:bdr w:val="nil"/>
          <w:lang w:val="cs-CZ" w:eastAsia="de-DE"/>
        </w:rPr>
        <w:t>ho</w:t>
      </w:r>
      <w:r w:rsidR="00052C0B" w:rsidRPr="00052C0B">
        <w:rPr>
          <w:szCs w:val="22"/>
          <w:bdr w:val="nil"/>
          <w:lang w:val="cs-CZ" w:eastAsia="de-DE"/>
        </w:rPr>
        <w:t xml:space="preserve"> </w:t>
      </w:r>
      <w:r w:rsidR="00567A4D">
        <w:rPr>
          <w:szCs w:val="22"/>
          <w:bdr w:val="nil"/>
          <w:lang w:val="cs-CZ" w:eastAsia="de-DE"/>
        </w:rPr>
        <w:t>sklonu</w:t>
      </w:r>
      <w:r w:rsidR="00052C0B" w:rsidRPr="00052C0B">
        <w:rPr>
          <w:szCs w:val="22"/>
          <w:bdr w:val="nil"/>
          <w:lang w:val="cs-CZ" w:eastAsia="de-DE"/>
        </w:rPr>
        <w:t xml:space="preserve"> ke krvácení lze zvážit úpravu dávek a</w:t>
      </w:r>
      <w:r w:rsidR="00052C0B">
        <w:rPr>
          <w:szCs w:val="22"/>
          <w:bdr w:val="nil"/>
          <w:lang w:val="cs-CZ" w:eastAsia="de-DE"/>
        </w:rPr>
        <w:t> </w:t>
      </w:r>
      <w:r w:rsidR="00052C0B" w:rsidRPr="00052C0B">
        <w:rPr>
          <w:szCs w:val="22"/>
          <w:bdr w:val="nil"/>
          <w:lang w:val="cs-CZ" w:eastAsia="de-DE"/>
        </w:rPr>
        <w:t>intervalů podávání. Další podrobnosti viz body</w:t>
      </w:r>
      <w:r w:rsidR="00567A4D">
        <w:rPr>
          <w:szCs w:val="22"/>
          <w:bdr w:val="nil"/>
          <w:lang w:val="cs-CZ" w:eastAsia="de-DE"/>
        </w:rPr>
        <w:t> </w:t>
      </w:r>
      <w:r w:rsidR="00052C0B" w:rsidRPr="00052C0B">
        <w:rPr>
          <w:szCs w:val="22"/>
          <w:bdr w:val="nil"/>
          <w:lang w:val="cs-CZ" w:eastAsia="de-DE"/>
        </w:rPr>
        <w:t>4.4 a</w:t>
      </w:r>
      <w:r w:rsidR="00052C0B">
        <w:rPr>
          <w:szCs w:val="22"/>
          <w:bdr w:val="nil"/>
          <w:lang w:val="cs-CZ" w:eastAsia="de-DE"/>
        </w:rPr>
        <w:t> </w:t>
      </w:r>
      <w:r w:rsidR="00052C0B" w:rsidRPr="00052C0B">
        <w:rPr>
          <w:szCs w:val="22"/>
          <w:bdr w:val="nil"/>
          <w:lang w:val="cs-CZ" w:eastAsia="de-DE"/>
        </w:rPr>
        <w:t>5.1.</w:t>
      </w:r>
    </w:p>
    <w:p w14:paraId="525AF41A" w14:textId="77777777" w:rsidR="00D113DE" w:rsidRPr="0028273C" w:rsidRDefault="00D113DE" w:rsidP="00735457">
      <w:pPr>
        <w:adjustRightInd w:val="0"/>
        <w:snapToGrid w:val="0"/>
        <w:rPr>
          <w:snapToGrid w:val="0"/>
          <w:lang w:val="cs-CZ" w:eastAsia="de-DE"/>
        </w:rPr>
      </w:pPr>
    </w:p>
    <w:p w14:paraId="229CA883" w14:textId="1A6C4EF7" w:rsidR="00052C0B" w:rsidRPr="0005661C" w:rsidRDefault="00052C0B" w:rsidP="0005661C">
      <w:pPr>
        <w:pStyle w:val="SOPOMTextStandard"/>
        <w:keepNext/>
        <w:spacing w:before="0" w:after="0"/>
        <w:jc w:val="left"/>
        <w:rPr>
          <w:i/>
          <w:snapToGrid w:val="0"/>
          <w:sz w:val="22"/>
          <w:szCs w:val="22"/>
          <w:lang w:val="cs-CZ" w:eastAsia="de-DE"/>
        </w:rPr>
      </w:pPr>
      <w:r w:rsidRPr="0005661C">
        <w:rPr>
          <w:rFonts w:ascii="Times New Roman" w:hAnsi="Times New Roman"/>
          <w:i/>
          <w:snapToGrid w:val="0"/>
          <w:sz w:val="22"/>
          <w:szCs w:val="22"/>
          <w:lang w:val="cs-CZ" w:eastAsia="de-DE"/>
        </w:rPr>
        <w:t xml:space="preserve">Dospělí a dospívající </w:t>
      </w:r>
      <w:r w:rsidR="00C62135">
        <w:rPr>
          <w:rFonts w:ascii="Times New Roman" w:hAnsi="Times New Roman"/>
          <w:i/>
          <w:snapToGrid w:val="0"/>
          <w:sz w:val="22"/>
          <w:szCs w:val="22"/>
          <w:lang w:val="cs-CZ" w:eastAsia="de-DE"/>
        </w:rPr>
        <w:t xml:space="preserve">ve věku </w:t>
      </w:r>
      <w:r w:rsidRPr="0005661C">
        <w:rPr>
          <w:rFonts w:ascii="Times New Roman" w:hAnsi="Times New Roman"/>
          <w:i/>
          <w:snapToGrid w:val="0"/>
          <w:sz w:val="22"/>
          <w:szCs w:val="22"/>
          <w:lang w:val="cs-CZ" w:eastAsia="de-DE"/>
        </w:rPr>
        <w:t>12 let</w:t>
      </w:r>
      <w:r w:rsidR="00567A4D">
        <w:rPr>
          <w:rFonts w:ascii="Times New Roman" w:hAnsi="Times New Roman"/>
          <w:i/>
          <w:snapToGrid w:val="0"/>
          <w:sz w:val="22"/>
          <w:szCs w:val="22"/>
          <w:lang w:val="cs-CZ" w:eastAsia="de-DE"/>
        </w:rPr>
        <w:t xml:space="preserve"> a starší</w:t>
      </w:r>
      <w:r w:rsidRPr="0005661C">
        <w:rPr>
          <w:rFonts w:ascii="Times New Roman" w:hAnsi="Times New Roman"/>
          <w:i/>
          <w:snapToGrid w:val="0"/>
          <w:sz w:val="22"/>
          <w:szCs w:val="22"/>
          <w:lang w:val="cs-CZ" w:eastAsia="de-DE"/>
        </w:rPr>
        <w:t>:</w:t>
      </w:r>
    </w:p>
    <w:p w14:paraId="107DFDD7" w14:textId="4B723D3C" w:rsidR="00052C0B" w:rsidRDefault="003D088C" w:rsidP="00735457">
      <w:pPr>
        <w:pStyle w:val="BayerBodyTextFull"/>
        <w:spacing w:before="0" w:after="0"/>
        <w:rPr>
          <w:sz w:val="22"/>
          <w:szCs w:val="22"/>
          <w:bdr w:val="nil"/>
          <w:lang w:val="cs-CZ" w:eastAsia="de-DE"/>
        </w:rPr>
      </w:pPr>
      <w:r>
        <w:rPr>
          <w:sz w:val="22"/>
          <w:szCs w:val="22"/>
          <w:bdr w:val="nil"/>
          <w:lang w:val="cs-CZ" w:eastAsia="de-DE"/>
        </w:rPr>
        <w:t>D</w:t>
      </w:r>
      <w:r w:rsidR="00D113DE" w:rsidRPr="0028273C">
        <w:rPr>
          <w:sz w:val="22"/>
          <w:szCs w:val="22"/>
          <w:bdr w:val="nil"/>
          <w:lang w:val="cs-CZ" w:eastAsia="de-DE"/>
        </w:rPr>
        <w:t>ávka</w:t>
      </w:r>
      <w:r w:rsidR="00FE133C">
        <w:rPr>
          <w:sz w:val="22"/>
          <w:szCs w:val="22"/>
          <w:bdr w:val="nil"/>
          <w:lang w:val="cs-CZ" w:eastAsia="de-DE"/>
        </w:rPr>
        <w:t xml:space="preserve"> je</w:t>
      </w:r>
      <w:r w:rsidR="00D113DE" w:rsidRPr="0028273C">
        <w:rPr>
          <w:sz w:val="22"/>
          <w:szCs w:val="22"/>
          <w:bdr w:val="nil"/>
          <w:lang w:val="cs-CZ" w:eastAsia="de-DE"/>
        </w:rPr>
        <w:t xml:space="preserve"> 45–60 IU/kg každých 5 dnů. </w:t>
      </w:r>
    </w:p>
    <w:p w14:paraId="06536370" w14:textId="58B41B09" w:rsidR="00D113DE" w:rsidRDefault="00D113DE" w:rsidP="00735457">
      <w:pPr>
        <w:pStyle w:val="BayerBodyTextFull"/>
        <w:spacing w:before="0" w:after="0"/>
        <w:rPr>
          <w:sz w:val="22"/>
          <w:szCs w:val="22"/>
          <w:bdr w:val="nil"/>
          <w:lang w:val="cs-CZ" w:eastAsia="de-DE"/>
        </w:rPr>
      </w:pPr>
      <w:r w:rsidRPr="0028273C">
        <w:rPr>
          <w:sz w:val="22"/>
          <w:szCs w:val="22"/>
          <w:bdr w:val="nil"/>
          <w:lang w:val="cs-CZ" w:eastAsia="de-DE"/>
        </w:rPr>
        <w:t>Na základě klinick</w:t>
      </w:r>
      <w:r w:rsidR="00BE217B">
        <w:rPr>
          <w:sz w:val="22"/>
          <w:szCs w:val="22"/>
          <w:bdr w:val="nil"/>
          <w:lang w:val="cs-CZ" w:eastAsia="de-DE"/>
        </w:rPr>
        <w:t>é</w:t>
      </w:r>
      <w:r w:rsidR="00984AB2">
        <w:rPr>
          <w:sz w:val="22"/>
          <w:szCs w:val="22"/>
          <w:bdr w:val="nil"/>
          <w:lang w:val="cs-CZ" w:eastAsia="de-DE"/>
        </w:rPr>
        <w:t xml:space="preserve"> </w:t>
      </w:r>
      <w:r w:rsidR="00BE217B">
        <w:rPr>
          <w:sz w:val="22"/>
          <w:szCs w:val="22"/>
          <w:bdr w:val="nil"/>
          <w:lang w:val="cs-CZ" w:eastAsia="de-DE"/>
        </w:rPr>
        <w:t>odpovědi</w:t>
      </w:r>
      <w:r w:rsidRPr="0028273C">
        <w:rPr>
          <w:sz w:val="22"/>
          <w:szCs w:val="22"/>
          <w:bdr w:val="nil"/>
          <w:lang w:val="cs-CZ" w:eastAsia="de-DE"/>
        </w:rPr>
        <w:t xml:space="preserve"> pacienta může bý</w:t>
      </w:r>
      <w:r w:rsidR="00F92DB9" w:rsidRPr="0028273C">
        <w:rPr>
          <w:sz w:val="22"/>
          <w:szCs w:val="22"/>
          <w:bdr w:val="nil"/>
          <w:lang w:val="cs-CZ" w:eastAsia="de-DE"/>
        </w:rPr>
        <w:t>t dávka také 60 IU/kg každých 7 </w:t>
      </w:r>
      <w:r w:rsidRPr="0028273C">
        <w:rPr>
          <w:sz w:val="22"/>
          <w:szCs w:val="22"/>
          <w:bdr w:val="nil"/>
          <w:lang w:val="cs-CZ" w:eastAsia="de-DE"/>
        </w:rPr>
        <w:t>dní nebo 30</w:t>
      </w:r>
      <w:r w:rsidR="00F92DB9" w:rsidRPr="0028273C">
        <w:rPr>
          <w:sz w:val="22"/>
          <w:szCs w:val="22"/>
          <w:bdr w:val="nil"/>
          <w:lang w:val="cs-CZ" w:eastAsia="de-DE"/>
        </w:rPr>
        <w:t xml:space="preserve">–40 IU/kg </w:t>
      </w:r>
      <w:r w:rsidR="00EB13C8" w:rsidRPr="0028273C">
        <w:rPr>
          <w:sz w:val="22"/>
          <w:szCs w:val="22"/>
          <w:bdr w:val="nil"/>
          <w:lang w:val="cs-CZ" w:eastAsia="de-DE"/>
        </w:rPr>
        <w:t>dva</w:t>
      </w:r>
      <w:r w:rsidR="00F92DB9" w:rsidRPr="0028273C">
        <w:rPr>
          <w:sz w:val="22"/>
          <w:szCs w:val="22"/>
          <w:bdr w:val="nil"/>
          <w:lang w:val="cs-CZ" w:eastAsia="de-DE"/>
        </w:rPr>
        <w:t>krát týdně (viz body </w:t>
      </w:r>
      <w:r w:rsidRPr="0028273C">
        <w:rPr>
          <w:sz w:val="22"/>
          <w:szCs w:val="22"/>
          <w:bdr w:val="nil"/>
          <w:lang w:val="cs-CZ" w:eastAsia="de-DE"/>
        </w:rPr>
        <w:t>5.1 a 5.2).</w:t>
      </w:r>
    </w:p>
    <w:p w14:paraId="603FF661" w14:textId="77777777" w:rsidR="00052C0B" w:rsidRDefault="00052C0B" w:rsidP="00735457">
      <w:pPr>
        <w:pStyle w:val="BayerBodyTextFull"/>
        <w:spacing w:before="0" w:after="0"/>
        <w:rPr>
          <w:sz w:val="22"/>
          <w:szCs w:val="22"/>
          <w:bdr w:val="nil"/>
          <w:lang w:val="cs-CZ" w:eastAsia="de-DE"/>
        </w:rPr>
      </w:pPr>
    </w:p>
    <w:p w14:paraId="78AF5942" w14:textId="382D11BA" w:rsidR="00052C0B" w:rsidRPr="0005661C" w:rsidRDefault="00052C0B" w:rsidP="0005661C">
      <w:pPr>
        <w:pStyle w:val="SOPOMTextStandard"/>
        <w:keepNext/>
        <w:spacing w:before="0" w:after="0"/>
        <w:jc w:val="left"/>
        <w:rPr>
          <w:i/>
          <w:snapToGrid w:val="0"/>
          <w:sz w:val="22"/>
          <w:szCs w:val="22"/>
          <w:lang w:val="cs-CZ" w:eastAsia="de-DE"/>
        </w:rPr>
      </w:pPr>
      <w:r w:rsidRPr="0005661C">
        <w:rPr>
          <w:rFonts w:ascii="Times New Roman" w:hAnsi="Times New Roman"/>
          <w:i/>
          <w:snapToGrid w:val="0"/>
          <w:sz w:val="22"/>
          <w:szCs w:val="22"/>
          <w:lang w:val="cs-CZ" w:eastAsia="de-DE"/>
        </w:rPr>
        <w:t xml:space="preserve">Děti </w:t>
      </w:r>
      <w:r w:rsidR="00C62135">
        <w:rPr>
          <w:rFonts w:ascii="Times New Roman" w:hAnsi="Times New Roman"/>
          <w:i/>
          <w:snapToGrid w:val="0"/>
          <w:sz w:val="22"/>
          <w:szCs w:val="22"/>
          <w:lang w:val="cs-CZ" w:eastAsia="de-DE"/>
        </w:rPr>
        <w:t xml:space="preserve">ve věku </w:t>
      </w:r>
      <w:r w:rsidRPr="0005661C">
        <w:rPr>
          <w:rFonts w:ascii="Times New Roman" w:hAnsi="Times New Roman"/>
          <w:i/>
          <w:snapToGrid w:val="0"/>
          <w:sz w:val="22"/>
          <w:szCs w:val="22"/>
          <w:lang w:val="cs-CZ" w:eastAsia="de-DE"/>
        </w:rPr>
        <w:t xml:space="preserve">od 7 do </w:t>
      </w:r>
      <w:proofErr w:type="gramStart"/>
      <w:r w:rsidRPr="0005661C">
        <w:rPr>
          <w:rFonts w:ascii="Times New Roman" w:hAnsi="Times New Roman"/>
          <w:i/>
          <w:snapToGrid w:val="0"/>
          <w:sz w:val="22"/>
          <w:szCs w:val="22"/>
          <w:lang w:val="cs-CZ" w:eastAsia="de-DE"/>
        </w:rPr>
        <w:t>&lt; 12</w:t>
      </w:r>
      <w:proofErr w:type="gramEnd"/>
      <w:r w:rsidRPr="0005661C">
        <w:rPr>
          <w:rFonts w:ascii="Times New Roman" w:hAnsi="Times New Roman"/>
          <w:i/>
          <w:snapToGrid w:val="0"/>
          <w:sz w:val="22"/>
          <w:szCs w:val="22"/>
          <w:lang w:val="cs-CZ" w:eastAsia="de-DE"/>
        </w:rPr>
        <w:t> let:</w:t>
      </w:r>
    </w:p>
    <w:p w14:paraId="481A78EF" w14:textId="44B3D62A" w:rsidR="00D113DE" w:rsidRDefault="00FE133C" w:rsidP="00735457">
      <w:pPr>
        <w:rPr>
          <w:lang w:val="cs-CZ"/>
        </w:rPr>
      </w:pPr>
      <w:r>
        <w:rPr>
          <w:lang w:val="cs-CZ"/>
        </w:rPr>
        <w:t>D</w:t>
      </w:r>
      <w:r w:rsidR="00052C0B">
        <w:rPr>
          <w:lang w:val="cs-CZ"/>
        </w:rPr>
        <w:t xml:space="preserve">ávka </w:t>
      </w:r>
      <w:r>
        <w:rPr>
          <w:lang w:val="cs-CZ"/>
        </w:rPr>
        <w:t xml:space="preserve">je </w:t>
      </w:r>
      <w:r w:rsidR="00052C0B">
        <w:rPr>
          <w:lang w:val="cs-CZ"/>
        </w:rPr>
        <w:t>40</w:t>
      </w:r>
      <w:r w:rsidR="00567A4D">
        <w:rPr>
          <w:lang w:val="cs-CZ"/>
        </w:rPr>
        <w:noBreakHyphen/>
      </w:r>
      <w:r w:rsidR="00052C0B">
        <w:rPr>
          <w:lang w:val="cs-CZ"/>
        </w:rPr>
        <w:t>60 IU/kg dvakrát týdně (viz body</w:t>
      </w:r>
      <w:r w:rsidR="00567A4D">
        <w:rPr>
          <w:lang w:val="cs-CZ"/>
        </w:rPr>
        <w:t> </w:t>
      </w:r>
      <w:r w:rsidR="00052C0B">
        <w:rPr>
          <w:lang w:val="cs-CZ"/>
        </w:rPr>
        <w:t>5.1 a 5.2).</w:t>
      </w:r>
    </w:p>
    <w:p w14:paraId="141939C1" w14:textId="7901231B" w:rsidR="00C62135" w:rsidRDefault="00C62135" w:rsidP="00735457">
      <w:pPr>
        <w:rPr>
          <w:lang w:val="cs-CZ"/>
        </w:rPr>
      </w:pPr>
      <w:r>
        <w:rPr>
          <w:lang w:val="cs-CZ"/>
        </w:rPr>
        <w:t>Doporučená úvodní dávka je 60 IU/kg dvakrát týdně.</w:t>
      </w:r>
    </w:p>
    <w:p w14:paraId="361ECB37" w14:textId="77777777" w:rsidR="00052C0B" w:rsidRPr="0028273C" w:rsidRDefault="00052C0B" w:rsidP="00735457">
      <w:pPr>
        <w:rPr>
          <w:lang w:val="cs-CZ"/>
        </w:rPr>
      </w:pPr>
    </w:p>
    <w:p w14:paraId="3A9E39F9" w14:textId="6D6AD563" w:rsidR="00A7540A" w:rsidRPr="0028273C" w:rsidRDefault="00D113DE" w:rsidP="00735457">
      <w:pPr>
        <w:pStyle w:val="BayerBodyTextFull"/>
        <w:spacing w:before="0" w:after="0"/>
        <w:rPr>
          <w:sz w:val="22"/>
          <w:szCs w:val="22"/>
          <w:lang w:val="cs-CZ"/>
        </w:rPr>
      </w:pPr>
      <w:r w:rsidRPr="0028273C">
        <w:rPr>
          <w:sz w:val="22"/>
          <w:szCs w:val="22"/>
          <w:bdr w:val="nil"/>
          <w:lang w:val="cs-CZ"/>
        </w:rPr>
        <w:t xml:space="preserve">U pacientů s nadváhou </w:t>
      </w:r>
      <w:r w:rsidR="00C53E9A">
        <w:rPr>
          <w:sz w:val="22"/>
          <w:szCs w:val="22"/>
          <w:bdr w:val="nil"/>
          <w:lang w:val="cs-CZ"/>
        </w:rPr>
        <w:t>nemá být</w:t>
      </w:r>
      <w:r w:rsidR="00C53E9A" w:rsidRPr="0028273C">
        <w:rPr>
          <w:sz w:val="22"/>
          <w:szCs w:val="22"/>
          <w:bdr w:val="nil"/>
          <w:lang w:val="cs-CZ"/>
        </w:rPr>
        <w:t xml:space="preserve"> </w:t>
      </w:r>
      <w:r w:rsidRPr="0028273C">
        <w:rPr>
          <w:sz w:val="22"/>
          <w:szCs w:val="22"/>
          <w:bdr w:val="nil"/>
          <w:lang w:val="cs-CZ"/>
        </w:rPr>
        <w:t>maximální dávka na injekci pro profylaxi vyšší než přibližně 6</w:t>
      </w:r>
      <w:r w:rsidR="002B2444" w:rsidRPr="0028273C">
        <w:rPr>
          <w:sz w:val="22"/>
          <w:szCs w:val="22"/>
          <w:bdr w:val="nil"/>
          <w:lang w:val="cs-CZ"/>
        </w:rPr>
        <w:t> </w:t>
      </w:r>
      <w:r w:rsidRPr="0028273C">
        <w:rPr>
          <w:sz w:val="22"/>
          <w:szCs w:val="22"/>
          <w:bdr w:val="nil"/>
          <w:lang w:val="cs-CZ"/>
        </w:rPr>
        <w:t>000 IU.</w:t>
      </w:r>
    </w:p>
    <w:p w14:paraId="6322D46E" w14:textId="77777777" w:rsidR="00A7540A" w:rsidRDefault="00A7540A" w:rsidP="00735457">
      <w:pPr>
        <w:tabs>
          <w:tab w:val="clear" w:pos="567"/>
        </w:tabs>
        <w:rPr>
          <w:szCs w:val="22"/>
          <w:lang w:val="cs-CZ"/>
        </w:rPr>
      </w:pPr>
    </w:p>
    <w:p w14:paraId="0FA4FD4B" w14:textId="6EBB26A6" w:rsidR="009D4F4B" w:rsidRPr="00124755" w:rsidRDefault="009D4F4B" w:rsidP="00735457">
      <w:pPr>
        <w:tabs>
          <w:tab w:val="clear" w:pos="567"/>
        </w:tabs>
        <w:rPr>
          <w:szCs w:val="22"/>
          <w:u w:val="single"/>
          <w:lang w:val="cs-CZ"/>
        </w:rPr>
      </w:pPr>
      <w:r w:rsidRPr="00124755">
        <w:rPr>
          <w:szCs w:val="22"/>
          <w:u w:val="single"/>
          <w:lang w:val="cs-CZ"/>
        </w:rPr>
        <w:t>Speciální populace</w:t>
      </w:r>
    </w:p>
    <w:p w14:paraId="0A13A627" w14:textId="77777777" w:rsidR="009D4F4B" w:rsidRPr="0028273C" w:rsidRDefault="009D4F4B" w:rsidP="00735457">
      <w:pPr>
        <w:tabs>
          <w:tab w:val="clear" w:pos="567"/>
        </w:tabs>
        <w:rPr>
          <w:szCs w:val="22"/>
          <w:lang w:val="cs-CZ"/>
        </w:rPr>
      </w:pPr>
    </w:p>
    <w:p w14:paraId="4A3C6B08" w14:textId="77777777" w:rsidR="00DA506C" w:rsidRPr="0028273C" w:rsidRDefault="00436E93" w:rsidP="00735457">
      <w:pPr>
        <w:keepNext/>
        <w:keepLines/>
        <w:rPr>
          <w:bCs/>
          <w:i/>
          <w:iCs/>
          <w:szCs w:val="22"/>
          <w:lang w:val="cs-CZ"/>
        </w:rPr>
      </w:pPr>
      <w:r w:rsidRPr="0028273C">
        <w:rPr>
          <w:bCs/>
          <w:i/>
          <w:iCs/>
          <w:szCs w:val="22"/>
          <w:lang w:val="cs-CZ"/>
        </w:rPr>
        <w:t>Pediatrická populace</w:t>
      </w:r>
    </w:p>
    <w:p w14:paraId="0AE30167" w14:textId="77777777" w:rsidR="00DA506C" w:rsidRPr="0028273C" w:rsidRDefault="00DA506C" w:rsidP="00735457">
      <w:pPr>
        <w:keepNext/>
        <w:keepLines/>
        <w:rPr>
          <w:bCs/>
          <w:i/>
          <w:iCs/>
          <w:szCs w:val="22"/>
          <w:lang w:val="cs-CZ"/>
        </w:rPr>
      </w:pPr>
    </w:p>
    <w:p w14:paraId="41B98AAF" w14:textId="422BEFAF" w:rsidR="00DA506C" w:rsidRPr="0028273C" w:rsidRDefault="003F5BEC" w:rsidP="00735457">
      <w:pPr>
        <w:pStyle w:val="SOPOMTextStandard"/>
        <w:spacing w:before="0" w:after="0"/>
        <w:jc w:val="left"/>
        <w:rPr>
          <w:rFonts w:ascii="Times New Roman" w:hAnsi="Times New Roman"/>
          <w:sz w:val="22"/>
          <w:szCs w:val="22"/>
          <w:lang w:val="cs-CZ"/>
        </w:rPr>
      </w:pPr>
      <w:r w:rsidRPr="0028273C">
        <w:rPr>
          <w:rFonts w:ascii="Times New Roman" w:hAnsi="Times New Roman"/>
          <w:sz w:val="22"/>
          <w:szCs w:val="22"/>
          <w:lang w:val="cs-CZ"/>
        </w:rPr>
        <w:t xml:space="preserve">Přípravek </w:t>
      </w:r>
      <w:proofErr w:type="spellStart"/>
      <w:r w:rsidR="00A06EEB" w:rsidRPr="0028273C">
        <w:rPr>
          <w:rFonts w:ascii="Times New Roman" w:hAnsi="Times New Roman"/>
          <w:sz w:val="22"/>
          <w:szCs w:val="22"/>
          <w:lang w:val="cs-CZ"/>
        </w:rPr>
        <w:t>Jivi</w:t>
      </w:r>
      <w:proofErr w:type="spellEnd"/>
      <w:r w:rsidRPr="0028273C">
        <w:rPr>
          <w:rFonts w:ascii="Times New Roman" w:hAnsi="Times New Roman"/>
          <w:sz w:val="22"/>
          <w:szCs w:val="22"/>
          <w:lang w:val="cs-CZ"/>
        </w:rPr>
        <w:t xml:space="preserve"> není indikován u dosud neléčených pacientů a u pacientů ve věku do </w:t>
      </w:r>
      <w:r w:rsidR="002E5927">
        <w:rPr>
          <w:rFonts w:ascii="Times New Roman" w:hAnsi="Times New Roman"/>
          <w:sz w:val="22"/>
          <w:szCs w:val="22"/>
          <w:lang w:val="cs-CZ"/>
        </w:rPr>
        <w:t>7</w:t>
      </w:r>
      <w:r w:rsidR="002E5927" w:rsidRPr="0028273C">
        <w:rPr>
          <w:rFonts w:ascii="Times New Roman" w:hAnsi="Times New Roman"/>
          <w:sz w:val="22"/>
          <w:szCs w:val="22"/>
          <w:lang w:val="cs-CZ"/>
        </w:rPr>
        <w:t> </w:t>
      </w:r>
      <w:r w:rsidRPr="0028273C">
        <w:rPr>
          <w:rFonts w:ascii="Times New Roman" w:hAnsi="Times New Roman"/>
          <w:sz w:val="22"/>
          <w:szCs w:val="22"/>
          <w:lang w:val="cs-CZ"/>
        </w:rPr>
        <w:t>let</w:t>
      </w:r>
      <w:r w:rsidR="004B2AC5" w:rsidRPr="0028273C">
        <w:rPr>
          <w:rFonts w:ascii="Times New Roman" w:hAnsi="Times New Roman"/>
          <w:sz w:val="22"/>
          <w:szCs w:val="22"/>
          <w:lang w:val="cs-CZ"/>
        </w:rPr>
        <w:t>.</w:t>
      </w:r>
    </w:p>
    <w:p w14:paraId="060A333F" w14:textId="77777777" w:rsidR="00DA506C" w:rsidRPr="0028273C" w:rsidRDefault="00DA506C" w:rsidP="00735457">
      <w:pPr>
        <w:tabs>
          <w:tab w:val="clear" w:pos="567"/>
        </w:tabs>
        <w:rPr>
          <w:szCs w:val="22"/>
          <w:lang w:val="cs-CZ"/>
        </w:rPr>
      </w:pPr>
    </w:p>
    <w:p w14:paraId="505C98EE" w14:textId="77777777" w:rsidR="005A7919" w:rsidRPr="0028273C" w:rsidRDefault="005A7919" w:rsidP="00735457">
      <w:pPr>
        <w:keepNext/>
        <w:keepLines/>
        <w:tabs>
          <w:tab w:val="clear" w:pos="567"/>
        </w:tabs>
        <w:rPr>
          <w:i/>
          <w:szCs w:val="22"/>
          <w:lang w:val="cs-CZ"/>
        </w:rPr>
      </w:pPr>
      <w:r w:rsidRPr="0028273C">
        <w:rPr>
          <w:i/>
          <w:szCs w:val="22"/>
          <w:lang w:val="cs-CZ"/>
        </w:rPr>
        <w:lastRenderedPageBreak/>
        <w:t>Dospívající populace</w:t>
      </w:r>
    </w:p>
    <w:p w14:paraId="0B63C046" w14:textId="77777777" w:rsidR="008F6F0D" w:rsidRPr="0028273C" w:rsidRDefault="008F6F0D" w:rsidP="00735457">
      <w:pPr>
        <w:keepNext/>
        <w:keepLines/>
        <w:tabs>
          <w:tab w:val="clear" w:pos="567"/>
        </w:tabs>
        <w:rPr>
          <w:szCs w:val="22"/>
          <w:lang w:val="cs-CZ"/>
        </w:rPr>
      </w:pPr>
    </w:p>
    <w:p w14:paraId="0CD400CB" w14:textId="77777777" w:rsidR="00DD1360" w:rsidRPr="0028273C" w:rsidRDefault="005A7919" w:rsidP="00735457">
      <w:pPr>
        <w:tabs>
          <w:tab w:val="clear" w:pos="567"/>
        </w:tabs>
        <w:rPr>
          <w:szCs w:val="22"/>
          <w:lang w:val="cs-CZ"/>
        </w:rPr>
      </w:pPr>
      <w:r w:rsidRPr="0028273C">
        <w:rPr>
          <w:szCs w:val="22"/>
          <w:lang w:val="cs-CZ"/>
        </w:rPr>
        <w:t>Dávkování pro léčbu podle potřeby a</w:t>
      </w:r>
      <w:r w:rsidR="00EB13C8" w:rsidRPr="0028273C">
        <w:rPr>
          <w:szCs w:val="22"/>
          <w:lang w:val="cs-CZ"/>
        </w:rPr>
        <w:t> </w:t>
      </w:r>
      <w:r w:rsidRPr="0028273C">
        <w:rPr>
          <w:szCs w:val="22"/>
          <w:lang w:val="cs-CZ"/>
        </w:rPr>
        <w:t>profylaktickou léčbu u</w:t>
      </w:r>
      <w:r w:rsidR="00EB13C8" w:rsidRPr="0028273C">
        <w:rPr>
          <w:szCs w:val="22"/>
          <w:lang w:val="cs-CZ"/>
        </w:rPr>
        <w:t> </w:t>
      </w:r>
      <w:r w:rsidRPr="0028273C">
        <w:rPr>
          <w:szCs w:val="22"/>
          <w:lang w:val="cs-CZ"/>
        </w:rPr>
        <w:t>dospívajících pacientů je stejné jako u</w:t>
      </w:r>
      <w:r w:rsidR="00EB13C8" w:rsidRPr="0028273C">
        <w:rPr>
          <w:szCs w:val="22"/>
          <w:lang w:val="cs-CZ"/>
        </w:rPr>
        <w:t> </w:t>
      </w:r>
      <w:r w:rsidRPr="0028273C">
        <w:rPr>
          <w:szCs w:val="22"/>
          <w:lang w:val="cs-CZ"/>
        </w:rPr>
        <w:t>dospělých pacientů.</w:t>
      </w:r>
    </w:p>
    <w:p w14:paraId="3C2F2A89" w14:textId="77777777" w:rsidR="005A7919" w:rsidRPr="0028273C" w:rsidRDefault="005A7919" w:rsidP="00735457">
      <w:pPr>
        <w:tabs>
          <w:tab w:val="clear" w:pos="567"/>
        </w:tabs>
        <w:rPr>
          <w:szCs w:val="22"/>
          <w:lang w:val="cs-CZ"/>
        </w:rPr>
      </w:pPr>
    </w:p>
    <w:p w14:paraId="787FABD9" w14:textId="3FC4FC27" w:rsidR="00244A8C" w:rsidRPr="0028273C" w:rsidRDefault="00436E93" w:rsidP="00735457">
      <w:pPr>
        <w:keepNext/>
        <w:rPr>
          <w:i/>
          <w:szCs w:val="22"/>
          <w:lang w:val="cs-CZ"/>
        </w:rPr>
      </w:pPr>
      <w:r w:rsidRPr="0028273C">
        <w:rPr>
          <w:i/>
          <w:szCs w:val="22"/>
          <w:lang w:val="cs-CZ"/>
        </w:rPr>
        <w:t xml:space="preserve">Starší </w:t>
      </w:r>
      <w:r w:rsidR="00F8160E">
        <w:rPr>
          <w:i/>
          <w:szCs w:val="22"/>
          <w:lang w:val="cs-CZ"/>
        </w:rPr>
        <w:t>pacienti</w:t>
      </w:r>
    </w:p>
    <w:p w14:paraId="54F09B1E" w14:textId="77777777" w:rsidR="00244A8C" w:rsidRPr="0028273C" w:rsidRDefault="00244A8C" w:rsidP="00735457">
      <w:pPr>
        <w:keepNext/>
        <w:tabs>
          <w:tab w:val="clear" w:pos="567"/>
        </w:tabs>
        <w:rPr>
          <w:szCs w:val="22"/>
          <w:lang w:val="cs-CZ"/>
        </w:rPr>
      </w:pPr>
    </w:p>
    <w:p w14:paraId="2D7BAE55" w14:textId="77777777" w:rsidR="00244A8C" w:rsidRPr="0028273C" w:rsidRDefault="003E26D3" w:rsidP="00735457">
      <w:pPr>
        <w:pStyle w:val="BayerBodyTextFull"/>
        <w:keepNext/>
        <w:spacing w:before="0" w:after="0"/>
        <w:rPr>
          <w:sz w:val="22"/>
          <w:szCs w:val="22"/>
          <w:lang w:val="cs-CZ" w:eastAsia="de-DE"/>
        </w:rPr>
      </w:pPr>
      <w:r w:rsidRPr="0028273C">
        <w:rPr>
          <w:sz w:val="22"/>
          <w:szCs w:val="22"/>
          <w:lang w:val="cs-CZ" w:eastAsia="de-DE"/>
        </w:rPr>
        <w:t>U pacientů ve věku</w:t>
      </w:r>
      <w:r w:rsidR="00244A8C" w:rsidRPr="0028273C">
        <w:rPr>
          <w:sz w:val="22"/>
          <w:szCs w:val="22"/>
          <w:lang w:val="cs-CZ" w:eastAsia="de-DE"/>
        </w:rPr>
        <w:t xml:space="preserve"> ≥65</w:t>
      </w:r>
      <w:r w:rsidR="00F92DB9" w:rsidRPr="0028273C">
        <w:rPr>
          <w:sz w:val="22"/>
          <w:szCs w:val="22"/>
          <w:lang w:val="cs-CZ" w:eastAsia="de-DE"/>
        </w:rPr>
        <w:t> </w:t>
      </w:r>
      <w:r w:rsidRPr="0028273C">
        <w:rPr>
          <w:sz w:val="22"/>
          <w:szCs w:val="22"/>
          <w:lang w:val="cs-CZ" w:eastAsia="de-DE"/>
        </w:rPr>
        <w:t>let jsou k dispozici omezené zkušenosti</w:t>
      </w:r>
      <w:r w:rsidR="00244A8C" w:rsidRPr="0028273C">
        <w:rPr>
          <w:sz w:val="22"/>
          <w:szCs w:val="22"/>
          <w:lang w:val="cs-CZ" w:eastAsia="de-DE"/>
        </w:rPr>
        <w:t>.</w:t>
      </w:r>
    </w:p>
    <w:p w14:paraId="7CDBC3F3" w14:textId="77777777" w:rsidR="00244A8C" w:rsidRPr="0028273C" w:rsidRDefault="00244A8C" w:rsidP="00735457">
      <w:pPr>
        <w:tabs>
          <w:tab w:val="clear" w:pos="567"/>
        </w:tabs>
        <w:rPr>
          <w:szCs w:val="22"/>
          <w:lang w:val="cs-CZ"/>
        </w:rPr>
      </w:pPr>
    </w:p>
    <w:p w14:paraId="15F92FA6" w14:textId="77777777" w:rsidR="00DD6503" w:rsidRPr="0028273C" w:rsidRDefault="00436E93" w:rsidP="00735457">
      <w:pPr>
        <w:keepNext/>
        <w:keepLines/>
        <w:tabs>
          <w:tab w:val="clear" w:pos="567"/>
        </w:tabs>
        <w:rPr>
          <w:szCs w:val="22"/>
          <w:u w:val="single"/>
          <w:lang w:val="cs-CZ"/>
        </w:rPr>
      </w:pPr>
      <w:r w:rsidRPr="0028273C">
        <w:rPr>
          <w:szCs w:val="22"/>
          <w:u w:val="single"/>
          <w:lang w:val="cs-CZ"/>
        </w:rPr>
        <w:t>Způsob podání</w:t>
      </w:r>
    </w:p>
    <w:p w14:paraId="13A5BC37" w14:textId="77777777" w:rsidR="00DD6503" w:rsidRPr="0028273C" w:rsidRDefault="00DD6503" w:rsidP="00735457">
      <w:pPr>
        <w:keepNext/>
        <w:keepLines/>
        <w:tabs>
          <w:tab w:val="clear" w:pos="567"/>
        </w:tabs>
        <w:rPr>
          <w:szCs w:val="22"/>
          <w:lang w:val="cs-CZ"/>
        </w:rPr>
      </w:pPr>
    </w:p>
    <w:p w14:paraId="58323357" w14:textId="77777777" w:rsidR="00DD6503" w:rsidRPr="0028273C" w:rsidRDefault="00436E93" w:rsidP="00735457">
      <w:pPr>
        <w:keepNext/>
        <w:keepLines/>
        <w:tabs>
          <w:tab w:val="clear" w:pos="567"/>
        </w:tabs>
        <w:rPr>
          <w:szCs w:val="22"/>
          <w:lang w:val="cs-CZ"/>
        </w:rPr>
      </w:pPr>
      <w:r w:rsidRPr="0028273C">
        <w:rPr>
          <w:szCs w:val="22"/>
          <w:lang w:val="cs-CZ"/>
        </w:rPr>
        <w:t xml:space="preserve">Přípravek </w:t>
      </w:r>
      <w:proofErr w:type="spellStart"/>
      <w:r w:rsidR="001D641F" w:rsidRPr="0028273C">
        <w:rPr>
          <w:szCs w:val="22"/>
          <w:lang w:val="cs-CZ"/>
        </w:rPr>
        <w:t>Jivi</w:t>
      </w:r>
      <w:proofErr w:type="spellEnd"/>
      <w:r w:rsidR="001D641F" w:rsidRPr="0028273C">
        <w:rPr>
          <w:szCs w:val="22"/>
          <w:lang w:val="cs-CZ"/>
        </w:rPr>
        <w:t xml:space="preserve"> </w:t>
      </w:r>
      <w:r w:rsidRPr="0028273C">
        <w:rPr>
          <w:szCs w:val="22"/>
          <w:lang w:val="cs-CZ"/>
        </w:rPr>
        <w:t xml:space="preserve">je určen </w:t>
      </w:r>
      <w:r w:rsidR="00BE217B">
        <w:rPr>
          <w:szCs w:val="22"/>
          <w:lang w:val="cs-CZ"/>
        </w:rPr>
        <w:t>k</w:t>
      </w:r>
      <w:r w:rsidR="00BE217B" w:rsidRPr="0028273C">
        <w:rPr>
          <w:szCs w:val="22"/>
          <w:lang w:val="cs-CZ"/>
        </w:rPr>
        <w:t xml:space="preserve"> </w:t>
      </w:r>
      <w:r w:rsidRPr="0028273C">
        <w:rPr>
          <w:szCs w:val="22"/>
          <w:lang w:val="cs-CZ"/>
        </w:rPr>
        <w:t>intravenózní</w:t>
      </w:r>
      <w:r w:rsidR="00BE217B">
        <w:rPr>
          <w:szCs w:val="22"/>
          <w:lang w:val="cs-CZ"/>
        </w:rPr>
        <w:t>mu</w:t>
      </w:r>
      <w:r w:rsidRPr="0028273C">
        <w:rPr>
          <w:szCs w:val="22"/>
          <w:lang w:val="cs-CZ"/>
        </w:rPr>
        <w:t xml:space="preserve"> podání</w:t>
      </w:r>
      <w:r w:rsidR="00DD6503" w:rsidRPr="0028273C">
        <w:rPr>
          <w:szCs w:val="22"/>
          <w:lang w:val="cs-CZ"/>
        </w:rPr>
        <w:t>.</w:t>
      </w:r>
    </w:p>
    <w:p w14:paraId="18E874A3" w14:textId="77777777" w:rsidR="00DD6503" w:rsidRPr="0028273C" w:rsidRDefault="00DD6503" w:rsidP="00735457">
      <w:pPr>
        <w:tabs>
          <w:tab w:val="clear" w:pos="567"/>
        </w:tabs>
        <w:rPr>
          <w:szCs w:val="22"/>
          <w:lang w:val="cs-CZ"/>
        </w:rPr>
      </w:pPr>
    </w:p>
    <w:p w14:paraId="28CF5780" w14:textId="77777777" w:rsidR="007D15D3" w:rsidRPr="0028273C" w:rsidRDefault="00436E93" w:rsidP="00735457">
      <w:pPr>
        <w:tabs>
          <w:tab w:val="clear" w:pos="567"/>
        </w:tabs>
        <w:rPr>
          <w:szCs w:val="22"/>
          <w:lang w:val="cs-CZ"/>
        </w:rPr>
      </w:pPr>
      <w:r w:rsidRPr="0028273C">
        <w:rPr>
          <w:lang w:val="cs-CZ"/>
        </w:rPr>
        <w:t xml:space="preserve">Přípravek </w:t>
      </w:r>
      <w:proofErr w:type="spellStart"/>
      <w:r w:rsidRPr="0028273C">
        <w:rPr>
          <w:lang w:val="cs-CZ"/>
        </w:rPr>
        <w:t>Jivi</w:t>
      </w:r>
      <w:proofErr w:type="spellEnd"/>
      <w:r w:rsidRPr="0028273C">
        <w:rPr>
          <w:szCs w:val="22"/>
          <w:lang w:val="cs-CZ"/>
        </w:rPr>
        <w:t xml:space="preserve"> má být </w:t>
      </w:r>
      <w:r w:rsidRPr="0028273C">
        <w:rPr>
          <w:lang w:val="cs-CZ"/>
        </w:rPr>
        <w:t>aplikován</w:t>
      </w:r>
      <w:r w:rsidRPr="0028273C">
        <w:rPr>
          <w:szCs w:val="22"/>
          <w:lang w:val="cs-CZ"/>
        </w:rPr>
        <w:t xml:space="preserve"> intravenózně</w:t>
      </w:r>
      <w:r w:rsidR="00BE217B">
        <w:rPr>
          <w:szCs w:val="22"/>
          <w:lang w:val="cs-CZ"/>
        </w:rPr>
        <w:t xml:space="preserve"> injekcí</w:t>
      </w:r>
      <w:r w:rsidRPr="0028273C">
        <w:rPr>
          <w:szCs w:val="22"/>
          <w:lang w:val="cs-CZ"/>
        </w:rPr>
        <w:t xml:space="preserve"> po dobu 2 až 5 minut v závislosti na celkovém objemu. Rychlost aplikace má být určována podle komfortu pacienta (maximální rychlost infuze:</w:t>
      </w:r>
      <w:r w:rsidR="00D528E3" w:rsidRPr="0028273C">
        <w:rPr>
          <w:szCs w:val="22"/>
          <w:lang w:val="cs-CZ"/>
        </w:rPr>
        <w:t xml:space="preserve"> 2</w:t>
      </w:r>
      <w:r w:rsidRPr="0028273C">
        <w:rPr>
          <w:szCs w:val="22"/>
          <w:lang w:val="cs-CZ"/>
        </w:rPr>
        <w:t>,</w:t>
      </w:r>
      <w:r w:rsidR="000C2FE2" w:rsidRPr="0028273C">
        <w:rPr>
          <w:szCs w:val="22"/>
          <w:lang w:val="cs-CZ"/>
        </w:rPr>
        <w:t>5</w:t>
      </w:r>
      <w:r w:rsidRPr="0028273C">
        <w:rPr>
          <w:szCs w:val="22"/>
          <w:lang w:val="cs-CZ"/>
        </w:rPr>
        <w:t> </w:t>
      </w:r>
      <w:r w:rsidR="00D528E3" w:rsidRPr="0028273C">
        <w:rPr>
          <w:szCs w:val="22"/>
          <w:lang w:val="cs-CZ"/>
        </w:rPr>
        <w:t>m</w:t>
      </w:r>
      <w:r w:rsidRPr="0028273C">
        <w:rPr>
          <w:szCs w:val="22"/>
          <w:lang w:val="cs-CZ"/>
        </w:rPr>
        <w:t>l/</w:t>
      </w:r>
      <w:r w:rsidR="00D528E3" w:rsidRPr="0028273C">
        <w:rPr>
          <w:szCs w:val="22"/>
          <w:lang w:val="cs-CZ"/>
        </w:rPr>
        <w:t>min).</w:t>
      </w:r>
    </w:p>
    <w:p w14:paraId="355C8B83" w14:textId="77777777" w:rsidR="00FE3ACD" w:rsidRPr="0028273C" w:rsidRDefault="00FE3ACD" w:rsidP="00735457">
      <w:pPr>
        <w:tabs>
          <w:tab w:val="clear" w:pos="567"/>
        </w:tabs>
        <w:rPr>
          <w:szCs w:val="22"/>
          <w:lang w:val="cs-CZ"/>
        </w:rPr>
      </w:pPr>
    </w:p>
    <w:p w14:paraId="3A60FB67" w14:textId="77777777" w:rsidR="00DD6503" w:rsidRPr="0028273C" w:rsidRDefault="00436E93" w:rsidP="00735457">
      <w:pPr>
        <w:tabs>
          <w:tab w:val="clear" w:pos="567"/>
        </w:tabs>
        <w:rPr>
          <w:szCs w:val="22"/>
          <w:lang w:val="cs-CZ"/>
        </w:rPr>
      </w:pPr>
      <w:r w:rsidRPr="0028273C">
        <w:rPr>
          <w:noProof/>
          <w:szCs w:val="22"/>
          <w:lang w:val="cs-CZ"/>
        </w:rPr>
        <w:t xml:space="preserve">Návod k rekonstituci tohoto léčivého přípravku před jeho podáním je uveden v bodě 6.6. a </w:t>
      </w:r>
      <w:r w:rsidR="00010CD3">
        <w:rPr>
          <w:noProof/>
          <w:szCs w:val="22"/>
          <w:lang w:val="cs-CZ"/>
        </w:rPr>
        <w:t xml:space="preserve">v </w:t>
      </w:r>
      <w:r w:rsidRPr="0028273C">
        <w:rPr>
          <w:noProof/>
          <w:szCs w:val="22"/>
          <w:lang w:val="cs-CZ"/>
        </w:rPr>
        <w:t>příbalové informaci.</w:t>
      </w:r>
    </w:p>
    <w:p w14:paraId="35997DF4" w14:textId="77777777" w:rsidR="00DD6503" w:rsidRPr="0028273C" w:rsidRDefault="00DD6503" w:rsidP="00735457">
      <w:pPr>
        <w:tabs>
          <w:tab w:val="clear" w:pos="567"/>
        </w:tabs>
        <w:rPr>
          <w:szCs w:val="22"/>
          <w:lang w:val="cs-CZ"/>
        </w:rPr>
      </w:pPr>
    </w:p>
    <w:p w14:paraId="5C81C3D1" w14:textId="77777777" w:rsidR="00DD6503" w:rsidRPr="0028273C" w:rsidRDefault="00DD6503" w:rsidP="00FA1963">
      <w:pPr>
        <w:keepNext/>
        <w:keepLines/>
        <w:tabs>
          <w:tab w:val="clear" w:pos="567"/>
        </w:tabs>
        <w:ind w:left="567" w:hanging="567"/>
        <w:outlineLvl w:val="2"/>
        <w:rPr>
          <w:b/>
          <w:szCs w:val="22"/>
          <w:lang w:val="cs-CZ"/>
        </w:rPr>
      </w:pPr>
      <w:r w:rsidRPr="0028273C">
        <w:rPr>
          <w:b/>
          <w:szCs w:val="22"/>
          <w:lang w:val="cs-CZ"/>
        </w:rPr>
        <w:t>4.3</w:t>
      </w:r>
      <w:r w:rsidRPr="0028273C">
        <w:rPr>
          <w:b/>
          <w:szCs w:val="22"/>
          <w:lang w:val="cs-CZ"/>
        </w:rPr>
        <w:tab/>
      </w:r>
      <w:r w:rsidR="00436E93" w:rsidRPr="0028273C">
        <w:rPr>
          <w:b/>
          <w:szCs w:val="22"/>
          <w:lang w:val="cs-CZ"/>
        </w:rPr>
        <w:t>Kontraindikace</w:t>
      </w:r>
    </w:p>
    <w:p w14:paraId="79422262" w14:textId="77777777" w:rsidR="00DD6503" w:rsidRPr="0028273C" w:rsidRDefault="00DD6503" w:rsidP="00735457">
      <w:pPr>
        <w:keepNext/>
        <w:keepLines/>
        <w:tabs>
          <w:tab w:val="clear" w:pos="567"/>
        </w:tabs>
        <w:rPr>
          <w:szCs w:val="22"/>
          <w:lang w:val="cs-CZ"/>
        </w:rPr>
      </w:pPr>
    </w:p>
    <w:p w14:paraId="792DF44C" w14:textId="77777777" w:rsidR="00DD6503" w:rsidRPr="0028273C" w:rsidRDefault="00436E93" w:rsidP="00735457">
      <w:pPr>
        <w:keepNext/>
        <w:tabs>
          <w:tab w:val="clear" w:pos="567"/>
          <w:tab w:val="left" w:pos="1134"/>
        </w:tabs>
        <w:rPr>
          <w:szCs w:val="22"/>
          <w:lang w:val="cs-CZ"/>
        </w:rPr>
      </w:pPr>
      <w:r w:rsidRPr="0028273C">
        <w:rPr>
          <w:szCs w:val="22"/>
          <w:lang w:val="cs-CZ"/>
        </w:rPr>
        <w:t xml:space="preserve">Hypersenzitivita na léčivou látku nebo na kteroukoli pomocnou látku </w:t>
      </w:r>
      <w:r w:rsidRPr="0028273C">
        <w:rPr>
          <w:noProof/>
          <w:szCs w:val="24"/>
          <w:lang w:val="cs-CZ"/>
        </w:rPr>
        <w:t>uvedenou v bodě 6.1</w:t>
      </w:r>
      <w:r w:rsidRPr="0028273C">
        <w:rPr>
          <w:szCs w:val="22"/>
          <w:lang w:val="cs-CZ"/>
        </w:rPr>
        <w:t>.</w:t>
      </w:r>
    </w:p>
    <w:p w14:paraId="7301FA9F" w14:textId="77777777" w:rsidR="00F92E06" w:rsidRPr="0028273C" w:rsidRDefault="00F92E06" w:rsidP="00735457">
      <w:pPr>
        <w:tabs>
          <w:tab w:val="clear" w:pos="567"/>
          <w:tab w:val="left" w:pos="1134"/>
        </w:tabs>
        <w:rPr>
          <w:szCs w:val="22"/>
          <w:lang w:val="cs-CZ"/>
        </w:rPr>
      </w:pPr>
    </w:p>
    <w:p w14:paraId="2DF89F12" w14:textId="0BC07050" w:rsidR="00DD6503" w:rsidRPr="0028273C" w:rsidRDefault="00436E93" w:rsidP="00735457">
      <w:pPr>
        <w:keepNext/>
        <w:tabs>
          <w:tab w:val="clear" w:pos="567"/>
          <w:tab w:val="left" w:pos="1134"/>
        </w:tabs>
        <w:rPr>
          <w:szCs w:val="22"/>
          <w:lang w:val="cs-CZ"/>
        </w:rPr>
      </w:pPr>
      <w:r w:rsidRPr="0028273C">
        <w:rPr>
          <w:szCs w:val="22"/>
          <w:lang w:val="cs-CZ"/>
        </w:rPr>
        <w:t>Známé alergické reakce na myší</w:t>
      </w:r>
      <w:r w:rsidR="00F8160E" w:rsidRPr="00F8160E">
        <w:rPr>
          <w:szCs w:val="22"/>
          <w:lang w:val="cs-CZ"/>
        </w:rPr>
        <w:t xml:space="preserve"> </w:t>
      </w:r>
      <w:r w:rsidR="00F8160E" w:rsidRPr="0028273C">
        <w:rPr>
          <w:szCs w:val="22"/>
          <w:lang w:val="cs-CZ"/>
        </w:rPr>
        <w:t>proteiny</w:t>
      </w:r>
      <w:r w:rsidRPr="0028273C">
        <w:rPr>
          <w:szCs w:val="22"/>
          <w:lang w:val="cs-CZ"/>
        </w:rPr>
        <w:t xml:space="preserve"> nebo proteiny</w:t>
      </w:r>
      <w:r w:rsidR="005B2F01" w:rsidRPr="005B2F01">
        <w:rPr>
          <w:szCs w:val="22"/>
          <w:lang w:val="cs-CZ"/>
        </w:rPr>
        <w:t xml:space="preserve"> </w:t>
      </w:r>
      <w:r w:rsidR="005B2F01">
        <w:rPr>
          <w:szCs w:val="22"/>
          <w:lang w:val="cs-CZ"/>
        </w:rPr>
        <w:t>křeč</w:t>
      </w:r>
      <w:r w:rsidR="005B2F01" w:rsidRPr="0028273C">
        <w:rPr>
          <w:szCs w:val="22"/>
          <w:lang w:val="cs-CZ"/>
        </w:rPr>
        <w:t>í</w:t>
      </w:r>
      <w:r w:rsidR="005B2F01">
        <w:rPr>
          <w:szCs w:val="22"/>
          <w:lang w:val="cs-CZ"/>
        </w:rPr>
        <w:t>ka</w:t>
      </w:r>
      <w:r w:rsidRPr="0028273C">
        <w:rPr>
          <w:szCs w:val="22"/>
          <w:lang w:val="cs-CZ"/>
        </w:rPr>
        <w:t>.</w:t>
      </w:r>
    </w:p>
    <w:p w14:paraId="35FB5260" w14:textId="77777777" w:rsidR="00DD6503" w:rsidRPr="0028273C" w:rsidRDefault="00DD6503" w:rsidP="00735457">
      <w:pPr>
        <w:tabs>
          <w:tab w:val="clear" w:pos="567"/>
        </w:tabs>
        <w:rPr>
          <w:szCs w:val="22"/>
          <w:lang w:val="cs-CZ"/>
        </w:rPr>
      </w:pPr>
    </w:p>
    <w:p w14:paraId="059408BE" w14:textId="77777777" w:rsidR="00DD6503" w:rsidRDefault="00DD6503" w:rsidP="00FA1963">
      <w:pPr>
        <w:keepNext/>
        <w:keepLines/>
        <w:tabs>
          <w:tab w:val="clear" w:pos="567"/>
        </w:tabs>
        <w:ind w:left="567" w:hanging="567"/>
        <w:outlineLvl w:val="2"/>
        <w:rPr>
          <w:b/>
          <w:szCs w:val="22"/>
          <w:lang w:val="cs-CZ"/>
        </w:rPr>
      </w:pPr>
      <w:r w:rsidRPr="0028273C">
        <w:rPr>
          <w:b/>
          <w:szCs w:val="22"/>
          <w:lang w:val="cs-CZ"/>
        </w:rPr>
        <w:t>4.4</w:t>
      </w:r>
      <w:r w:rsidRPr="0028273C">
        <w:rPr>
          <w:b/>
          <w:szCs w:val="22"/>
          <w:lang w:val="cs-CZ"/>
        </w:rPr>
        <w:tab/>
      </w:r>
      <w:r w:rsidR="00436E93" w:rsidRPr="0028273C">
        <w:rPr>
          <w:b/>
          <w:szCs w:val="22"/>
          <w:lang w:val="cs-CZ"/>
        </w:rPr>
        <w:t>Zvláštní upozornění a opatření pro použití</w:t>
      </w:r>
    </w:p>
    <w:p w14:paraId="1B2008AA" w14:textId="77777777" w:rsidR="00D26DDD" w:rsidRDefault="00D26DDD" w:rsidP="00735457">
      <w:pPr>
        <w:keepNext/>
        <w:keepLines/>
        <w:tabs>
          <w:tab w:val="clear" w:pos="567"/>
        </w:tabs>
        <w:rPr>
          <w:szCs w:val="22"/>
          <w:u w:val="single"/>
          <w:lang w:val="cs-CZ"/>
        </w:rPr>
      </w:pPr>
    </w:p>
    <w:p w14:paraId="0D31CAA7" w14:textId="5B6E5CB2" w:rsidR="00D26DDD" w:rsidRPr="0028273C" w:rsidRDefault="00E40541" w:rsidP="00735457">
      <w:pPr>
        <w:keepNext/>
        <w:keepLines/>
        <w:tabs>
          <w:tab w:val="clear" w:pos="567"/>
        </w:tabs>
        <w:rPr>
          <w:szCs w:val="22"/>
          <w:lang w:val="cs-CZ"/>
        </w:rPr>
      </w:pPr>
      <w:r>
        <w:rPr>
          <w:szCs w:val="22"/>
          <w:u w:val="single"/>
          <w:lang w:val="cs-CZ"/>
        </w:rPr>
        <w:t>Sledovatelnost</w:t>
      </w:r>
    </w:p>
    <w:p w14:paraId="4A382210" w14:textId="0263A3EC" w:rsidR="00D26DDD" w:rsidRPr="0028273C" w:rsidRDefault="003379E2" w:rsidP="00735457">
      <w:pPr>
        <w:keepNext/>
        <w:tabs>
          <w:tab w:val="clear" w:pos="567"/>
        </w:tabs>
        <w:rPr>
          <w:szCs w:val="22"/>
          <w:lang w:val="cs-CZ"/>
        </w:rPr>
      </w:pPr>
      <w:r>
        <w:rPr>
          <w:szCs w:val="22"/>
          <w:lang w:val="cs-CZ"/>
        </w:rPr>
        <w:t xml:space="preserve">Aby se zlepšila sledovatelnost </w:t>
      </w:r>
      <w:r w:rsidR="00D26DDD" w:rsidRPr="0028273C">
        <w:rPr>
          <w:szCs w:val="22"/>
          <w:lang w:val="cs-CZ"/>
        </w:rPr>
        <w:t>biologických léčivých přípravků</w:t>
      </w:r>
      <w:r w:rsidR="00DE4C24">
        <w:rPr>
          <w:szCs w:val="22"/>
          <w:lang w:val="cs-CZ"/>
        </w:rPr>
        <w:t>, má se přehledně</w:t>
      </w:r>
      <w:r w:rsidR="00D26DDD" w:rsidRPr="0028273C">
        <w:rPr>
          <w:szCs w:val="22"/>
          <w:lang w:val="cs-CZ"/>
        </w:rPr>
        <w:t xml:space="preserve"> zaznamen</w:t>
      </w:r>
      <w:r w:rsidR="00DE4C24">
        <w:rPr>
          <w:szCs w:val="22"/>
          <w:lang w:val="cs-CZ"/>
        </w:rPr>
        <w:t>at</w:t>
      </w:r>
      <w:r w:rsidR="00D26DDD" w:rsidRPr="0028273C">
        <w:rPr>
          <w:szCs w:val="22"/>
          <w:lang w:val="cs-CZ"/>
        </w:rPr>
        <w:t xml:space="preserve"> název </w:t>
      </w:r>
      <w:r w:rsidR="004F4A69" w:rsidRPr="0028273C">
        <w:rPr>
          <w:szCs w:val="22"/>
          <w:lang w:val="cs-CZ"/>
        </w:rPr>
        <w:t>podaného přípravku</w:t>
      </w:r>
      <w:r w:rsidR="004F4A69">
        <w:rPr>
          <w:szCs w:val="22"/>
          <w:lang w:val="cs-CZ"/>
        </w:rPr>
        <w:t xml:space="preserve"> </w:t>
      </w:r>
      <w:r w:rsidR="00D26DDD" w:rsidRPr="0028273C">
        <w:rPr>
          <w:szCs w:val="22"/>
          <w:lang w:val="cs-CZ"/>
        </w:rPr>
        <w:t>a číslo šarže</w:t>
      </w:r>
      <w:r w:rsidR="004F4A69">
        <w:rPr>
          <w:szCs w:val="22"/>
          <w:lang w:val="cs-CZ"/>
        </w:rPr>
        <w:t>.</w:t>
      </w:r>
    </w:p>
    <w:p w14:paraId="667F9EE5" w14:textId="77777777" w:rsidR="00DD6503" w:rsidRPr="0028273C" w:rsidRDefault="00DD6503" w:rsidP="00735457">
      <w:pPr>
        <w:tabs>
          <w:tab w:val="clear" w:pos="567"/>
        </w:tabs>
        <w:rPr>
          <w:szCs w:val="22"/>
          <w:lang w:val="cs-CZ"/>
        </w:rPr>
      </w:pPr>
    </w:p>
    <w:p w14:paraId="48FFA449" w14:textId="77777777" w:rsidR="00DD6503" w:rsidRPr="0028273C" w:rsidRDefault="00436E93" w:rsidP="00735457">
      <w:pPr>
        <w:keepNext/>
        <w:keepLines/>
        <w:tabs>
          <w:tab w:val="clear" w:pos="567"/>
        </w:tabs>
        <w:rPr>
          <w:szCs w:val="22"/>
          <w:u w:val="single"/>
          <w:lang w:val="cs-CZ"/>
        </w:rPr>
      </w:pPr>
      <w:r w:rsidRPr="0028273C">
        <w:rPr>
          <w:szCs w:val="22"/>
          <w:u w:val="single"/>
          <w:lang w:val="cs-CZ"/>
        </w:rPr>
        <w:t>Hypersenzitivita</w:t>
      </w:r>
    </w:p>
    <w:p w14:paraId="124E7058" w14:textId="77777777" w:rsidR="00A94A61" w:rsidRPr="0028273C" w:rsidRDefault="00A94A61" w:rsidP="00735457">
      <w:pPr>
        <w:keepNext/>
        <w:keepLines/>
        <w:tabs>
          <w:tab w:val="clear" w:pos="567"/>
        </w:tabs>
        <w:rPr>
          <w:szCs w:val="22"/>
          <w:lang w:val="cs-CZ"/>
        </w:rPr>
      </w:pPr>
    </w:p>
    <w:p w14:paraId="6638A20E" w14:textId="793D0BA0" w:rsidR="00A94A61" w:rsidRPr="0028273C" w:rsidRDefault="003335E6" w:rsidP="00735457">
      <w:pPr>
        <w:keepNext/>
        <w:keepLines/>
        <w:tabs>
          <w:tab w:val="clear" w:pos="567"/>
        </w:tabs>
        <w:rPr>
          <w:szCs w:val="22"/>
          <w:lang w:val="cs-CZ"/>
        </w:rPr>
      </w:pPr>
      <w:r w:rsidRPr="0028273C">
        <w:rPr>
          <w:rFonts w:eastAsia="TimesNewRoman"/>
          <w:szCs w:val="22"/>
          <w:lang w:val="cs-CZ" w:eastAsia="cs-CZ"/>
        </w:rPr>
        <w:t xml:space="preserve">Při léčbě přípravkem </w:t>
      </w:r>
      <w:proofErr w:type="spellStart"/>
      <w:r w:rsidR="001E5077" w:rsidRPr="0028273C">
        <w:rPr>
          <w:rFonts w:eastAsia="TimesNewRoman"/>
          <w:szCs w:val="22"/>
          <w:lang w:val="cs-CZ" w:eastAsia="cs-CZ"/>
        </w:rPr>
        <w:t>Jivi</w:t>
      </w:r>
      <w:proofErr w:type="spellEnd"/>
      <w:r w:rsidRPr="0028273C">
        <w:rPr>
          <w:rFonts w:eastAsia="TimesNewRoman"/>
          <w:szCs w:val="22"/>
          <w:lang w:val="cs-CZ" w:eastAsia="cs-CZ"/>
        </w:rPr>
        <w:t xml:space="preserve"> může dojít </w:t>
      </w:r>
      <w:r w:rsidR="009F483B">
        <w:rPr>
          <w:rFonts w:eastAsia="TimesNewRoman"/>
          <w:szCs w:val="22"/>
          <w:lang w:val="cs-CZ" w:eastAsia="cs-CZ"/>
        </w:rPr>
        <w:t xml:space="preserve">ke vzniku hypersenzitivních reakcí </w:t>
      </w:r>
      <w:r w:rsidRPr="0028273C">
        <w:rPr>
          <w:rFonts w:eastAsia="TimesNewRoman"/>
          <w:szCs w:val="22"/>
          <w:lang w:val="cs-CZ" w:eastAsia="cs-CZ"/>
        </w:rPr>
        <w:t>alergického typu. Léčivý</w:t>
      </w:r>
      <w:r w:rsidR="00E02697" w:rsidRPr="0028273C">
        <w:rPr>
          <w:rFonts w:eastAsia="TimesNewRoman"/>
          <w:szCs w:val="22"/>
          <w:lang w:val="cs-CZ" w:eastAsia="cs-CZ"/>
        </w:rPr>
        <w:t xml:space="preserve"> </w:t>
      </w:r>
      <w:r w:rsidRPr="0028273C">
        <w:rPr>
          <w:rFonts w:eastAsia="TimesNewRoman"/>
          <w:szCs w:val="22"/>
          <w:lang w:val="cs-CZ" w:eastAsia="cs-CZ"/>
        </w:rPr>
        <w:t>přípravek obsahuje stopová množství myších</w:t>
      </w:r>
      <w:r w:rsidR="005B2F01">
        <w:rPr>
          <w:rFonts w:eastAsia="TimesNewRoman"/>
          <w:szCs w:val="22"/>
          <w:lang w:val="cs-CZ" w:eastAsia="cs-CZ"/>
        </w:rPr>
        <w:t xml:space="preserve"> proteinů</w:t>
      </w:r>
      <w:r w:rsidRPr="0028273C">
        <w:rPr>
          <w:rFonts w:eastAsia="TimesNewRoman"/>
          <w:szCs w:val="22"/>
          <w:lang w:val="cs-CZ" w:eastAsia="cs-CZ"/>
        </w:rPr>
        <w:t xml:space="preserve"> a </w:t>
      </w:r>
      <w:r w:rsidR="009F483B">
        <w:rPr>
          <w:rFonts w:eastAsia="TimesNewRoman"/>
          <w:szCs w:val="22"/>
          <w:lang w:val="cs-CZ" w:eastAsia="cs-CZ"/>
        </w:rPr>
        <w:t>proteinů</w:t>
      </w:r>
      <w:r w:rsidR="005B2F01">
        <w:rPr>
          <w:rFonts w:eastAsia="TimesNewRoman"/>
          <w:szCs w:val="22"/>
          <w:lang w:val="cs-CZ" w:eastAsia="cs-CZ"/>
        </w:rPr>
        <w:t xml:space="preserve"> křečíka</w:t>
      </w:r>
      <w:r w:rsidRPr="0028273C">
        <w:rPr>
          <w:rFonts w:eastAsia="TimesNewRoman"/>
          <w:szCs w:val="22"/>
          <w:lang w:val="cs-CZ" w:eastAsia="cs-CZ"/>
        </w:rPr>
        <w:t xml:space="preserve">. </w:t>
      </w:r>
      <w:r w:rsidR="009F483B">
        <w:rPr>
          <w:rFonts w:eastAsia="TimesNewRoman"/>
          <w:szCs w:val="22"/>
          <w:lang w:val="cs-CZ" w:eastAsia="cs-CZ"/>
        </w:rPr>
        <w:t> Hypersenzitivní reakce</w:t>
      </w:r>
      <w:r w:rsidR="00DD1360" w:rsidRPr="0028273C">
        <w:rPr>
          <w:rFonts w:eastAsia="TimesNewRoman"/>
          <w:szCs w:val="22"/>
          <w:lang w:val="cs-CZ" w:eastAsia="cs-CZ"/>
        </w:rPr>
        <w:t xml:space="preserve"> mohou také souviset s protilátkami proti PEG (viz odstavec </w:t>
      </w:r>
      <w:r w:rsidR="00DD1360" w:rsidRPr="0028273C">
        <w:rPr>
          <w:szCs w:val="22"/>
          <w:lang w:val="cs-CZ"/>
        </w:rPr>
        <w:t xml:space="preserve">Imunitní odpověď na </w:t>
      </w:r>
      <w:proofErr w:type="spellStart"/>
      <w:r w:rsidR="00DD1360" w:rsidRPr="0028273C">
        <w:rPr>
          <w:szCs w:val="22"/>
          <w:lang w:val="cs-CZ"/>
        </w:rPr>
        <w:t>polyethylenglykol</w:t>
      </w:r>
      <w:proofErr w:type="spellEnd"/>
      <w:r w:rsidR="00DD1360" w:rsidRPr="0028273C">
        <w:rPr>
          <w:szCs w:val="22"/>
          <w:lang w:val="cs-CZ"/>
        </w:rPr>
        <w:t xml:space="preserve"> (PEG)).</w:t>
      </w:r>
      <w:r w:rsidR="00DD1360" w:rsidRPr="0028273C">
        <w:rPr>
          <w:rFonts w:eastAsia="TimesNewRoman"/>
          <w:szCs w:val="22"/>
          <w:lang w:val="cs-CZ" w:eastAsia="cs-CZ"/>
        </w:rPr>
        <w:t xml:space="preserve"> </w:t>
      </w:r>
      <w:r w:rsidR="009F483B">
        <w:rPr>
          <w:rFonts w:eastAsia="TimesNewRoman"/>
          <w:szCs w:val="22"/>
          <w:lang w:val="cs-CZ" w:eastAsia="cs-CZ"/>
        </w:rPr>
        <w:t>Pokud</w:t>
      </w:r>
      <w:r w:rsidRPr="0028273C">
        <w:rPr>
          <w:rFonts w:eastAsia="TimesNewRoman"/>
          <w:szCs w:val="22"/>
          <w:lang w:val="cs-CZ" w:eastAsia="cs-CZ"/>
        </w:rPr>
        <w:t xml:space="preserve"> se</w:t>
      </w:r>
      <w:r w:rsidR="009F483B">
        <w:rPr>
          <w:rFonts w:eastAsia="TimesNewRoman"/>
          <w:szCs w:val="22"/>
          <w:lang w:val="cs-CZ" w:eastAsia="cs-CZ"/>
        </w:rPr>
        <w:t xml:space="preserve"> objeví</w:t>
      </w:r>
      <w:r w:rsidRPr="0028273C">
        <w:rPr>
          <w:rFonts w:eastAsia="TimesNewRoman"/>
          <w:szCs w:val="22"/>
          <w:lang w:val="cs-CZ" w:eastAsia="cs-CZ"/>
        </w:rPr>
        <w:t xml:space="preserve"> příznaky</w:t>
      </w:r>
      <w:r w:rsidR="00E02697" w:rsidRPr="0028273C">
        <w:rPr>
          <w:rFonts w:eastAsia="TimesNewRoman"/>
          <w:szCs w:val="22"/>
          <w:lang w:val="cs-CZ" w:eastAsia="cs-CZ"/>
        </w:rPr>
        <w:t xml:space="preserve"> </w:t>
      </w:r>
      <w:r w:rsidRPr="0028273C">
        <w:rPr>
          <w:rFonts w:eastAsia="TimesNewRoman"/>
          <w:szCs w:val="22"/>
          <w:lang w:val="cs-CZ" w:eastAsia="cs-CZ"/>
        </w:rPr>
        <w:t xml:space="preserve">hypersenzitivity, pacientům </w:t>
      </w:r>
      <w:r w:rsidR="009F483B">
        <w:rPr>
          <w:rFonts w:eastAsia="TimesNewRoman"/>
          <w:szCs w:val="22"/>
          <w:lang w:val="cs-CZ" w:eastAsia="cs-CZ"/>
        </w:rPr>
        <w:t>má být doporučeno</w:t>
      </w:r>
      <w:r w:rsidRPr="0028273C">
        <w:rPr>
          <w:rFonts w:eastAsia="TimesNewRoman"/>
          <w:szCs w:val="22"/>
          <w:lang w:val="cs-CZ" w:eastAsia="cs-CZ"/>
        </w:rPr>
        <w:t xml:space="preserve">, aby </w:t>
      </w:r>
      <w:r w:rsidR="009F483B">
        <w:rPr>
          <w:rFonts w:eastAsia="TimesNewRoman"/>
          <w:szCs w:val="22"/>
          <w:lang w:val="cs-CZ" w:eastAsia="cs-CZ"/>
        </w:rPr>
        <w:t>okamžitě</w:t>
      </w:r>
      <w:r w:rsidR="009F483B" w:rsidRPr="0028273C">
        <w:rPr>
          <w:rFonts w:eastAsia="TimesNewRoman"/>
          <w:szCs w:val="22"/>
          <w:lang w:val="cs-CZ" w:eastAsia="cs-CZ"/>
        </w:rPr>
        <w:t xml:space="preserve"> </w:t>
      </w:r>
      <w:r w:rsidRPr="0028273C">
        <w:rPr>
          <w:rFonts w:eastAsia="TimesNewRoman"/>
          <w:szCs w:val="22"/>
          <w:lang w:val="cs-CZ" w:eastAsia="cs-CZ"/>
        </w:rPr>
        <w:t xml:space="preserve">přerušili používání tohoto léčivého přípravku a </w:t>
      </w:r>
      <w:r w:rsidR="009F483B">
        <w:rPr>
          <w:rFonts w:eastAsia="TimesNewRoman"/>
          <w:szCs w:val="22"/>
          <w:lang w:val="cs-CZ" w:eastAsia="cs-CZ"/>
        </w:rPr>
        <w:t>kontaktovali</w:t>
      </w:r>
      <w:r w:rsidRPr="0028273C">
        <w:rPr>
          <w:rFonts w:eastAsia="TimesNewRoman"/>
          <w:szCs w:val="22"/>
          <w:lang w:val="cs-CZ" w:eastAsia="cs-CZ"/>
        </w:rPr>
        <w:t xml:space="preserve"> svého lékaře. </w:t>
      </w:r>
      <w:r w:rsidR="00D113DE" w:rsidRPr="0028273C">
        <w:rPr>
          <w:szCs w:val="22"/>
          <w:bdr w:val="nil"/>
          <w:lang w:val="cs-CZ" w:eastAsia="en-US"/>
        </w:rPr>
        <w:t xml:space="preserve">Pacienti mají být informováni o </w:t>
      </w:r>
      <w:r w:rsidR="009F483B">
        <w:rPr>
          <w:szCs w:val="22"/>
          <w:bdr w:val="nil"/>
          <w:lang w:val="cs-CZ" w:eastAsia="en-US"/>
        </w:rPr>
        <w:t xml:space="preserve">časných </w:t>
      </w:r>
      <w:r w:rsidR="00D05DB2">
        <w:rPr>
          <w:szCs w:val="22"/>
          <w:bdr w:val="nil"/>
          <w:lang w:val="cs-CZ" w:eastAsia="en-US"/>
        </w:rPr>
        <w:t xml:space="preserve">známkách </w:t>
      </w:r>
      <w:r w:rsidR="009F483B">
        <w:rPr>
          <w:szCs w:val="22"/>
          <w:bdr w:val="nil"/>
          <w:lang w:val="cs-CZ" w:eastAsia="en-US"/>
        </w:rPr>
        <w:t xml:space="preserve">hypersenzitivních </w:t>
      </w:r>
      <w:r w:rsidR="00D113DE" w:rsidRPr="0028273C">
        <w:rPr>
          <w:szCs w:val="22"/>
          <w:bdr w:val="nil"/>
          <w:lang w:val="cs-CZ" w:eastAsia="en-US"/>
        </w:rPr>
        <w:t xml:space="preserve">reakcí, </w:t>
      </w:r>
      <w:r w:rsidR="009F483B">
        <w:rPr>
          <w:szCs w:val="22"/>
          <w:bdr w:val="nil"/>
          <w:lang w:val="cs-CZ" w:eastAsia="en-US"/>
        </w:rPr>
        <w:t>které zahrnují</w:t>
      </w:r>
      <w:r w:rsidR="00D113DE" w:rsidRPr="0028273C">
        <w:rPr>
          <w:szCs w:val="22"/>
          <w:bdr w:val="nil"/>
          <w:lang w:val="cs-CZ" w:eastAsia="en-US"/>
        </w:rPr>
        <w:t xml:space="preserve"> kopřivk</w:t>
      </w:r>
      <w:r w:rsidR="009F483B">
        <w:rPr>
          <w:szCs w:val="22"/>
          <w:bdr w:val="nil"/>
          <w:lang w:val="cs-CZ" w:eastAsia="en-US"/>
        </w:rPr>
        <w:t>u</w:t>
      </w:r>
      <w:r w:rsidR="00D113DE" w:rsidRPr="0028273C">
        <w:rPr>
          <w:szCs w:val="22"/>
          <w:bdr w:val="nil"/>
          <w:lang w:val="cs-CZ" w:eastAsia="en-US"/>
        </w:rPr>
        <w:t>, generalizovan</w:t>
      </w:r>
      <w:r w:rsidR="009F483B">
        <w:rPr>
          <w:szCs w:val="22"/>
          <w:bdr w:val="nil"/>
          <w:lang w:val="cs-CZ" w:eastAsia="en-US"/>
        </w:rPr>
        <w:t>ou</w:t>
      </w:r>
      <w:r w:rsidR="00D113DE" w:rsidRPr="0028273C">
        <w:rPr>
          <w:szCs w:val="22"/>
          <w:bdr w:val="nil"/>
          <w:lang w:val="cs-CZ" w:eastAsia="en-US"/>
        </w:rPr>
        <w:t xml:space="preserve"> kopřivk</w:t>
      </w:r>
      <w:r w:rsidR="009F483B">
        <w:rPr>
          <w:szCs w:val="22"/>
          <w:bdr w:val="nil"/>
          <w:lang w:val="cs-CZ" w:eastAsia="en-US"/>
        </w:rPr>
        <w:t>u</w:t>
      </w:r>
      <w:r w:rsidR="00D113DE" w:rsidRPr="0028273C">
        <w:rPr>
          <w:szCs w:val="22"/>
          <w:bdr w:val="nil"/>
          <w:lang w:val="cs-CZ" w:eastAsia="en-US"/>
        </w:rPr>
        <w:t xml:space="preserve">, </w:t>
      </w:r>
      <w:r w:rsidR="009C6B90">
        <w:rPr>
          <w:szCs w:val="22"/>
          <w:bdr w:val="nil"/>
          <w:lang w:val="cs-CZ" w:eastAsia="en-US"/>
        </w:rPr>
        <w:t>tíseň</w:t>
      </w:r>
      <w:r w:rsidR="00D05DB2">
        <w:rPr>
          <w:szCs w:val="22"/>
          <w:bdr w:val="nil"/>
          <w:lang w:val="cs-CZ" w:eastAsia="en-US"/>
        </w:rPr>
        <w:t xml:space="preserve"> </w:t>
      </w:r>
      <w:r w:rsidR="00D113DE" w:rsidRPr="0028273C">
        <w:rPr>
          <w:szCs w:val="22"/>
          <w:bdr w:val="nil"/>
          <w:lang w:val="cs-CZ" w:eastAsia="en-US"/>
        </w:rPr>
        <w:t>na hrudi, síp</w:t>
      </w:r>
      <w:r w:rsidR="009C6B90">
        <w:rPr>
          <w:szCs w:val="22"/>
          <w:bdr w:val="nil"/>
          <w:lang w:val="cs-CZ" w:eastAsia="en-US"/>
        </w:rPr>
        <w:t>ot</w:t>
      </w:r>
      <w:r w:rsidR="00D113DE" w:rsidRPr="0028273C">
        <w:rPr>
          <w:szCs w:val="22"/>
          <w:bdr w:val="nil"/>
          <w:lang w:val="cs-CZ" w:eastAsia="en-US"/>
        </w:rPr>
        <w:t>, hypotenz</w:t>
      </w:r>
      <w:r w:rsidR="009F483B">
        <w:rPr>
          <w:szCs w:val="22"/>
          <w:bdr w:val="nil"/>
          <w:lang w:val="cs-CZ" w:eastAsia="en-US"/>
        </w:rPr>
        <w:t>i</w:t>
      </w:r>
      <w:r w:rsidR="00D113DE" w:rsidRPr="0028273C">
        <w:rPr>
          <w:szCs w:val="22"/>
          <w:bdr w:val="nil"/>
          <w:lang w:val="cs-CZ" w:eastAsia="en-US"/>
        </w:rPr>
        <w:t xml:space="preserve"> a </w:t>
      </w:r>
      <w:r w:rsidR="000B3FAC" w:rsidRPr="0028273C">
        <w:rPr>
          <w:szCs w:val="22"/>
          <w:bdr w:val="nil"/>
          <w:lang w:val="cs-CZ" w:eastAsia="en-US"/>
        </w:rPr>
        <w:t>anafylax</w:t>
      </w:r>
      <w:r w:rsidR="009F483B">
        <w:rPr>
          <w:szCs w:val="22"/>
          <w:bdr w:val="nil"/>
          <w:lang w:val="cs-CZ" w:eastAsia="en-US"/>
        </w:rPr>
        <w:t>i</w:t>
      </w:r>
      <w:r w:rsidR="00D113DE" w:rsidRPr="0028273C">
        <w:rPr>
          <w:szCs w:val="22"/>
          <w:bdr w:val="nil"/>
          <w:lang w:val="cs-CZ" w:eastAsia="en-US"/>
        </w:rPr>
        <w:t xml:space="preserve">. </w:t>
      </w:r>
      <w:r w:rsidR="009F483B">
        <w:rPr>
          <w:szCs w:val="22"/>
          <w:bdr w:val="nil"/>
          <w:lang w:val="cs-CZ" w:eastAsia="en-US"/>
        </w:rPr>
        <w:t>Dle potřeby má být podána s</w:t>
      </w:r>
      <w:r w:rsidR="00D113DE" w:rsidRPr="0028273C">
        <w:rPr>
          <w:szCs w:val="22"/>
          <w:bdr w:val="nil"/>
          <w:lang w:val="cs-CZ" w:eastAsia="en-US"/>
        </w:rPr>
        <w:t xml:space="preserve">ymptomatická léčba hypersenzitivity. V případě anafylaxe </w:t>
      </w:r>
      <w:r w:rsidR="00DD1360" w:rsidRPr="0028273C">
        <w:rPr>
          <w:szCs w:val="22"/>
          <w:bdr w:val="nil"/>
          <w:lang w:val="cs-CZ" w:eastAsia="en-US"/>
        </w:rPr>
        <w:t xml:space="preserve">nebo šoku </w:t>
      </w:r>
      <w:r w:rsidR="00CC5D73">
        <w:rPr>
          <w:szCs w:val="22"/>
          <w:bdr w:val="nil"/>
          <w:lang w:val="cs-CZ" w:eastAsia="en-US"/>
        </w:rPr>
        <w:t xml:space="preserve">musí být </w:t>
      </w:r>
      <w:proofErr w:type="gramStart"/>
      <w:r w:rsidR="00D537D5">
        <w:rPr>
          <w:szCs w:val="22"/>
          <w:bdr w:val="nil"/>
          <w:lang w:val="cs-CZ" w:eastAsia="en-US"/>
        </w:rPr>
        <w:t>za</w:t>
      </w:r>
      <w:r w:rsidR="00CC5D73">
        <w:rPr>
          <w:szCs w:val="22"/>
          <w:bdr w:val="nil"/>
          <w:lang w:val="cs-CZ" w:eastAsia="en-US"/>
        </w:rPr>
        <w:t>vedena</w:t>
      </w:r>
      <w:r w:rsidR="00DD1360" w:rsidRPr="0028273C">
        <w:rPr>
          <w:szCs w:val="22"/>
          <w:bdr w:val="nil"/>
          <w:lang w:val="cs-CZ" w:eastAsia="en-US"/>
        </w:rPr>
        <w:t xml:space="preserve"> </w:t>
      </w:r>
      <w:r w:rsidR="00D113DE" w:rsidRPr="0028273C">
        <w:rPr>
          <w:szCs w:val="22"/>
          <w:bdr w:val="nil"/>
          <w:lang w:val="cs-CZ" w:eastAsia="en-US"/>
        </w:rPr>
        <w:t xml:space="preserve"> standard</w:t>
      </w:r>
      <w:r w:rsidR="00CC5D73">
        <w:rPr>
          <w:szCs w:val="22"/>
          <w:bdr w:val="nil"/>
          <w:lang w:val="cs-CZ" w:eastAsia="en-US"/>
        </w:rPr>
        <w:t>ní</w:t>
      </w:r>
      <w:proofErr w:type="gramEnd"/>
      <w:r w:rsidR="00D113DE" w:rsidRPr="0028273C">
        <w:rPr>
          <w:szCs w:val="22"/>
          <w:bdr w:val="nil"/>
          <w:lang w:val="cs-CZ" w:eastAsia="en-US"/>
        </w:rPr>
        <w:t xml:space="preserve"> léčb</w:t>
      </w:r>
      <w:r w:rsidR="00CC5D73">
        <w:rPr>
          <w:szCs w:val="22"/>
          <w:bdr w:val="nil"/>
          <w:lang w:val="cs-CZ" w:eastAsia="en-US"/>
        </w:rPr>
        <w:t>a</w:t>
      </w:r>
      <w:r w:rsidR="00D113DE" w:rsidRPr="0028273C">
        <w:rPr>
          <w:szCs w:val="22"/>
          <w:bdr w:val="nil"/>
          <w:lang w:val="cs-CZ" w:eastAsia="en-US"/>
        </w:rPr>
        <w:t>.</w:t>
      </w:r>
    </w:p>
    <w:p w14:paraId="25ADD4DF" w14:textId="77777777" w:rsidR="00A94A61" w:rsidRPr="0028273C" w:rsidRDefault="00A94A61" w:rsidP="00735457">
      <w:pPr>
        <w:pStyle w:val="BayerBodyTextFull"/>
        <w:spacing w:before="0" w:after="0"/>
        <w:rPr>
          <w:sz w:val="22"/>
          <w:szCs w:val="22"/>
          <w:lang w:val="cs-CZ"/>
        </w:rPr>
      </w:pPr>
    </w:p>
    <w:p w14:paraId="18CC2410" w14:textId="77777777" w:rsidR="00DD6503" w:rsidRPr="0028273C" w:rsidRDefault="00FE4EEB" w:rsidP="00735457">
      <w:pPr>
        <w:keepNext/>
        <w:keepLines/>
        <w:tabs>
          <w:tab w:val="clear" w:pos="567"/>
        </w:tabs>
        <w:rPr>
          <w:szCs w:val="22"/>
          <w:u w:val="single"/>
          <w:lang w:val="cs-CZ"/>
        </w:rPr>
      </w:pPr>
      <w:r w:rsidRPr="0028273C">
        <w:rPr>
          <w:szCs w:val="22"/>
          <w:u w:val="single"/>
          <w:lang w:val="cs-CZ"/>
        </w:rPr>
        <w:t>Inhibitory</w:t>
      </w:r>
    </w:p>
    <w:p w14:paraId="6A90445D" w14:textId="77777777" w:rsidR="00DD6503" w:rsidRPr="0028273C" w:rsidRDefault="00DD6503" w:rsidP="00735457">
      <w:pPr>
        <w:keepNext/>
        <w:keepLines/>
        <w:tabs>
          <w:tab w:val="clear" w:pos="567"/>
        </w:tabs>
        <w:rPr>
          <w:szCs w:val="22"/>
          <w:lang w:val="cs-CZ"/>
        </w:rPr>
      </w:pPr>
    </w:p>
    <w:p w14:paraId="3B9B99B9" w14:textId="77777777" w:rsidR="00DD6503" w:rsidRPr="0028273C" w:rsidRDefault="00FE4EEB" w:rsidP="00735457">
      <w:pPr>
        <w:keepNext/>
        <w:keepLines/>
        <w:tabs>
          <w:tab w:val="clear" w:pos="567"/>
        </w:tabs>
        <w:rPr>
          <w:szCs w:val="22"/>
          <w:lang w:val="cs-CZ"/>
        </w:rPr>
      </w:pPr>
      <w:r w:rsidRPr="0028273C">
        <w:rPr>
          <w:rFonts w:eastAsia="SimSun"/>
          <w:szCs w:val="22"/>
          <w:lang w:val="cs-CZ"/>
        </w:rPr>
        <w:t xml:space="preserve">Tvorba neutralizujících protilátek (inhibitorů) faktoru VIII je známou komplikací léčby jedinců s hemofilií A. Tyto inhibitory jsou obvykle imunoglobuliny </w:t>
      </w:r>
      <w:proofErr w:type="spellStart"/>
      <w:r w:rsidRPr="0028273C">
        <w:rPr>
          <w:rFonts w:eastAsia="SimSun"/>
          <w:szCs w:val="22"/>
          <w:lang w:val="cs-CZ"/>
        </w:rPr>
        <w:t>IgG</w:t>
      </w:r>
      <w:proofErr w:type="spellEnd"/>
      <w:r w:rsidRPr="0028273C">
        <w:rPr>
          <w:rFonts w:eastAsia="SimSun"/>
          <w:szCs w:val="22"/>
          <w:lang w:val="cs-CZ"/>
        </w:rPr>
        <w:t xml:space="preserve"> zaměřené proti </w:t>
      </w:r>
      <w:proofErr w:type="spellStart"/>
      <w:r w:rsidRPr="0028273C">
        <w:rPr>
          <w:rFonts w:eastAsia="SimSun"/>
          <w:szCs w:val="22"/>
          <w:lang w:val="cs-CZ"/>
        </w:rPr>
        <w:t>prokoagulační</w:t>
      </w:r>
      <w:proofErr w:type="spellEnd"/>
      <w:r w:rsidRPr="0028273C">
        <w:rPr>
          <w:rFonts w:eastAsia="SimSun"/>
          <w:szCs w:val="22"/>
          <w:lang w:val="cs-CZ"/>
        </w:rPr>
        <w:t xml:space="preserve"> aktivitě faktoru VIII, které jsou kvantifikovány v </w:t>
      </w:r>
      <w:proofErr w:type="spellStart"/>
      <w:r w:rsidRPr="0028273C">
        <w:rPr>
          <w:rFonts w:eastAsia="SimSun"/>
          <w:szCs w:val="22"/>
          <w:lang w:val="cs-CZ"/>
        </w:rPr>
        <w:t>Bethesda</w:t>
      </w:r>
      <w:proofErr w:type="spellEnd"/>
      <w:r w:rsidRPr="0028273C">
        <w:rPr>
          <w:rFonts w:eastAsia="SimSun"/>
          <w:szCs w:val="22"/>
          <w:lang w:val="cs-CZ"/>
        </w:rPr>
        <w:t xml:space="preserve"> jednotkách (</w:t>
      </w:r>
      <w:proofErr w:type="spellStart"/>
      <w:r w:rsidRPr="0028273C">
        <w:rPr>
          <w:rFonts w:eastAsia="SimSun"/>
          <w:szCs w:val="22"/>
          <w:lang w:val="cs-CZ"/>
        </w:rPr>
        <w:t>Bethesda</w:t>
      </w:r>
      <w:proofErr w:type="spellEnd"/>
      <w:r w:rsidRPr="0028273C">
        <w:rPr>
          <w:rFonts w:eastAsia="SimSun"/>
          <w:szCs w:val="22"/>
          <w:lang w:val="cs-CZ"/>
        </w:rPr>
        <w:t xml:space="preserve"> </w:t>
      </w:r>
      <w:proofErr w:type="spellStart"/>
      <w:r w:rsidRPr="0028273C">
        <w:rPr>
          <w:rFonts w:eastAsia="SimSun"/>
          <w:szCs w:val="22"/>
          <w:lang w:val="cs-CZ"/>
        </w:rPr>
        <w:t>Units</w:t>
      </w:r>
      <w:proofErr w:type="spellEnd"/>
      <w:r w:rsidRPr="0028273C">
        <w:rPr>
          <w:rFonts w:eastAsia="SimSun"/>
          <w:szCs w:val="22"/>
          <w:lang w:val="cs-CZ"/>
        </w:rPr>
        <w:t xml:space="preserve">, BU) na ml plazmy s použitím modifikovaného testu. </w:t>
      </w:r>
      <w:r w:rsidRPr="0028273C">
        <w:rPr>
          <w:szCs w:val="22"/>
          <w:lang w:val="cs-CZ"/>
        </w:rPr>
        <w:t xml:space="preserve">Riziko vzniku inhibitorů souvisí se </w:t>
      </w:r>
      <w:r w:rsidR="000B3FAC" w:rsidRPr="0028273C">
        <w:rPr>
          <w:szCs w:val="22"/>
          <w:lang w:val="cs-CZ"/>
        </w:rPr>
        <w:t>závažností</w:t>
      </w:r>
      <w:r w:rsidRPr="0028273C">
        <w:rPr>
          <w:szCs w:val="22"/>
          <w:lang w:val="cs-CZ"/>
        </w:rPr>
        <w:t xml:space="preserve"> onemocnění i s expozicí faktoru</w:t>
      </w:r>
      <w:r w:rsidR="00E02697" w:rsidRPr="0028273C">
        <w:rPr>
          <w:szCs w:val="22"/>
          <w:lang w:val="cs-CZ"/>
        </w:rPr>
        <w:t> </w:t>
      </w:r>
      <w:r w:rsidRPr="0028273C">
        <w:rPr>
          <w:szCs w:val="22"/>
          <w:lang w:val="cs-CZ"/>
        </w:rPr>
        <w:t>VIII</w:t>
      </w:r>
      <w:r w:rsidR="00DD6503" w:rsidRPr="0028273C">
        <w:rPr>
          <w:szCs w:val="22"/>
          <w:lang w:val="cs-CZ"/>
        </w:rPr>
        <w:t>,</w:t>
      </w:r>
      <w:r w:rsidRPr="0028273C">
        <w:rPr>
          <w:szCs w:val="22"/>
          <w:lang w:val="cs-CZ"/>
        </w:rPr>
        <w:t xml:space="preserve"> přičemž toto riziko je nejvyšší během prvních 50 dnů expozice, ale pokračuje během života, ačkoli je méně časté</w:t>
      </w:r>
      <w:r w:rsidR="00DD6503" w:rsidRPr="0028273C">
        <w:rPr>
          <w:szCs w:val="22"/>
          <w:lang w:val="cs-CZ"/>
        </w:rPr>
        <w:t>.</w:t>
      </w:r>
      <w:r w:rsidRPr="0028273C">
        <w:rPr>
          <w:szCs w:val="22"/>
          <w:lang w:val="cs-CZ"/>
        </w:rPr>
        <w:t xml:space="preserve"> </w:t>
      </w:r>
      <w:r w:rsidRPr="0028273C">
        <w:rPr>
          <w:rFonts w:eastAsia="SimSun"/>
          <w:szCs w:val="22"/>
          <w:lang w:val="cs-CZ"/>
        </w:rPr>
        <w:t>Vzácně mohou inhibitory vzniknout po prvních 50 dnech expozice.</w:t>
      </w:r>
    </w:p>
    <w:p w14:paraId="5B65244C" w14:textId="77777777" w:rsidR="00DD6503" w:rsidRPr="0028273C" w:rsidRDefault="00DD6503" w:rsidP="00735457">
      <w:pPr>
        <w:tabs>
          <w:tab w:val="clear" w:pos="567"/>
        </w:tabs>
        <w:rPr>
          <w:szCs w:val="22"/>
          <w:lang w:val="cs-CZ"/>
        </w:rPr>
      </w:pPr>
    </w:p>
    <w:p w14:paraId="522E6C7F" w14:textId="77777777" w:rsidR="00FE4EEB" w:rsidRPr="0028273C" w:rsidRDefault="00FE4EEB" w:rsidP="00735457">
      <w:pPr>
        <w:tabs>
          <w:tab w:val="clear" w:pos="567"/>
        </w:tabs>
        <w:rPr>
          <w:szCs w:val="22"/>
          <w:lang w:val="cs-CZ"/>
        </w:rPr>
      </w:pPr>
      <w:r w:rsidRPr="0028273C">
        <w:rPr>
          <w:rFonts w:eastAsia="SimSun"/>
          <w:szCs w:val="22"/>
          <w:lang w:val="cs-CZ"/>
        </w:rPr>
        <w:t>Klinický význam vzniku inhibitorů bude záviset na titru inhibitoru, přičemž inhibitory nízkého titru, které jsou krátkodobě přítomny nebo zůstávají trvale na nízkém titru, představují menší riziko nedostatečné klinické odpovědi než inhibitory vysokého titru.</w:t>
      </w:r>
    </w:p>
    <w:p w14:paraId="5A052BC3" w14:textId="77777777" w:rsidR="00DD6503" w:rsidRPr="0028273C" w:rsidRDefault="00DD6503" w:rsidP="00735457">
      <w:pPr>
        <w:tabs>
          <w:tab w:val="clear" w:pos="567"/>
        </w:tabs>
        <w:rPr>
          <w:szCs w:val="22"/>
          <w:lang w:val="cs-CZ"/>
        </w:rPr>
      </w:pPr>
    </w:p>
    <w:p w14:paraId="136CB9B3" w14:textId="77777777" w:rsidR="00DD6503" w:rsidRPr="0028273C" w:rsidRDefault="00436E93" w:rsidP="00735457">
      <w:pPr>
        <w:tabs>
          <w:tab w:val="clear" w:pos="567"/>
        </w:tabs>
        <w:rPr>
          <w:szCs w:val="22"/>
          <w:lang w:val="cs-CZ"/>
        </w:rPr>
      </w:pPr>
      <w:r w:rsidRPr="0028273C">
        <w:rPr>
          <w:rFonts w:eastAsia="SimSun"/>
          <w:szCs w:val="22"/>
          <w:lang w:val="cs-CZ"/>
        </w:rPr>
        <w:lastRenderedPageBreak/>
        <w:t>Obecně platí, že všichni pacienti léčení přípravky s koagulačním faktorem</w:t>
      </w:r>
      <w:r w:rsidR="00E02697" w:rsidRPr="0028273C">
        <w:rPr>
          <w:rFonts w:eastAsia="SimSun"/>
          <w:szCs w:val="22"/>
          <w:lang w:val="cs-CZ"/>
        </w:rPr>
        <w:t> </w:t>
      </w:r>
      <w:r w:rsidRPr="0028273C">
        <w:rPr>
          <w:rFonts w:eastAsia="SimSun"/>
          <w:szCs w:val="22"/>
          <w:lang w:val="cs-CZ"/>
        </w:rPr>
        <w:t>VIII musí být pečlivě sledováni s ohledem na vznik inhibitorů pomocí příslušných klinických pozorování a laboratorních testů.</w:t>
      </w:r>
    </w:p>
    <w:p w14:paraId="4D1CC40B" w14:textId="77777777" w:rsidR="00C9737F" w:rsidRPr="0028273C" w:rsidRDefault="00C9737F" w:rsidP="00735457">
      <w:pPr>
        <w:tabs>
          <w:tab w:val="clear" w:pos="567"/>
        </w:tabs>
        <w:rPr>
          <w:szCs w:val="22"/>
          <w:lang w:val="cs-CZ"/>
        </w:rPr>
      </w:pPr>
    </w:p>
    <w:p w14:paraId="6399C6CA" w14:textId="35F3FD39" w:rsidR="006069DB" w:rsidRPr="0028273C" w:rsidRDefault="00436E93" w:rsidP="00735457">
      <w:pPr>
        <w:rPr>
          <w:snapToGrid w:val="0"/>
          <w:szCs w:val="22"/>
          <w:lang w:val="cs-CZ"/>
        </w:rPr>
      </w:pPr>
      <w:r w:rsidRPr="0028273C">
        <w:rPr>
          <w:rFonts w:eastAsia="SimSun"/>
          <w:szCs w:val="22"/>
          <w:lang w:val="cs-CZ"/>
        </w:rPr>
        <w:t>Pokud není dosaženo očekávaných hladin aktivity faktoru</w:t>
      </w:r>
      <w:r w:rsidR="00E02697" w:rsidRPr="0028273C">
        <w:rPr>
          <w:rFonts w:eastAsia="SimSun"/>
          <w:szCs w:val="22"/>
          <w:lang w:val="cs-CZ"/>
        </w:rPr>
        <w:t> </w:t>
      </w:r>
      <w:r w:rsidRPr="0028273C">
        <w:rPr>
          <w:rFonts w:eastAsia="SimSun"/>
          <w:szCs w:val="22"/>
          <w:lang w:val="cs-CZ"/>
        </w:rPr>
        <w:t>VIII v plazmě nebo pokud není krvácení patřičnou dávkou zvládnuto, je třeba provést test na přítomnost inhibitoru faktoru</w:t>
      </w:r>
      <w:r w:rsidR="00E02697" w:rsidRPr="0028273C">
        <w:rPr>
          <w:rFonts w:eastAsia="SimSun"/>
          <w:szCs w:val="22"/>
          <w:lang w:val="cs-CZ"/>
        </w:rPr>
        <w:t> </w:t>
      </w:r>
      <w:r w:rsidRPr="0028273C">
        <w:rPr>
          <w:rFonts w:eastAsia="SimSun"/>
          <w:szCs w:val="22"/>
          <w:lang w:val="cs-CZ"/>
        </w:rPr>
        <w:t>VIII. U pacientů s vysokými hladinami inhibitoru nemusí být terapie faktorem</w:t>
      </w:r>
      <w:r w:rsidR="00E02697" w:rsidRPr="0028273C">
        <w:rPr>
          <w:rFonts w:eastAsia="SimSun"/>
          <w:szCs w:val="22"/>
          <w:lang w:val="cs-CZ"/>
        </w:rPr>
        <w:t> </w:t>
      </w:r>
      <w:r w:rsidRPr="0028273C">
        <w:rPr>
          <w:rFonts w:eastAsia="SimSun"/>
          <w:szCs w:val="22"/>
          <w:lang w:val="cs-CZ"/>
        </w:rPr>
        <w:t>VIII účinná a je třeba zvážit jiné možnosti léčby.</w:t>
      </w:r>
      <w:r w:rsidRPr="0028273C" w:rsidDel="009346DD">
        <w:rPr>
          <w:rFonts w:eastAsia="SimSun"/>
          <w:szCs w:val="22"/>
          <w:lang w:val="cs-CZ"/>
        </w:rPr>
        <w:t xml:space="preserve"> </w:t>
      </w:r>
      <w:r w:rsidRPr="0028273C">
        <w:rPr>
          <w:rFonts w:eastAsia="SimSun"/>
          <w:szCs w:val="22"/>
          <w:lang w:val="cs-CZ"/>
        </w:rPr>
        <w:t>Péče o takové pacienty má být vedena lékaři se zkušenostmi v péči o</w:t>
      </w:r>
      <w:r w:rsidR="00D344C0">
        <w:rPr>
          <w:rFonts w:eastAsia="SimSun"/>
          <w:szCs w:val="22"/>
          <w:lang w:val="cs-CZ"/>
        </w:rPr>
        <w:t xml:space="preserve"> </w:t>
      </w:r>
      <w:r w:rsidR="00BC4E9F">
        <w:rPr>
          <w:rFonts w:eastAsia="SimSun"/>
          <w:szCs w:val="22"/>
          <w:lang w:val="cs-CZ"/>
        </w:rPr>
        <w:t>pacienty s</w:t>
      </w:r>
      <w:r w:rsidRPr="0028273C">
        <w:rPr>
          <w:rFonts w:eastAsia="SimSun"/>
          <w:szCs w:val="22"/>
          <w:lang w:val="cs-CZ"/>
        </w:rPr>
        <w:t> hemofili</w:t>
      </w:r>
      <w:r w:rsidR="00BC4E9F">
        <w:rPr>
          <w:rFonts w:eastAsia="SimSun"/>
          <w:szCs w:val="22"/>
          <w:lang w:val="cs-CZ"/>
        </w:rPr>
        <w:t>í</w:t>
      </w:r>
      <w:r w:rsidRPr="0028273C">
        <w:rPr>
          <w:rFonts w:eastAsia="SimSun"/>
          <w:szCs w:val="22"/>
          <w:lang w:val="cs-CZ"/>
        </w:rPr>
        <w:t xml:space="preserve"> a </w:t>
      </w:r>
      <w:r w:rsidR="00BC4E9F">
        <w:rPr>
          <w:rFonts w:eastAsia="SimSun"/>
          <w:szCs w:val="22"/>
          <w:lang w:val="cs-CZ"/>
        </w:rPr>
        <w:t xml:space="preserve">s </w:t>
      </w:r>
      <w:r w:rsidRPr="0028273C">
        <w:rPr>
          <w:rFonts w:eastAsia="SimSun"/>
          <w:szCs w:val="22"/>
          <w:lang w:val="cs-CZ"/>
        </w:rPr>
        <w:t>inhibitory faktoru</w:t>
      </w:r>
      <w:r w:rsidR="00E02697" w:rsidRPr="0028273C">
        <w:rPr>
          <w:rFonts w:eastAsia="SimSun"/>
          <w:szCs w:val="22"/>
          <w:lang w:val="cs-CZ"/>
        </w:rPr>
        <w:t> </w:t>
      </w:r>
      <w:r w:rsidRPr="0028273C">
        <w:rPr>
          <w:rFonts w:eastAsia="SimSun"/>
          <w:szCs w:val="22"/>
          <w:lang w:val="cs-CZ"/>
        </w:rPr>
        <w:t>VIII.</w:t>
      </w:r>
    </w:p>
    <w:p w14:paraId="1D6C29B2" w14:textId="77777777" w:rsidR="006C307D" w:rsidRPr="0028273C" w:rsidRDefault="006C307D" w:rsidP="00735457">
      <w:pPr>
        <w:tabs>
          <w:tab w:val="clear" w:pos="567"/>
        </w:tabs>
        <w:rPr>
          <w:szCs w:val="22"/>
          <w:lang w:val="cs-CZ"/>
        </w:rPr>
      </w:pPr>
    </w:p>
    <w:p w14:paraId="5988643C" w14:textId="77777777" w:rsidR="006C307D" w:rsidRPr="0028273C" w:rsidRDefault="00425707" w:rsidP="00735457">
      <w:pPr>
        <w:keepNext/>
        <w:keepLines/>
        <w:tabs>
          <w:tab w:val="clear" w:pos="567"/>
        </w:tabs>
        <w:rPr>
          <w:szCs w:val="22"/>
          <w:u w:val="single"/>
          <w:lang w:val="cs-CZ"/>
        </w:rPr>
      </w:pPr>
      <w:r w:rsidRPr="0028273C">
        <w:rPr>
          <w:szCs w:val="22"/>
          <w:u w:val="single"/>
          <w:lang w:val="cs-CZ"/>
        </w:rPr>
        <w:t xml:space="preserve">Imunitní odpověď na </w:t>
      </w:r>
      <w:proofErr w:type="spellStart"/>
      <w:r w:rsidRPr="0028273C">
        <w:rPr>
          <w:szCs w:val="22"/>
          <w:u w:val="single"/>
          <w:lang w:val="cs-CZ"/>
        </w:rPr>
        <w:t>polyethylenglykol</w:t>
      </w:r>
      <w:proofErr w:type="spellEnd"/>
      <w:r w:rsidR="006C307D" w:rsidRPr="0028273C">
        <w:rPr>
          <w:szCs w:val="22"/>
          <w:u w:val="single"/>
          <w:lang w:val="cs-CZ"/>
        </w:rPr>
        <w:t xml:space="preserve"> (PEG)</w:t>
      </w:r>
    </w:p>
    <w:p w14:paraId="607A3214" w14:textId="77777777" w:rsidR="006C307D" w:rsidRPr="0028273C" w:rsidRDefault="006C307D" w:rsidP="00735457">
      <w:pPr>
        <w:keepNext/>
        <w:rPr>
          <w:szCs w:val="22"/>
          <w:highlight w:val="green"/>
          <w:lang w:val="cs-CZ"/>
        </w:rPr>
      </w:pPr>
    </w:p>
    <w:p w14:paraId="4AE012C4" w14:textId="77777777" w:rsidR="00424D46" w:rsidRDefault="00424D46" w:rsidP="00735457">
      <w:pPr>
        <w:keepNext/>
        <w:rPr>
          <w:szCs w:val="22"/>
          <w:bdr w:val="nil"/>
          <w:lang w:val="cs-CZ" w:eastAsia="en-US"/>
        </w:rPr>
      </w:pPr>
      <w:r w:rsidRPr="0028273C">
        <w:rPr>
          <w:szCs w:val="22"/>
          <w:bdr w:val="nil"/>
          <w:lang w:val="cs-CZ" w:eastAsia="en-US"/>
        </w:rPr>
        <w:t xml:space="preserve">Klinická imunitní odpověď související s anti-PEG protilátkami, která se projevila jako příznaky akutní hypersenzitivity a/nebo ztráta účinku léku, byla pozorována primárně během prvních 4 dnů expozice. Nízké hladiny FVIII po </w:t>
      </w:r>
      <w:r w:rsidR="00DD1360" w:rsidRPr="0028273C">
        <w:rPr>
          <w:szCs w:val="22"/>
          <w:bdr w:val="nil"/>
          <w:lang w:val="cs-CZ" w:eastAsia="en-US"/>
        </w:rPr>
        <w:t xml:space="preserve">injekci </w:t>
      </w:r>
      <w:r w:rsidRPr="0028273C">
        <w:rPr>
          <w:szCs w:val="22"/>
          <w:bdr w:val="nil"/>
          <w:lang w:val="cs-CZ" w:eastAsia="en-US"/>
        </w:rPr>
        <w:t>při nepřítomnosti detekovatelných inhibitorů FVIII naznačují, že ztráta účinku léku je pravděpodobné důsledkem anti-PEG protilátek; v takov</w:t>
      </w:r>
      <w:r w:rsidR="00B50CD7" w:rsidRPr="0028273C">
        <w:rPr>
          <w:szCs w:val="22"/>
          <w:bdr w:val="nil"/>
          <w:lang w:val="cs-CZ" w:eastAsia="en-US"/>
        </w:rPr>
        <w:t>ých</w:t>
      </w:r>
      <w:r w:rsidRPr="0028273C">
        <w:rPr>
          <w:szCs w:val="22"/>
          <w:bdr w:val="nil"/>
          <w:lang w:val="cs-CZ" w:eastAsia="en-US"/>
        </w:rPr>
        <w:t xml:space="preserve"> případ</w:t>
      </w:r>
      <w:r w:rsidR="00B50CD7" w:rsidRPr="0028273C">
        <w:rPr>
          <w:szCs w:val="22"/>
          <w:bdr w:val="nil"/>
          <w:lang w:val="cs-CZ" w:eastAsia="en-US"/>
        </w:rPr>
        <w:t>ech</w:t>
      </w:r>
      <w:r w:rsidRPr="0028273C">
        <w:rPr>
          <w:szCs w:val="22"/>
          <w:bdr w:val="nil"/>
          <w:lang w:val="cs-CZ" w:eastAsia="en-US"/>
        </w:rPr>
        <w:t xml:space="preserve"> má být podávání přípravku </w:t>
      </w:r>
      <w:proofErr w:type="spellStart"/>
      <w:r w:rsidRPr="0028273C">
        <w:rPr>
          <w:szCs w:val="22"/>
          <w:bdr w:val="nil"/>
          <w:lang w:val="cs-CZ" w:eastAsia="en-US"/>
        </w:rPr>
        <w:t>Jivi</w:t>
      </w:r>
      <w:proofErr w:type="spellEnd"/>
      <w:r w:rsidRPr="0028273C">
        <w:rPr>
          <w:szCs w:val="22"/>
          <w:bdr w:val="nil"/>
          <w:lang w:val="cs-CZ" w:eastAsia="en-US"/>
        </w:rPr>
        <w:t xml:space="preserve"> přerušeno a pacienti mají být převedeni na </w:t>
      </w:r>
      <w:r w:rsidR="00991433">
        <w:rPr>
          <w:szCs w:val="22"/>
          <w:bdr w:val="nil"/>
          <w:lang w:val="cs-CZ" w:eastAsia="en-US"/>
        </w:rPr>
        <w:t>původně</w:t>
      </w:r>
      <w:r w:rsidR="00991433" w:rsidRPr="0028273C">
        <w:rPr>
          <w:szCs w:val="22"/>
          <w:bdr w:val="nil"/>
          <w:lang w:val="cs-CZ" w:eastAsia="en-US"/>
        </w:rPr>
        <w:t xml:space="preserve"> </w:t>
      </w:r>
      <w:r w:rsidRPr="0028273C">
        <w:rPr>
          <w:szCs w:val="22"/>
          <w:bdr w:val="nil"/>
          <w:lang w:val="cs-CZ" w:eastAsia="en-US"/>
        </w:rPr>
        <w:t>účinný přípravek s obsahem FVIII.</w:t>
      </w:r>
    </w:p>
    <w:p w14:paraId="662B4A44" w14:textId="77777777" w:rsidR="00AC6ED1" w:rsidRDefault="00AC6ED1" w:rsidP="00735457">
      <w:pPr>
        <w:keepNext/>
        <w:rPr>
          <w:szCs w:val="22"/>
          <w:bdr w:val="nil"/>
          <w:lang w:val="cs-CZ" w:eastAsia="en-US"/>
        </w:rPr>
      </w:pPr>
    </w:p>
    <w:p w14:paraId="177D676C" w14:textId="10B14A4D" w:rsidR="00AC6ED1" w:rsidRPr="0028273C" w:rsidRDefault="00AC6ED1" w:rsidP="00735457">
      <w:pPr>
        <w:keepNext/>
        <w:rPr>
          <w:lang w:val="cs-CZ"/>
        </w:rPr>
      </w:pPr>
      <w:r w:rsidRPr="00AC6ED1">
        <w:rPr>
          <w:lang w:val="cs-CZ"/>
        </w:rPr>
        <w:t>V</w:t>
      </w:r>
      <w:r>
        <w:rPr>
          <w:lang w:val="cs-CZ"/>
        </w:rPr>
        <w:t> </w:t>
      </w:r>
      <w:r w:rsidRPr="00AC6ED1">
        <w:rPr>
          <w:lang w:val="cs-CZ"/>
        </w:rPr>
        <w:t xml:space="preserve">případě klinického podezření na ztrátu </w:t>
      </w:r>
      <w:r w:rsidR="00B8684A">
        <w:rPr>
          <w:lang w:val="cs-CZ"/>
        </w:rPr>
        <w:t>terape</w:t>
      </w:r>
      <w:r w:rsidR="00A77F5E">
        <w:rPr>
          <w:lang w:val="cs-CZ"/>
        </w:rPr>
        <w:t xml:space="preserve">utického </w:t>
      </w:r>
      <w:r w:rsidRPr="00AC6ED1">
        <w:rPr>
          <w:lang w:val="cs-CZ"/>
        </w:rPr>
        <w:t xml:space="preserve">účinku </w:t>
      </w:r>
      <w:r w:rsidR="00B72A99">
        <w:rPr>
          <w:lang w:val="cs-CZ"/>
        </w:rPr>
        <w:t>přípravku</w:t>
      </w:r>
      <w:r w:rsidRPr="00AC6ED1">
        <w:rPr>
          <w:lang w:val="cs-CZ"/>
        </w:rPr>
        <w:t xml:space="preserve"> se doporučuje testování na inhibitory faktoru</w:t>
      </w:r>
      <w:r w:rsidR="00055708">
        <w:rPr>
          <w:lang w:val="cs-CZ"/>
        </w:rPr>
        <w:t> </w:t>
      </w:r>
      <w:r w:rsidRPr="00AC6ED1">
        <w:rPr>
          <w:lang w:val="cs-CZ"/>
        </w:rPr>
        <w:t>VIII a</w:t>
      </w:r>
      <w:r w:rsidR="009F0E32">
        <w:rPr>
          <w:lang w:val="cs-CZ"/>
        </w:rPr>
        <w:t xml:space="preserve"> hodnocení</w:t>
      </w:r>
      <w:r>
        <w:rPr>
          <w:lang w:val="cs-CZ"/>
        </w:rPr>
        <w:t> </w:t>
      </w:r>
      <w:r w:rsidR="00E9229D">
        <w:rPr>
          <w:lang w:val="cs-CZ"/>
        </w:rPr>
        <w:t>obnov</w:t>
      </w:r>
      <w:r w:rsidR="009F0E32">
        <w:rPr>
          <w:lang w:val="cs-CZ"/>
        </w:rPr>
        <w:t>y</w:t>
      </w:r>
      <w:r w:rsidR="00E9229D">
        <w:rPr>
          <w:lang w:val="cs-CZ"/>
        </w:rPr>
        <w:t xml:space="preserve"> aktivity</w:t>
      </w:r>
      <w:r w:rsidRPr="00AC6ED1">
        <w:rPr>
          <w:lang w:val="cs-CZ"/>
        </w:rPr>
        <w:t xml:space="preserve"> faktoru</w:t>
      </w:r>
      <w:r w:rsidR="00F03E94">
        <w:rPr>
          <w:lang w:val="cs-CZ"/>
        </w:rPr>
        <w:t> </w:t>
      </w:r>
      <w:r w:rsidRPr="00AC6ED1">
        <w:rPr>
          <w:lang w:val="cs-CZ"/>
        </w:rPr>
        <w:t>VIII.</w:t>
      </w:r>
    </w:p>
    <w:p w14:paraId="113CB974" w14:textId="77777777" w:rsidR="00424D46" w:rsidRPr="0028273C" w:rsidRDefault="00424D46" w:rsidP="00735457">
      <w:pPr>
        <w:rPr>
          <w:highlight w:val="green"/>
          <w:lang w:val="cs-CZ"/>
        </w:rPr>
      </w:pPr>
    </w:p>
    <w:p w14:paraId="61A35F38" w14:textId="77777777" w:rsidR="00424D46" w:rsidRPr="0028273C" w:rsidRDefault="00424D46" w:rsidP="00735457">
      <w:pPr>
        <w:keepNext/>
        <w:rPr>
          <w:lang w:val="cs-CZ"/>
        </w:rPr>
      </w:pPr>
      <w:r w:rsidRPr="0028273C">
        <w:rPr>
          <w:szCs w:val="22"/>
          <w:bdr w:val="nil"/>
          <w:lang w:val="cs-CZ" w:eastAsia="en-US"/>
        </w:rPr>
        <w:t>Bylo pozorováno významné snížení rizika imunitní odpovědi na PEG se zvyšujícím se věkem</w:t>
      </w:r>
      <w:r w:rsidR="008002E8" w:rsidRPr="0028273C">
        <w:rPr>
          <w:szCs w:val="22"/>
          <w:bdr w:val="nil"/>
          <w:lang w:val="cs-CZ" w:eastAsia="en-US"/>
        </w:rPr>
        <w:t xml:space="preserve">. Tento účinek </w:t>
      </w:r>
      <w:r w:rsidRPr="0028273C">
        <w:rPr>
          <w:szCs w:val="22"/>
          <w:bdr w:val="nil"/>
          <w:lang w:val="cs-CZ" w:eastAsia="en-US"/>
        </w:rPr>
        <w:t>může souviset s vývojovou změnou imunity</w:t>
      </w:r>
      <w:r w:rsidR="008002E8" w:rsidRPr="0028273C">
        <w:rPr>
          <w:szCs w:val="22"/>
          <w:bdr w:val="nil"/>
          <w:lang w:val="cs-CZ" w:eastAsia="en-US"/>
        </w:rPr>
        <w:t xml:space="preserve"> a</w:t>
      </w:r>
      <w:r w:rsidR="00EB13C8" w:rsidRPr="0028273C">
        <w:rPr>
          <w:szCs w:val="22"/>
          <w:bdr w:val="nil"/>
          <w:lang w:val="cs-CZ" w:eastAsia="en-US"/>
        </w:rPr>
        <w:t> </w:t>
      </w:r>
      <w:r w:rsidRPr="0028273C">
        <w:rPr>
          <w:szCs w:val="22"/>
          <w:bdr w:val="nil"/>
          <w:lang w:val="cs-CZ" w:eastAsia="en-US"/>
        </w:rPr>
        <w:t>ačkoli je obtížné definovat jasné věkové omezení pro změnu rizika, vyskytuje se tento jev převážně u malých dětí s hemofilií.</w:t>
      </w:r>
    </w:p>
    <w:p w14:paraId="5388DD81" w14:textId="77777777" w:rsidR="00424D46" w:rsidRPr="0028273C" w:rsidRDefault="00424D46" w:rsidP="00735457">
      <w:pPr>
        <w:rPr>
          <w:highlight w:val="green"/>
          <w:lang w:val="cs-CZ"/>
        </w:rPr>
      </w:pPr>
    </w:p>
    <w:p w14:paraId="44A688DC" w14:textId="6C465689" w:rsidR="0093461C" w:rsidRDefault="00424D46" w:rsidP="00735457">
      <w:pPr>
        <w:tabs>
          <w:tab w:val="clear" w:pos="567"/>
        </w:tabs>
        <w:rPr>
          <w:szCs w:val="22"/>
          <w:bdr w:val="nil"/>
          <w:lang w:val="cs-CZ" w:eastAsia="en-GB"/>
        </w:rPr>
      </w:pPr>
      <w:r w:rsidRPr="0028273C">
        <w:rPr>
          <w:szCs w:val="22"/>
          <w:bdr w:val="nil"/>
          <w:lang w:val="cs-CZ" w:eastAsia="en-GB"/>
        </w:rPr>
        <w:t xml:space="preserve">Důsledky jakéhokoli potenciálního rizika u postižených pacientů s hypersenzitivní reakcí na </w:t>
      </w:r>
      <w:proofErr w:type="spellStart"/>
      <w:r w:rsidRPr="0028273C">
        <w:rPr>
          <w:szCs w:val="22"/>
          <w:bdr w:val="nil"/>
          <w:lang w:val="cs-CZ" w:eastAsia="en-GB"/>
        </w:rPr>
        <w:t>pegylované</w:t>
      </w:r>
      <w:proofErr w:type="spellEnd"/>
      <w:r w:rsidRPr="0028273C">
        <w:rPr>
          <w:szCs w:val="22"/>
          <w:bdr w:val="nil"/>
          <w:lang w:val="cs-CZ" w:eastAsia="en-GB"/>
        </w:rPr>
        <w:t xml:space="preserve"> proteiny nejsou známy. Údaje ukazují, že u dotčených pacientů </w:t>
      </w:r>
      <w:r w:rsidR="003524CF" w:rsidRPr="0028273C">
        <w:rPr>
          <w:szCs w:val="22"/>
          <w:bdr w:val="nil"/>
          <w:lang w:val="cs-CZ" w:eastAsia="en-GB"/>
        </w:rPr>
        <w:t xml:space="preserve">se po ukončení podávání přípravku </w:t>
      </w:r>
      <w:proofErr w:type="spellStart"/>
      <w:r w:rsidR="003524CF" w:rsidRPr="0028273C">
        <w:rPr>
          <w:szCs w:val="22"/>
          <w:bdr w:val="nil"/>
          <w:lang w:val="cs-CZ" w:eastAsia="en-GB"/>
        </w:rPr>
        <w:t>Jivi</w:t>
      </w:r>
      <w:proofErr w:type="spellEnd"/>
      <w:r w:rsidRPr="0028273C">
        <w:rPr>
          <w:szCs w:val="22"/>
          <w:bdr w:val="nil"/>
          <w:lang w:val="cs-CZ" w:eastAsia="en-GB"/>
        </w:rPr>
        <w:t xml:space="preserve"> </w:t>
      </w:r>
      <w:r w:rsidR="003524CF" w:rsidRPr="0028273C">
        <w:rPr>
          <w:szCs w:val="22"/>
          <w:bdr w:val="nil"/>
          <w:lang w:val="cs-CZ" w:eastAsia="en-GB"/>
        </w:rPr>
        <w:t xml:space="preserve">titry </w:t>
      </w:r>
      <w:r w:rsidRPr="0028273C">
        <w:rPr>
          <w:szCs w:val="22"/>
          <w:bdr w:val="nil"/>
          <w:lang w:val="cs-CZ" w:eastAsia="en-GB"/>
        </w:rPr>
        <w:t xml:space="preserve">anti-PEG </w:t>
      </w:r>
      <w:proofErr w:type="spellStart"/>
      <w:r w:rsidRPr="0028273C">
        <w:rPr>
          <w:szCs w:val="22"/>
          <w:bdr w:val="nil"/>
          <w:lang w:val="cs-CZ" w:eastAsia="en-GB"/>
        </w:rPr>
        <w:t>IgM</w:t>
      </w:r>
      <w:proofErr w:type="spellEnd"/>
      <w:r w:rsidRPr="0028273C">
        <w:rPr>
          <w:szCs w:val="22"/>
          <w:bdr w:val="nil"/>
          <w:lang w:val="cs-CZ" w:eastAsia="en-GB"/>
        </w:rPr>
        <w:t xml:space="preserve"> protilát</w:t>
      </w:r>
      <w:r w:rsidR="003524CF" w:rsidRPr="0028273C">
        <w:rPr>
          <w:szCs w:val="22"/>
          <w:bdr w:val="nil"/>
          <w:lang w:val="cs-CZ" w:eastAsia="en-GB"/>
        </w:rPr>
        <w:t>ek</w:t>
      </w:r>
      <w:r w:rsidRPr="0028273C">
        <w:rPr>
          <w:szCs w:val="22"/>
          <w:bdr w:val="nil"/>
          <w:lang w:val="cs-CZ" w:eastAsia="en-GB"/>
        </w:rPr>
        <w:t xml:space="preserve"> </w:t>
      </w:r>
      <w:r w:rsidR="003524CF" w:rsidRPr="0028273C">
        <w:rPr>
          <w:szCs w:val="22"/>
          <w:bdr w:val="nil"/>
          <w:lang w:val="cs-CZ" w:eastAsia="en-GB"/>
        </w:rPr>
        <w:t>snížily a</w:t>
      </w:r>
      <w:r w:rsidR="00EB13C8" w:rsidRPr="0028273C">
        <w:rPr>
          <w:szCs w:val="22"/>
          <w:bdr w:val="nil"/>
          <w:lang w:val="cs-CZ" w:eastAsia="en-GB"/>
        </w:rPr>
        <w:t> s</w:t>
      </w:r>
      <w:r w:rsidR="003524CF" w:rsidRPr="0028273C">
        <w:rPr>
          <w:szCs w:val="22"/>
          <w:bdr w:val="nil"/>
          <w:lang w:val="cs-CZ" w:eastAsia="en-GB"/>
        </w:rPr>
        <w:t> </w:t>
      </w:r>
      <w:r w:rsidR="00EB13C8" w:rsidRPr="0028273C">
        <w:rPr>
          <w:szCs w:val="22"/>
          <w:bdr w:val="nil"/>
          <w:lang w:val="cs-CZ" w:eastAsia="en-GB"/>
        </w:rPr>
        <w:t>postupem</w:t>
      </w:r>
      <w:r w:rsidR="003524CF" w:rsidRPr="0028273C">
        <w:rPr>
          <w:szCs w:val="22"/>
          <w:bdr w:val="nil"/>
          <w:lang w:val="cs-CZ" w:eastAsia="en-GB"/>
        </w:rPr>
        <w:t xml:space="preserve"> času nebyl</w:t>
      </w:r>
      <w:r w:rsidR="00EB13C8" w:rsidRPr="0028273C">
        <w:rPr>
          <w:szCs w:val="22"/>
          <w:bdr w:val="nil"/>
          <w:lang w:val="cs-CZ" w:eastAsia="en-GB"/>
        </w:rPr>
        <w:t>o</w:t>
      </w:r>
      <w:r w:rsidR="003524CF" w:rsidRPr="0028273C">
        <w:rPr>
          <w:szCs w:val="22"/>
          <w:bdr w:val="nil"/>
          <w:lang w:val="cs-CZ" w:eastAsia="en-GB"/>
        </w:rPr>
        <w:t xml:space="preserve"> </w:t>
      </w:r>
      <w:r w:rsidR="00EB13C8" w:rsidRPr="0028273C">
        <w:rPr>
          <w:szCs w:val="22"/>
          <w:bdr w:val="nil"/>
          <w:lang w:val="cs-CZ" w:eastAsia="en-GB"/>
        </w:rPr>
        <w:t>možné je detekovat</w:t>
      </w:r>
      <w:r w:rsidRPr="0028273C">
        <w:rPr>
          <w:szCs w:val="22"/>
          <w:bdr w:val="nil"/>
          <w:lang w:val="cs-CZ" w:eastAsia="en-GB"/>
        </w:rPr>
        <w:t xml:space="preserve">. </w:t>
      </w:r>
      <w:r w:rsidR="003524CF" w:rsidRPr="0028273C">
        <w:rPr>
          <w:szCs w:val="22"/>
          <w:bdr w:val="nil"/>
          <w:lang w:val="cs-CZ" w:eastAsia="en-GB"/>
        </w:rPr>
        <w:t>Nebyla pozorována žádná</w:t>
      </w:r>
      <w:r w:rsidRPr="0028273C">
        <w:rPr>
          <w:szCs w:val="22"/>
          <w:bdr w:val="nil"/>
          <w:lang w:val="cs-CZ" w:eastAsia="en-GB"/>
        </w:rPr>
        <w:t xml:space="preserve"> zkřížen</w:t>
      </w:r>
      <w:r w:rsidR="003524CF" w:rsidRPr="0028273C">
        <w:rPr>
          <w:szCs w:val="22"/>
          <w:bdr w:val="nil"/>
          <w:lang w:val="cs-CZ" w:eastAsia="en-GB"/>
        </w:rPr>
        <w:t>á</w:t>
      </w:r>
      <w:r w:rsidRPr="0028273C">
        <w:rPr>
          <w:szCs w:val="22"/>
          <w:bdr w:val="nil"/>
          <w:lang w:val="cs-CZ" w:eastAsia="en-GB"/>
        </w:rPr>
        <w:t xml:space="preserve"> reaktivit</w:t>
      </w:r>
      <w:r w:rsidR="003524CF" w:rsidRPr="0028273C">
        <w:rPr>
          <w:szCs w:val="22"/>
          <w:bdr w:val="nil"/>
          <w:lang w:val="cs-CZ" w:eastAsia="en-GB"/>
        </w:rPr>
        <w:t>a</w:t>
      </w:r>
      <w:r w:rsidRPr="0028273C">
        <w:rPr>
          <w:szCs w:val="22"/>
          <w:bdr w:val="nil"/>
          <w:lang w:val="cs-CZ" w:eastAsia="en-GB"/>
        </w:rPr>
        <w:t xml:space="preserve"> anti-PEG </w:t>
      </w:r>
      <w:proofErr w:type="spellStart"/>
      <w:r w:rsidRPr="0028273C">
        <w:rPr>
          <w:szCs w:val="22"/>
          <w:bdr w:val="nil"/>
          <w:lang w:val="cs-CZ" w:eastAsia="en-GB"/>
        </w:rPr>
        <w:t>IgM</w:t>
      </w:r>
      <w:proofErr w:type="spellEnd"/>
      <w:r w:rsidRPr="0028273C">
        <w:rPr>
          <w:szCs w:val="22"/>
          <w:bdr w:val="nil"/>
          <w:lang w:val="cs-CZ" w:eastAsia="en-GB"/>
        </w:rPr>
        <w:t xml:space="preserve"> protilátek s jinými nemodifikovanými přípravky obsahujícími FVIII. Všichni pacienti </w:t>
      </w:r>
      <w:r w:rsidR="00991433">
        <w:rPr>
          <w:szCs w:val="22"/>
          <w:bdr w:val="nil"/>
          <w:lang w:val="cs-CZ" w:eastAsia="en-GB"/>
        </w:rPr>
        <w:t>byli</w:t>
      </w:r>
      <w:r w:rsidRPr="0028273C">
        <w:rPr>
          <w:szCs w:val="22"/>
          <w:bdr w:val="nil"/>
          <w:lang w:val="cs-CZ" w:eastAsia="en-GB"/>
        </w:rPr>
        <w:t xml:space="preserve"> úspěšně léčeni pomocí jejich původních přípravků s obsahem FVIII.</w:t>
      </w:r>
    </w:p>
    <w:p w14:paraId="00AC5418" w14:textId="7C7C376C" w:rsidR="00757518" w:rsidRDefault="00757518" w:rsidP="215CBE4B">
      <w:pPr>
        <w:tabs>
          <w:tab w:val="clear" w:pos="567"/>
        </w:tabs>
        <w:rPr>
          <w:rFonts w:eastAsia="SimSun"/>
          <w:lang w:val="cs-CZ" w:eastAsia="en-GB"/>
        </w:rPr>
      </w:pPr>
      <w:r w:rsidRPr="215CBE4B">
        <w:rPr>
          <w:rFonts w:eastAsia="SimSun"/>
          <w:lang w:val="cs-CZ" w:eastAsia="en-GB"/>
        </w:rPr>
        <w:t>Vzhledem k</w:t>
      </w:r>
      <w:r w:rsidR="00992F0A" w:rsidRPr="215CBE4B">
        <w:rPr>
          <w:rFonts w:eastAsia="SimSun"/>
          <w:lang w:val="cs-CZ" w:eastAsia="en-GB"/>
        </w:rPr>
        <w:t> </w:t>
      </w:r>
      <w:r w:rsidRPr="215CBE4B">
        <w:rPr>
          <w:rFonts w:eastAsia="SimSun"/>
          <w:lang w:val="cs-CZ" w:eastAsia="en-GB"/>
        </w:rPr>
        <w:t>přechodné povaze této imunitní odpovědi a vymizení anti</w:t>
      </w:r>
      <w:r w:rsidR="00992F0A">
        <w:rPr>
          <w:rFonts w:eastAsia="SimSun"/>
          <w:szCs w:val="22"/>
          <w:lang w:val="cs-CZ" w:eastAsia="en-GB"/>
        </w:rPr>
        <w:noBreakHyphen/>
      </w:r>
      <w:r w:rsidRPr="215CBE4B">
        <w:rPr>
          <w:rFonts w:eastAsia="SimSun"/>
          <w:lang w:val="cs-CZ" w:eastAsia="en-GB"/>
        </w:rPr>
        <w:t xml:space="preserve">PEG </w:t>
      </w:r>
      <w:proofErr w:type="spellStart"/>
      <w:r w:rsidRPr="215CBE4B">
        <w:rPr>
          <w:rFonts w:eastAsia="SimSun"/>
          <w:lang w:val="cs-CZ" w:eastAsia="en-GB"/>
        </w:rPr>
        <w:t>IgM</w:t>
      </w:r>
      <w:proofErr w:type="spellEnd"/>
      <w:r w:rsidRPr="215CBE4B">
        <w:rPr>
          <w:rFonts w:eastAsia="SimSun"/>
          <w:lang w:val="cs-CZ" w:eastAsia="en-GB"/>
        </w:rPr>
        <w:t xml:space="preserve"> protilátek během 4</w:t>
      </w:r>
      <w:r w:rsidR="00992F0A">
        <w:rPr>
          <w:rFonts w:eastAsia="SimSun"/>
          <w:szCs w:val="22"/>
          <w:lang w:val="cs-CZ" w:eastAsia="en-GB"/>
        </w:rPr>
        <w:noBreakHyphen/>
      </w:r>
      <w:r w:rsidRPr="215CBE4B">
        <w:rPr>
          <w:rFonts w:eastAsia="SimSun"/>
          <w:lang w:val="cs-CZ" w:eastAsia="en-GB"/>
        </w:rPr>
        <w:t>6</w:t>
      </w:r>
      <w:r w:rsidR="00992F0A" w:rsidRPr="215CBE4B">
        <w:rPr>
          <w:rFonts w:eastAsia="SimSun"/>
          <w:lang w:val="cs-CZ" w:eastAsia="en-GB"/>
        </w:rPr>
        <w:t> </w:t>
      </w:r>
      <w:r w:rsidRPr="215CBE4B">
        <w:rPr>
          <w:rFonts w:eastAsia="SimSun"/>
          <w:lang w:val="cs-CZ" w:eastAsia="en-GB"/>
        </w:rPr>
        <w:t xml:space="preserve">týdnů lze zvážit opětovné zahájení léčby přípravkem </w:t>
      </w:r>
      <w:proofErr w:type="spellStart"/>
      <w:r w:rsidRPr="215CBE4B">
        <w:rPr>
          <w:rFonts w:eastAsia="SimSun"/>
          <w:lang w:val="cs-CZ" w:eastAsia="en-GB"/>
        </w:rPr>
        <w:t>Jivi</w:t>
      </w:r>
      <w:proofErr w:type="spellEnd"/>
      <w:r w:rsidRPr="215CBE4B">
        <w:rPr>
          <w:rFonts w:eastAsia="SimSun"/>
          <w:lang w:val="cs-CZ" w:eastAsia="en-GB"/>
        </w:rPr>
        <w:t xml:space="preserve">, pokud </w:t>
      </w:r>
      <w:r w:rsidR="00992F0A" w:rsidRPr="215CBE4B">
        <w:rPr>
          <w:rFonts w:eastAsia="SimSun"/>
          <w:lang w:val="cs-CZ" w:eastAsia="en-GB"/>
        </w:rPr>
        <w:t xml:space="preserve">se </w:t>
      </w:r>
      <w:r w:rsidR="00E9229D" w:rsidRPr="215CBE4B">
        <w:rPr>
          <w:rFonts w:eastAsia="SimSun"/>
          <w:lang w:val="cs-CZ" w:eastAsia="en-GB"/>
        </w:rPr>
        <w:t>obnova aktivity</w:t>
      </w:r>
      <w:r w:rsidR="00992F0A" w:rsidRPr="215CBE4B">
        <w:rPr>
          <w:rFonts w:eastAsia="SimSun"/>
          <w:lang w:val="cs-CZ" w:eastAsia="en-GB"/>
        </w:rPr>
        <w:t xml:space="preserve"> normalizuje</w:t>
      </w:r>
      <w:r w:rsidRPr="215CBE4B">
        <w:rPr>
          <w:rFonts w:eastAsia="SimSun"/>
          <w:lang w:val="cs-CZ" w:eastAsia="en-GB"/>
        </w:rPr>
        <w:t xml:space="preserve"> (viz bod</w:t>
      </w:r>
      <w:r w:rsidR="00992F0A" w:rsidRPr="215CBE4B">
        <w:rPr>
          <w:rFonts w:eastAsia="SimSun"/>
          <w:lang w:val="cs-CZ" w:eastAsia="en-GB"/>
        </w:rPr>
        <w:t> </w:t>
      </w:r>
      <w:r w:rsidRPr="215CBE4B">
        <w:rPr>
          <w:rFonts w:eastAsia="SimSun"/>
          <w:lang w:val="cs-CZ" w:eastAsia="en-GB"/>
        </w:rPr>
        <w:t xml:space="preserve">4.2). Po opětovném zahájení léčby </w:t>
      </w:r>
      <w:r w:rsidR="00992F0A" w:rsidRPr="215CBE4B">
        <w:rPr>
          <w:rFonts w:eastAsia="SimSun"/>
          <w:lang w:val="cs-CZ" w:eastAsia="en-GB"/>
        </w:rPr>
        <w:t>je třeba sledovat</w:t>
      </w:r>
      <w:r w:rsidRPr="215CBE4B">
        <w:rPr>
          <w:rFonts w:eastAsia="SimSun"/>
          <w:lang w:val="cs-CZ" w:eastAsia="en-GB"/>
        </w:rPr>
        <w:t xml:space="preserve">, zda </w:t>
      </w:r>
      <w:r w:rsidR="00992F0A" w:rsidRPr="215CBE4B">
        <w:rPr>
          <w:rFonts w:eastAsia="SimSun"/>
          <w:lang w:val="cs-CZ" w:eastAsia="en-GB"/>
        </w:rPr>
        <w:t>u pacientů</w:t>
      </w:r>
      <w:r w:rsidR="00252C3C" w:rsidRPr="215CBE4B">
        <w:rPr>
          <w:rFonts w:eastAsia="SimSun"/>
          <w:lang w:val="cs-CZ" w:eastAsia="en-GB"/>
        </w:rPr>
        <w:t xml:space="preserve"> dochází</w:t>
      </w:r>
      <w:r w:rsidR="00992F0A" w:rsidRPr="215CBE4B">
        <w:rPr>
          <w:rFonts w:eastAsia="SimSun"/>
          <w:lang w:val="cs-CZ" w:eastAsia="en-GB"/>
        </w:rPr>
        <w:t xml:space="preserve"> </w:t>
      </w:r>
      <w:r w:rsidR="008B660A" w:rsidRPr="215CBE4B">
        <w:rPr>
          <w:rFonts w:eastAsia="SimSun"/>
          <w:lang w:val="cs-CZ" w:eastAsia="en-GB"/>
        </w:rPr>
        <w:t>k</w:t>
      </w:r>
      <w:r w:rsidR="00E9229D" w:rsidRPr="215CBE4B">
        <w:rPr>
          <w:rFonts w:eastAsia="SimSun"/>
          <w:lang w:val="cs-CZ" w:eastAsia="en-GB"/>
        </w:rPr>
        <w:t> obnově aktivity</w:t>
      </w:r>
      <w:r w:rsidRPr="215CBE4B">
        <w:rPr>
          <w:rFonts w:eastAsia="SimSun"/>
          <w:lang w:val="cs-CZ" w:eastAsia="en-GB"/>
        </w:rPr>
        <w:t>.</w:t>
      </w:r>
    </w:p>
    <w:p w14:paraId="0FC76196" w14:textId="77777777" w:rsidR="00757518" w:rsidRDefault="00757518" w:rsidP="00735457">
      <w:pPr>
        <w:tabs>
          <w:tab w:val="clear" w:pos="567"/>
        </w:tabs>
        <w:rPr>
          <w:rFonts w:eastAsia="SimSun"/>
          <w:szCs w:val="22"/>
          <w:lang w:val="cs-CZ" w:eastAsia="en-GB"/>
        </w:rPr>
      </w:pPr>
    </w:p>
    <w:p w14:paraId="492B8C2B" w14:textId="2F41A4EF" w:rsidR="00757518" w:rsidRPr="0005661C" w:rsidRDefault="00757518" w:rsidP="0005661C">
      <w:pPr>
        <w:keepNext/>
        <w:keepLines/>
        <w:tabs>
          <w:tab w:val="clear" w:pos="567"/>
        </w:tabs>
        <w:rPr>
          <w:szCs w:val="22"/>
          <w:u w:val="single"/>
          <w:lang w:val="cs-CZ"/>
        </w:rPr>
      </w:pPr>
      <w:r w:rsidRPr="0005661C">
        <w:rPr>
          <w:szCs w:val="22"/>
          <w:u w:val="single"/>
          <w:lang w:val="cs-CZ"/>
        </w:rPr>
        <w:t>Snížen</w:t>
      </w:r>
      <w:r w:rsidR="007565D3">
        <w:rPr>
          <w:szCs w:val="22"/>
          <w:u w:val="single"/>
          <w:lang w:val="cs-CZ"/>
        </w:rPr>
        <w:t>í</w:t>
      </w:r>
      <w:r w:rsidRPr="0005661C">
        <w:rPr>
          <w:szCs w:val="22"/>
          <w:u w:val="single"/>
          <w:lang w:val="cs-CZ"/>
        </w:rPr>
        <w:t xml:space="preserve"> inkrementální </w:t>
      </w:r>
      <w:r w:rsidR="00E9229D">
        <w:rPr>
          <w:szCs w:val="22"/>
          <w:u w:val="single"/>
          <w:lang w:val="cs-CZ"/>
        </w:rPr>
        <w:t>obnovy aktivity</w:t>
      </w:r>
      <w:r w:rsidRPr="0005661C">
        <w:rPr>
          <w:szCs w:val="22"/>
          <w:u w:val="single"/>
          <w:lang w:val="cs-CZ"/>
        </w:rPr>
        <w:t xml:space="preserve"> faktoru VIII</w:t>
      </w:r>
    </w:p>
    <w:p w14:paraId="26AD27D6" w14:textId="77777777" w:rsidR="00757518" w:rsidRPr="00757518" w:rsidRDefault="00757518" w:rsidP="00757518">
      <w:pPr>
        <w:tabs>
          <w:tab w:val="clear" w:pos="567"/>
        </w:tabs>
        <w:rPr>
          <w:rFonts w:eastAsia="SimSun"/>
          <w:szCs w:val="22"/>
          <w:lang w:val="cs-CZ" w:eastAsia="en-GB"/>
        </w:rPr>
      </w:pPr>
    </w:p>
    <w:p w14:paraId="5516DF3B" w14:textId="1D75E9CF" w:rsidR="00757518" w:rsidRPr="0028273C" w:rsidRDefault="00757518" w:rsidP="7A5ABD34">
      <w:pPr>
        <w:tabs>
          <w:tab w:val="clear" w:pos="567"/>
        </w:tabs>
        <w:rPr>
          <w:rFonts w:eastAsia="SimSun"/>
          <w:lang w:val="cs-CZ" w:eastAsia="en-GB"/>
        </w:rPr>
      </w:pPr>
      <w:r w:rsidRPr="7A5ABD34">
        <w:rPr>
          <w:rFonts w:eastAsia="SimSun"/>
          <w:lang w:val="cs-CZ" w:eastAsia="en-GB"/>
        </w:rPr>
        <w:t xml:space="preserve">Menší snížení </w:t>
      </w:r>
      <w:r w:rsidR="00E9229D" w:rsidRPr="7A5ABD34">
        <w:rPr>
          <w:rFonts w:eastAsia="SimSun"/>
          <w:lang w:val="cs-CZ" w:eastAsia="en-GB"/>
        </w:rPr>
        <w:t>obnovy aktivity</w:t>
      </w:r>
      <w:r w:rsidRPr="7A5ABD34">
        <w:rPr>
          <w:rFonts w:eastAsia="SimSun"/>
          <w:lang w:val="cs-CZ" w:eastAsia="en-GB"/>
        </w:rPr>
        <w:t xml:space="preserve"> (</w:t>
      </w:r>
      <w:r w:rsidR="00E9229D" w:rsidRPr="7A5ABD34">
        <w:rPr>
          <w:rFonts w:eastAsia="SimSun"/>
          <w:lang w:val="cs-CZ" w:eastAsia="en-GB"/>
        </w:rPr>
        <w:t xml:space="preserve">obnova aktivity </w:t>
      </w:r>
      <w:r w:rsidRPr="7A5ABD34">
        <w:rPr>
          <w:rFonts w:eastAsia="SimSun"/>
          <w:lang w:val="cs-CZ" w:eastAsia="en-GB"/>
        </w:rPr>
        <w:t>kolem 1 IU/dl na IU/kg)</w:t>
      </w:r>
      <w:r w:rsidR="00385BE2">
        <w:rPr>
          <w:rFonts w:eastAsia="SimSun"/>
          <w:lang w:val="cs-CZ" w:eastAsia="en-GB"/>
        </w:rPr>
        <w:t xml:space="preserve"> bylo pozorováno</w:t>
      </w:r>
      <w:r w:rsidRPr="7A5ABD34">
        <w:rPr>
          <w:rFonts w:eastAsia="SimSun"/>
          <w:lang w:val="cs-CZ" w:eastAsia="en-GB"/>
        </w:rPr>
        <w:t xml:space="preserve"> po zahájení léčby</w:t>
      </w:r>
      <w:r w:rsidR="00385BE2">
        <w:rPr>
          <w:rFonts w:eastAsia="SimSun"/>
          <w:lang w:val="cs-CZ" w:eastAsia="en-GB"/>
        </w:rPr>
        <w:t xml:space="preserve"> a</w:t>
      </w:r>
      <w:r w:rsidRPr="7A5ABD34">
        <w:rPr>
          <w:rFonts w:eastAsia="SimSun"/>
          <w:lang w:val="cs-CZ" w:eastAsia="en-GB"/>
        </w:rPr>
        <w:t xml:space="preserve"> může být způsobeno přechodným nízkým titrem anti</w:t>
      </w:r>
      <w:r w:rsidR="00992F0A">
        <w:rPr>
          <w:rFonts w:eastAsia="SimSun"/>
          <w:szCs w:val="22"/>
          <w:lang w:val="cs-CZ" w:eastAsia="en-GB"/>
        </w:rPr>
        <w:noBreakHyphen/>
      </w:r>
      <w:r w:rsidRPr="7A5ABD34">
        <w:rPr>
          <w:rFonts w:eastAsia="SimSun"/>
          <w:lang w:val="cs-CZ" w:eastAsia="en-GB"/>
        </w:rPr>
        <w:t xml:space="preserve">PEG </w:t>
      </w:r>
      <w:proofErr w:type="spellStart"/>
      <w:r w:rsidRPr="7A5ABD34">
        <w:rPr>
          <w:rFonts w:eastAsia="SimSun"/>
          <w:lang w:val="cs-CZ" w:eastAsia="en-GB"/>
        </w:rPr>
        <w:t>IgM</w:t>
      </w:r>
      <w:proofErr w:type="spellEnd"/>
      <w:r w:rsidRPr="7A5ABD34">
        <w:rPr>
          <w:rFonts w:eastAsia="SimSun"/>
          <w:lang w:val="cs-CZ" w:eastAsia="en-GB"/>
        </w:rPr>
        <w:t xml:space="preserve"> </w:t>
      </w:r>
      <w:r w:rsidR="00992F0A" w:rsidRPr="7A5ABD34">
        <w:rPr>
          <w:rFonts w:eastAsia="SimSun"/>
          <w:lang w:val="cs-CZ" w:eastAsia="en-GB"/>
        </w:rPr>
        <w:t>protilátek, a to</w:t>
      </w:r>
      <w:r w:rsidR="006C63D9" w:rsidRPr="7A5ABD34">
        <w:rPr>
          <w:rFonts w:eastAsia="SimSun"/>
          <w:lang w:val="cs-CZ" w:eastAsia="en-GB"/>
        </w:rPr>
        <w:t xml:space="preserve"> zejména</w:t>
      </w:r>
      <w:r w:rsidRPr="7A5ABD34">
        <w:rPr>
          <w:rFonts w:eastAsia="SimSun"/>
          <w:lang w:val="cs-CZ" w:eastAsia="en-GB"/>
        </w:rPr>
        <w:t xml:space="preserve"> u dětí. </w:t>
      </w:r>
      <w:r w:rsidR="00B50CC1">
        <w:rPr>
          <w:rFonts w:eastAsia="SimSun"/>
          <w:lang w:val="cs-CZ" w:eastAsia="en-GB"/>
        </w:rPr>
        <w:t>Nízká inkrementální obnova aktivity by mohla být potenciálně spojena se sníženou účinností během tohoto časového období.</w:t>
      </w:r>
      <w:r w:rsidRPr="7A5ABD34">
        <w:rPr>
          <w:rFonts w:eastAsia="SimSun"/>
          <w:lang w:val="cs-CZ" w:eastAsia="en-GB"/>
        </w:rPr>
        <w:t xml:space="preserve"> Doporučuje se sledování pediatrických pacientů, včetně monitorování aktivity faktoru VIII po podání dávky.</w:t>
      </w:r>
      <w:r w:rsidR="00ED3686" w:rsidRPr="7A5ABD34">
        <w:rPr>
          <w:rFonts w:eastAsia="SimSun"/>
          <w:lang w:val="cs-CZ" w:eastAsia="en-GB"/>
        </w:rPr>
        <w:t xml:space="preserve"> </w:t>
      </w:r>
      <w:r w:rsidR="00285E37" w:rsidRPr="0005661C">
        <w:rPr>
          <w:rFonts w:eastAsia="SimSun"/>
          <w:lang w:val="cs-CZ" w:eastAsia="en-GB"/>
        </w:rPr>
        <w:t>Pokud není krvácení kontrolováno doporučenou dávkou a/nebo nejsou dosaženy očekávané hladiny aktivity faktoru VIII v nepřítomnosti inhibitorů FVIII, zvažte úpravu dávky, frekvence podávání nebo přerušení používání p</w:t>
      </w:r>
      <w:r w:rsidR="623B7DDA" w:rsidRPr="7A5ABD34">
        <w:rPr>
          <w:rFonts w:eastAsia="SimSun"/>
          <w:lang w:val="cs-CZ" w:eastAsia="en-GB"/>
        </w:rPr>
        <w:t>řípravku</w:t>
      </w:r>
      <w:r w:rsidR="00285E37" w:rsidRPr="0005661C">
        <w:rPr>
          <w:rFonts w:eastAsia="SimSun"/>
          <w:lang w:val="cs-CZ" w:eastAsia="en-GB"/>
        </w:rPr>
        <w:t>.</w:t>
      </w:r>
    </w:p>
    <w:p w14:paraId="43DD4872" w14:textId="77777777" w:rsidR="006C307D" w:rsidRPr="0028273C" w:rsidRDefault="006C307D" w:rsidP="00735457">
      <w:pPr>
        <w:rPr>
          <w:szCs w:val="22"/>
          <w:lang w:val="cs-CZ"/>
        </w:rPr>
      </w:pPr>
    </w:p>
    <w:p w14:paraId="1B31262B" w14:textId="77777777" w:rsidR="00DD6503" w:rsidRPr="0028273C" w:rsidRDefault="00FE4EEB" w:rsidP="00735457">
      <w:pPr>
        <w:keepNext/>
        <w:keepLines/>
        <w:tabs>
          <w:tab w:val="clear" w:pos="567"/>
        </w:tabs>
        <w:rPr>
          <w:szCs w:val="22"/>
          <w:u w:val="single"/>
          <w:lang w:val="cs-CZ"/>
        </w:rPr>
      </w:pPr>
      <w:r w:rsidRPr="0028273C">
        <w:rPr>
          <w:szCs w:val="22"/>
          <w:u w:val="single"/>
          <w:lang w:val="cs-CZ"/>
        </w:rPr>
        <w:t>Kardiovaskulární příhody</w:t>
      </w:r>
    </w:p>
    <w:p w14:paraId="4791F08D" w14:textId="77777777" w:rsidR="00502E0B" w:rsidRPr="0028273C" w:rsidRDefault="00502E0B" w:rsidP="00735457">
      <w:pPr>
        <w:keepNext/>
        <w:keepLines/>
        <w:tabs>
          <w:tab w:val="clear" w:pos="567"/>
        </w:tabs>
        <w:rPr>
          <w:szCs w:val="22"/>
          <w:lang w:val="cs-CZ"/>
        </w:rPr>
      </w:pPr>
    </w:p>
    <w:p w14:paraId="44C61C27" w14:textId="77777777" w:rsidR="003335E6" w:rsidRPr="0028273C" w:rsidRDefault="003335E6" w:rsidP="00735457">
      <w:pPr>
        <w:tabs>
          <w:tab w:val="clear" w:pos="567"/>
        </w:tabs>
        <w:autoSpaceDE w:val="0"/>
        <w:autoSpaceDN w:val="0"/>
        <w:adjustRightInd w:val="0"/>
        <w:rPr>
          <w:rFonts w:eastAsia="TimesNewRoman"/>
          <w:szCs w:val="22"/>
          <w:lang w:val="cs-CZ" w:eastAsia="cs-CZ"/>
        </w:rPr>
      </w:pPr>
      <w:r w:rsidRPr="0028273C">
        <w:rPr>
          <w:rFonts w:eastAsia="TimesNewRoman"/>
          <w:szCs w:val="22"/>
          <w:lang w:val="cs-CZ" w:eastAsia="cs-CZ"/>
        </w:rPr>
        <w:t>U pacientů s existujícími kardiovaskulárními rizikovými faktory může substituční terapie</w:t>
      </w:r>
    </w:p>
    <w:p w14:paraId="7F32D037" w14:textId="77777777" w:rsidR="00843A1F" w:rsidRPr="0028273C" w:rsidRDefault="003335E6" w:rsidP="00735457">
      <w:pPr>
        <w:tabs>
          <w:tab w:val="clear" w:pos="567"/>
        </w:tabs>
        <w:rPr>
          <w:szCs w:val="22"/>
          <w:lang w:val="cs-CZ"/>
        </w:rPr>
      </w:pPr>
      <w:r w:rsidRPr="0028273C">
        <w:rPr>
          <w:rFonts w:eastAsia="TimesNewRoman"/>
          <w:szCs w:val="22"/>
          <w:lang w:val="cs-CZ" w:eastAsia="cs-CZ"/>
        </w:rPr>
        <w:t>faktorem VIII zvýšit kardiovaskulární riziko</w:t>
      </w:r>
      <w:r w:rsidR="001811FA" w:rsidRPr="0028273C">
        <w:rPr>
          <w:szCs w:val="22"/>
          <w:lang w:val="cs-CZ"/>
        </w:rPr>
        <w:t>.</w:t>
      </w:r>
    </w:p>
    <w:p w14:paraId="5B6ADC31" w14:textId="77777777" w:rsidR="00B63155" w:rsidRPr="0028273C" w:rsidRDefault="00B63155" w:rsidP="00735457">
      <w:pPr>
        <w:tabs>
          <w:tab w:val="clear" w:pos="567"/>
        </w:tabs>
        <w:rPr>
          <w:szCs w:val="22"/>
          <w:lang w:val="cs-CZ"/>
        </w:rPr>
      </w:pPr>
    </w:p>
    <w:p w14:paraId="2D8E3AB7" w14:textId="6172B603" w:rsidR="00843A1F" w:rsidRPr="0028273C" w:rsidRDefault="00FE4EEB" w:rsidP="00735457">
      <w:pPr>
        <w:keepNext/>
        <w:keepLines/>
        <w:tabs>
          <w:tab w:val="clear" w:pos="567"/>
        </w:tabs>
        <w:rPr>
          <w:szCs w:val="22"/>
          <w:u w:val="single"/>
          <w:lang w:val="cs-CZ"/>
        </w:rPr>
      </w:pPr>
      <w:r w:rsidRPr="0028273C">
        <w:rPr>
          <w:szCs w:val="22"/>
          <w:u w:val="single"/>
          <w:lang w:val="cs-CZ"/>
        </w:rPr>
        <w:t>Komplikace související s kat</w:t>
      </w:r>
      <w:r w:rsidR="00BC4E9F">
        <w:rPr>
          <w:szCs w:val="22"/>
          <w:u w:val="single"/>
          <w:lang w:val="cs-CZ"/>
        </w:rPr>
        <w:t>é</w:t>
      </w:r>
      <w:r w:rsidRPr="0028273C">
        <w:rPr>
          <w:szCs w:val="22"/>
          <w:u w:val="single"/>
          <w:lang w:val="cs-CZ"/>
        </w:rPr>
        <w:t>trem</w:t>
      </w:r>
    </w:p>
    <w:p w14:paraId="446F3C12" w14:textId="77777777" w:rsidR="00843A1F" w:rsidRPr="0028273C" w:rsidRDefault="00843A1F" w:rsidP="00735457">
      <w:pPr>
        <w:keepNext/>
        <w:keepLines/>
        <w:tabs>
          <w:tab w:val="clear" w:pos="567"/>
        </w:tabs>
        <w:rPr>
          <w:szCs w:val="22"/>
          <w:lang w:val="cs-CZ"/>
        </w:rPr>
      </w:pPr>
    </w:p>
    <w:p w14:paraId="7A606437" w14:textId="08BD6ED4" w:rsidR="00843A1F" w:rsidRPr="0028273C" w:rsidRDefault="00FE4EEB" w:rsidP="00735457">
      <w:pPr>
        <w:keepNext/>
        <w:tabs>
          <w:tab w:val="clear" w:pos="567"/>
        </w:tabs>
        <w:autoSpaceDE w:val="0"/>
        <w:autoSpaceDN w:val="0"/>
        <w:adjustRightInd w:val="0"/>
        <w:rPr>
          <w:iCs/>
          <w:szCs w:val="22"/>
          <w:lang w:val="cs-CZ" w:eastAsia="en-US"/>
        </w:rPr>
      </w:pPr>
      <w:r w:rsidRPr="0028273C">
        <w:rPr>
          <w:szCs w:val="22"/>
          <w:lang w:val="cs-CZ"/>
        </w:rPr>
        <w:t>Jestliže je třeba použít centrální žilní vstup (</w:t>
      </w:r>
      <w:proofErr w:type="spellStart"/>
      <w:r w:rsidRPr="0028273C">
        <w:rPr>
          <w:i/>
          <w:szCs w:val="22"/>
          <w:lang w:val="cs-CZ"/>
        </w:rPr>
        <w:t>central</w:t>
      </w:r>
      <w:proofErr w:type="spellEnd"/>
      <w:r w:rsidRPr="0028273C">
        <w:rPr>
          <w:i/>
          <w:szCs w:val="22"/>
          <w:lang w:val="cs-CZ"/>
        </w:rPr>
        <w:t xml:space="preserve"> </w:t>
      </w:r>
      <w:proofErr w:type="spellStart"/>
      <w:r w:rsidRPr="0028273C">
        <w:rPr>
          <w:i/>
          <w:szCs w:val="22"/>
          <w:lang w:val="cs-CZ"/>
        </w:rPr>
        <w:t>venous</w:t>
      </w:r>
      <w:proofErr w:type="spellEnd"/>
      <w:r w:rsidRPr="0028273C">
        <w:rPr>
          <w:i/>
          <w:szCs w:val="22"/>
          <w:lang w:val="cs-CZ"/>
        </w:rPr>
        <w:t xml:space="preserve"> </w:t>
      </w:r>
      <w:proofErr w:type="spellStart"/>
      <w:r w:rsidRPr="0028273C">
        <w:rPr>
          <w:i/>
          <w:szCs w:val="22"/>
          <w:lang w:val="cs-CZ"/>
        </w:rPr>
        <w:t>access</w:t>
      </w:r>
      <w:proofErr w:type="spellEnd"/>
      <w:r w:rsidRPr="0028273C">
        <w:rPr>
          <w:i/>
          <w:szCs w:val="22"/>
          <w:lang w:val="cs-CZ"/>
        </w:rPr>
        <w:t xml:space="preserve"> </w:t>
      </w:r>
      <w:proofErr w:type="spellStart"/>
      <w:r w:rsidRPr="0028273C">
        <w:rPr>
          <w:i/>
          <w:szCs w:val="22"/>
          <w:lang w:val="cs-CZ"/>
        </w:rPr>
        <w:t>device</w:t>
      </w:r>
      <w:r w:rsidRPr="0028273C">
        <w:rPr>
          <w:szCs w:val="22"/>
          <w:lang w:val="cs-CZ"/>
        </w:rPr>
        <w:t>s</w:t>
      </w:r>
      <w:proofErr w:type="spellEnd"/>
      <w:r w:rsidRPr="0028273C">
        <w:rPr>
          <w:szCs w:val="22"/>
          <w:lang w:val="cs-CZ"/>
        </w:rPr>
        <w:t xml:space="preserve">, CVAD), musí se </w:t>
      </w:r>
      <w:r w:rsidR="00F9700F">
        <w:rPr>
          <w:szCs w:val="22"/>
          <w:lang w:val="cs-CZ"/>
        </w:rPr>
        <w:t>z</w:t>
      </w:r>
      <w:r w:rsidRPr="0028273C">
        <w:rPr>
          <w:szCs w:val="22"/>
          <w:lang w:val="cs-CZ"/>
        </w:rPr>
        <w:t>vážit riziko vzniku komplikací souvisejících s CVAD, včetně lokální</w:t>
      </w:r>
      <w:r w:rsidR="00F9700F">
        <w:rPr>
          <w:szCs w:val="22"/>
          <w:lang w:val="cs-CZ"/>
        </w:rPr>
        <w:t>ch</w:t>
      </w:r>
      <w:r w:rsidRPr="0028273C">
        <w:rPr>
          <w:szCs w:val="22"/>
          <w:lang w:val="cs-CZ"/>
        </w:rPr>
        <w:t xml:space="preserve"> infekc</w:t>
      </w:r>
      <w:r w:rsidR="00F9700F">
        <w:rPr>
          <w:szCs w:val="22"/>
          <w:lang w:val="cs-CZ"/>
        </w:rPr>
        <w:t>í</w:t>
      </w:r>
      <w:r w:rsidRPr="0028273C">
        <w:rPr>
          <w:szCs w:val="22"/>
          <w:lang w:val="cs-CZ"/>
        </w:rPr>
        <w:t>, bakteriémie a trombózy v místě vstupu kat</w:t>
      </w:r>
      <w:r w:rsidR="00BC4E9F">
        <w:rPr>
          <w:szCs w:val="22"/>
          <w:lang w:val="cs-CZ"/>
        </w:rPr>
        <w:t>é</w:t>
      </w:r>
      <w:r w:rsidRPr="0028273C">
        <w:rPr>
          <w:szCs w:val="22"/>
          <w:lang w:val="cs-CZ"/>
        </w:rPr>
        <w:t>tru.</w:t>
      </w:r>
    </w:p>
    <w:p w14:paraId="5EF17E7A" w14:textId="77777777" w:rsidR="00502E0B" w:rsidRPr="0028273C" w:rsidRDefault="00502E0B" w:rsidP="00735457">
      <w:pPr>
        <w:tabs>
          <w:tab w:val="clear" w:pos="567"/>
        </w:tabs>
        <w:rPr>
          <w:szCs w:val="22"/>
          <w:lang w:val="cs-CZ"/>
        </w:rPr>
      </w:pPr>
    </w:p>
    <w:p w14:paraId="718DE8C2" w14:textId="77777777" w:rsidR="00DD6503" w:rsidRPr="0028273C" w:rsidRDefault="00FE4EEB" w:rsidP="00735457">
      <w:pPr>
        <w:keepNext/>
        <w:keepLines/>
        <w:tabs>
          <w:tab w:val="clear" w:pos="567"/>
        </w:tabs>
        <w:rPr>
          <w:szCs w:val="22"/>
          <w:u w:val="single"/>
          <w:lang w:val="cs-CZ"/>
        </w:rPr>
      </w:pPr>
      <w:r w:rsidRPr="0028273C">
        <w:rPr>
          <w:szCs w:val="22"/>
          <w:u w:val="single"/>
          <w:lang w:val="cs-CZ"/>
        </w:rPr>
        <w:lastRenderedPageBreak/>
        <w:t>Pediatrická populace</w:t>
      </w:r>
    </w:p>
    <w:p w14:paraId="6C273D88" w14:textId="77777777" w:rsidR="00DD6503" w:rsidRPr="0028273C" w:rsidRDefault="00DD6503" w:rsidP="00735457">
      <w:pPr>
        <w:keepNext/>
        <w:keepLines/>
        <w:tabs>
          <w:tab w:val="clear" w:pos="567"/>
        </w:tabs>
        <w:rPr>
          <w:szCs w:val="22"/>
          <w:lang w:val="cs-CZ"/>
        </w:rPr>
      </w:pPr>
    </w:p>
    <w:p w14:paraId="38706957" w14:textId="7E6CF672" w:rsidR="00FE4EEB" w:rsidRPr="0028273C" w:rsidRDefault="00FE4EEB" w:rsidP="00735457">
      <w:pPr>
        <w:keepNext/>
        <w:rPr>
          <w:szCs w:val="22"/>
          <w:lang w:val="cs-CZ"/>
        </w:rPr>
      </w:pPr>
      <w:r w:rsidRPr="0028273C">
        <w:rPr>
          <w:szCs w:val="22"/>
          <w:lang w:val="cs-CZ"/>
        </w:rPr>
        <w:t>Uvedená upozornění a opatření platí pro dospělé</w:t>
      </w:r>
      <w:r w:rsidR="00061F6D">
        <w:rPr>
          <w:szCs w:val="22"/>
          <w:lang w:val="cs-CZ"/>
        </w:rPr>
        <w:t>,</w:t>
      </w:r>
      <w:r w:rsidRPr="0028273C">
        <w:rPr>
          <w:szCs w:val="22"/>
          <w:lang w:val="cs-CZ"/>
        </w:rPr>
        <w:t xml:space="preserve"> dospívající</w:t>
      </w:r>
      <w:r w:rsidR="00061F6D">
        <w:rPr>
          <w:szCs w:val="22"/>
          <w:lang w:val="cs-CZ"/>
        </w:rPr>
        <w:t xml:space="preserve"> a děti ve věku od 7 do </w:t>
      </w:r>
      <w:proofErr w:type="gramStart"/>
      <w:r w:rsidR="00061F6D" w:rsidRPr="00404EEB">
        <w:rPr>
          <w:szCs w:val="22"/>
          <w:lang w:val="cs-CZ"/>
        </w:rPr>
        <w:t>&lt; 12</w:t>
      </w:r>
      <w:proofErr w:type="gramEnd"/>
      <w:r w:rsidR="00061F6D" w:rsidRPr="00404EEB">
        <w:rPr>
          <w:szCs w:val="22"/>
          <w:lang w:val="cs-CZ"/>
        </w:rPr>
        <w:t> let</w:t>
      </w:r>
      <w:r w:rsidRPr="0028273C">
        <w:rPr>
          <w:szCs w:val="22"/>
          <w:lang w:val="cs-CZ"/>
        </w:rPr>
        <w:t>.</w:t>
      </w:r>
    </w:p>
    <w:p w14:paraId="4B860DD7" w14:textId="2A4192D2" w:rsidR="00DD6503" w:rsidRDefault="003F5BEC" w:rsidP="00735457">
      <w:pPr>
        <w:keepNext/>
        <w:tabs>
          <w:tab w:val="clear" w:pos="567"/>
        </w:tabs>
        <w:rPr>
          <w:szCs w:val="22"/>
          <w:lang w:val="cs-CZ"/>
        </w:rPr>
      </w:pPr>
      <w:r w:rsidRPr="0028273C">
        <w:rPr>
          <w:szCs w:val="22"/>
          <w:lang w:val="cs-CZ"/>
        </w:rPr>
        <w:t xml:space="preserve">Přípravek </w:t>
      </w:r>
      <w:proofErr w:type="spellStart"/>
      <w:r w:rsidR="00A06EEB" w:rsidRPr="0028273C">
        <w:rPr>
          <w:szCs w:val="22"/>
          <w:lang w:val="cs-CZ"/>
        </w:rPr>
        <w:t>Jivi</w:t>
      </w:r>
      <w:proofErr w:type="spellEnd"/>
      <w:r w:rsidRPr="0028273C">
        <w:rPr>
          <w:szCs w:val="22"/>
          <w:lang w:val="cs-CZ"/>
        </w:rPr>
        <w:t xml:space="preserve"> není indikován u pacientů ve věku </w:t>
      </w:r>
      <w:proofErr w:type="gramStart"/>
      <w:r w:rsidR="0060476D" w:rsidRPr="0028273C">
        <w:rPr>
          <w:szCs w:val="22"/>
          <w:lang w:val="cs-CZ"/>
        </w:rPr>
        <w:t>&lt;</w:t>
      </w:r>
      <w:r w:rsidR="00061F6D">
        <w:rPr>
          <w:szCs w:val="22"/>
          <w:lang w:val="cs-CZ"/>
        </w:rPr>
        <w:t> 7</w:t>
      </w:r>
      <w:proofErr w:type="gramEnd"/>
      <w:r w:rsidR="00061F6D" w:rsidRPr="0028273C">
        <w:rPr>
          <w:szCs w:val="22"/>
          <w:lang w:val="cs-CZ"/>
        </w:rPr>
        <w:t> </w:t>
      </w:r>
      <w:r w:rsidRPr="0028273C">
        <w:rPr>
          <w:szCs w:val="22"/>
          <w:lang w:val="cs-CZ"/>
        </w:rPr>
        <w:t>let a u dosud neléčených pacientů</w:t>
      </w:r>
      <w:r w:rsidR="0060476D" w:rsidRPr="0028273C">
        <w:rPr>
          <w:szCs w:val="22"/>
          <w:lang w:val="cs-CZ"/>
        </w:rPr>
        <w:t>.</w:t>
      </w:r>
    </w:p>
    <w:p w14:paraId="5693F811" w14:textId="77777777" w:rsidR="00061F6D" w:rsidRDefault="00061F6D" w:rsidP="00735457">
      <w:pPr>
        <w:keepNext/>
        <w:tabs>
          <w:tab w:val="clear" w:pos="567"/>
        </w:tabs>
        <w:rPr>
          <w:szCs w:val="22"/>
          <w:lang w:val="cs-CZ"/>
        </w:rPr>
      </w:pPr>
    </w:p>
    <w:p w14:paraId="75572F40" w14:textId="30AA5084" w:rsidR="00061F6D" w:rsidRPr="0005661C" w:rsidRDefault="00061F6D" w:rsidP="00735457">
      <w:pPr>
        <w:keepNext/>
        <w:tabs>
          <w:tab w:val="clear" w:pos="567"/>
        </w:tabs>
        <w:rPr>
          <w:szCs w:val="22"/>
          <w:u w:val="single"/>
          <w:lang w:val="cs-CZ"/>
        </w:rPr>
      </w:pPr>
      <w:r w:rsidRPr="0005661C">
        <w:rPr>
          <w:szCs w:val="22"/>
          <w:u w:val="single"/>
          <w:lang w:val="cs-CZ"/>
        </w:rPr>
        <w:t>Informace o</w:t>
      </w:r>
      <w:r w:rsidR="00A941B5">
        <w:rPr>
          <w:szCs w:val="22"/>
          <w:u w:val="single"/>
          <w:lang w:val="cs-CZ"/>
        </w:rPr>
        <w:t xml:space="preserve"> </w:t>
      </w:r>
      <w:r w:rsidRPr="0005661C">
        <w:rPr>
          <w:szCs w:val="22"/>
          <w:u w:val="single"/>
          <w:lang w:val="cs-CZ"/>
        </w:rPr>
        <w:t>pomocných látkách</w:t>
      </w:r>
    </w:p>
    <w:p w14:paraId="70CDC5C6" w14:textId="77777777" w:rsidR="004F1D01" w:rsidRPr="0028273C" w:rsidRDefault="004F1D01" w:rsidP="00735457">
      <w:pPr>
        <w:tabs>
          <w:tab w:val="clear" w:pos="567"/>
        </w:tabs>
        <w:rPr>
          <w:szCs w:val="22"/>
          <w:lang w:val="cs-CZ"/>
        </w:rPr>
      </w:pPr>
    </w:p>
    <w:p w14:paraId="21292083" w14:textId="6E9822BB" w:rsidR="004F1D01" w:rsidRPr="0005661C" w:rsidRDefault="00404EEB" w:rsidP="00735457">
      <w:pPr>
        <w:keepNext/>
        <w:keepLines/>
        <w:tabs>
          <w:tab w:val="clear" w:pos="567"/>
        </w:tabs>
        <w:rPr>
          <w:i/>
          <w:iCs/>
          <w:szCs w:val="22"/>
          <w:lang w:val="cs-CZ"/>
        </w:rPr>
      </w:pPr>
      <w:r>
        <w:rPr>
          <w:i/>
          <w:iCs/>
          <w:szCs w:val="22"/>
          <w:lang w:val="cs-CZ"/>
        </w:rPr>
        <w:t>S</w:t>
      </w:r>
      <w:r w:rsidR="00FE4EEB" w:rsidRPr="0005661C">
        <w:rPr>
          <w:i/>
          <w:iCs/>
          <w:szCs w:val="22"/>
          <w:lang w:val="cs-CZ"/>
        </w:rPr>
        <w:t>odík</w:t>
      </w:r>
    </w:p>
    <w:p w14:paraId="0AA68436" w14:textId="77777777" w:rsidR="00FE4EEB" w:rsidRDefault="00FE4EEB" w:rsidP="00735457">
      <w:pPr>
        <w:rPr>
          <w:lang w:val="cs-CZ"/>
        </w:rPr>
      </w:pPr>
      <w:r w:rsidRPr="0028273C">
        <w:rPr>
          <w:lang w:val="cs-CZ"/>
        </w:rPr>
        <w:t>Tento léčivý přípravek obsahuje méně než 1 </w:t>
      </w:r>
      <w:proofErr w:type="spellStart"/>
      <w:r w:rsidRPr="0028273C">
        <w:rPr>
          <w:lang w:val="cs-CZ"/>
        </w:rPr>
        <w:t>mmol</w:t>
      </w:r>
      <w:proofErr w:type="spellEnd"/>
      <w:r w:rsidRPr="0028273C">
        <w:rPr>
          <w:lang w:val="cs-CZ"/>
        </w:rPr>
        <w:t xml:space="preserve"> (23 mg) sodíku v jedné dávce, </w:t>
      </w:r>
      <w:r w:rsidR="003524CF" w:rsidRPr="0028273C">
        <w:rPr>
          <w:lang w:val="cs-CZ"/>
        </w:rPr>
        <w:t>to znamená, že je</w:t>
      </w:r>
      <w:r w:rsidRPr="0028273C">
        <w:rPr>
          <w:lang w:val="cs-CZ"/>
        </w:rPr>
        <w:t xml:space="preserve"> v</w:t>
      </w:r>
      <w:r w:rsidR="000E027B">
        <w:rPr>
          <w:lang w:val="cs-CZ"/>
        </w:rPr>
        <w:t> </w:t>
      </w:r>
      <w:r w:rsidRPr="0028273C">
        <w:rPr>
          <w:lang w:val="cs-CZ"/>
        </w:rPr>
        <w:t>podstatě</w:t>
      </w:r>
      <w:r w:rsidR="000E027B">
        <w:rPr>
          <w:lang w:val="cs-CZ"/>
        </w:rPr>
        <w:t xml:space="preserve"> </w:t>
      </w:r>
      <w:r w:rsidRPr="0028273C">
        <w:rPr>
          <w:lang w:val="cs-CZ"/>
        </w:rPr>
        <w:t>„bez sodíku“.</w:t>
      </w:r>
    </w:p>
    <w:p w14:paraId="0B4053B6" w14:textId="77777777" w:rsidR="007D43C1" w:rsidRDefault="007D43C1" w:rsidP="00735457">
      <w:pPr>
        <w:rPr>
          <w:lang w:val="cs-CZ"/>
        </w:rPr>
      </w:pPr>
    </w:p>
    <w:p w14:paraId="4980B26A" w14:textId="77777777" w:rsidR="00BF5CD3" w:rsidRPr="009605AA" w:rsidRDefault="00BF5CD3" w:rsidP="00BF5CD3">
      <w:pPr>
        <w:rPr>
          <w:i/>
          <w:iCs/>
          <w:lang w:val="cs-CZ"/>
        </w:rPr>
      </w:pPr>
      <w:proofErr w:type="spellStart"/>
      <w:r w:rsidRPr="009605AA">
        <w:rPr>
          <w:i/>
          <w:iCs/>
          <w:lang w:val="cs-CZ"/>
        </w:rPr>
        <w:t>Polysorbát</w:t>
      </w:r>
      <w:proofErr w:type="spellEnd"/>
      <w:r w:rsidRPr="009605AA">
        <w:rPr>
          <w:i/>
          <w:iCs/>
          <w:lang w:val="cs-CZ"/>
        </w:rPr>
        <w:t xml:space="preserve"> 80 (E 433)</w:t>
      </w:r>
    </w:p>
    <w:p w14:paraId="694968AB" w14:textId="790B0696" w:rsidR="00BF5CD3" w:rsidRPr="0028273C" w:rsidRDefault="00BF5CD3" w:rsidP="00BF5CD3">
      <w:pPr>
        <w:rPr>
          <w:lang w:val="cs-CZ"/>
        </w:rPr>
      </w:pPr>
      <w:r w:rsidRPr="00DF4E98">
        <w:rPr>
          <w:lang w:val="cs-CZ"/>
        </w:rPr>
        <w:t>Tento léčivý přípravek obsahuje 0,2</w:t>
      </w:r>
      <w:r w:rsidRPr="0028273C">
        <w:rPr>
          <w:lang w:val="cs-CZ"/>
        </w:rPr>
        <w:t> </w:t>
      </w:r>
      <w:r w:rsidRPr="00DF4E98">
        <w:rPr>
          <w:lang w:val="cs-CZ"/>
        </w:rPr>
        <w:t xml:space="preserve">mg </w:t>
      </w:r>
      <w:proofErr w:type="spellStart"/>
      <w:r w:rsidRPr="00DF4E98">
        <w:rPr>
          <w:lang w:val="cs-CZ"/>
        </w:rPr>
        <w:t>polysorbátu</w:t>
      </w:r>
      <w:proofErr w:type="spellEnd"/>
      <w:r w:rsidRPr="00DF4E98">
        <w:rPr>
          <w:lang w:val="cs-CZ"/>
        </w:rPr>
        <w:t xml:space="preserve"> 80 </w:t>
      </w:r>
      <w:r>
        <w:rPr>
          <w:lang w:val="cs-CZ"/>
        </w:rPr>
        <w:t>na injekční lahvičku o objemu</w:t>
      </w:r>
      <w:r w:rsidRPr="00DF4E98">
        <w:rPr>
          <w:lang w:val="cs-CZ"/>
        </w:rPr>
        <w:t xml:space="preserve"> 250/500/1</w:t>
      </w:r>
      <w:r w:rsidRPr="0028273C">
        <w:rPr>
          <w:lang w:val="cs-CZ"/>
        </w:rPr>
        <w:t> </w:t>
      </w:r>
      <w:r w:rsidRPr="00DF4E98">
        <w:rPr>
          <w:lang w:val="cs-CZ"/>
        </w:rPr>
        <w:t>000/2</w:t>
      </w:r>
      <w:r w:rsidRPr="0028273C">
        <w:rPr>
          <w:lang w:val="cs-CZ"/>
        </w:rPr>
        <w:t> </w:t>
      </w:r>
      <w:r w:rsidRPr="00DF4E98">
        <w:rPr>
          <w:lang w:val="cs-CZ"/>
        </w:rPr>
        <w:t>000/3</w:t>
      </w:r>
      <w:r w:rsidRPr="0028273C">
        <w:rPr>
          <w:lang w:val="cs-CZ"/>
        </w:rPr>
        <w:t> </w:t>
      </w:r>
      <w:r w:rsidRPr="00DF4E98">
        <w:rPr>
          <w:lang w:val="cs-CZ"/>
        </w:rPr>
        <w:t>000</w:t>
      </w:r>
      <w:r w:rsidRPr="0028273C">
        <w:rPr>
          <w:lang w:val="cs-CZ"/>
        </w:rPr>
        <w:t> </w:t>
      </w:r>
      <w:r w:rsidRPr="00DF4E98">
        <w:rPr>
          <w:lang w:val="cs-CZ"/>
        </w:rPr>
        <w:t>IU</w:t>
      </w:r>
      <w:r>
        <w:rPr>
          <w:lang w:val="cs-CZ"/>
        </w:rPr>
        <w:t xml:space="preserve"> </w:t>
      </w:r>
      <w:r w:rsidRPr="009605AA">
        <w:rPr>
          <w:lang w:val="cs-CZ"/>
        </w:rPr>
        <w:t>a 0,4</w:t>
      </w:r>
      <w:r w:rsidRPr="0028273C">
        <w:rPr>
          <w:lang w:val="cs-CZ"/>
        </w:rPr>
        <w:t> </w:t>
      </w:r>
      <w:r w:rsidRPr="009605AA">
        <w:rPr>
          <w:lang w:val="cs-CZ"/>
        </w:rPr>
        <w:t xml:space="preserve">mg </w:t>
      </w:r>
      <w:proofErr w:type="spellStart"/>
      <w:r w:rsidRPr="009605AA">
        <w:rPr>
          <w:lang w:val="cs-CZ"/>
        </w:rPr>
        <w:t>polysorbátu</w:t>
      </w:r>
      <w:proofErr w:type="spellEnd"/>
      <w:r w:rsidRPr="009605AA">
        <w:rPr>
          <w:lang w:val="cs-CZ"/>
        </w:rPr>
        <w:t xml:space="preserve"> 80</w:t>
      </w:r>
      <w:r>
        <w:rPr>
          <w:lang w:val="cs-CZ"/>
        </w:rPr>
        <w:t xml:space="preserve"> na injekční lahvičku o objemu 4</w:t>
      </w:r>
      <w:r w:rsidRPr="0028273C">
        <w:rPr>
          <w:lang w:val="cs-CZ"/>
        </w:rPr>
        <w:t> </w:t>
      </w:r>
      <w:r w:rsidRPr="00DF4E98">
        <w:rPr>
          <w:lang w:val="cs-CZ"/>
        </w:rPr>
        <w:t>000</w:t>
      </w:r>
      <w:r w:rsidRPr="0028273C">
        <w:rPr>
          <w:lang w:val="cs-CZ"/>
        </w:rPr>
        <w:t> </w:t>
      </w:r>
      <w:r w:rsidRPr="00DF4E98">
        <w:rPr>
          <w:lang w:val="cs-CZ"/>
        </w:rPr>
        <w:t xml:space="preserve">IU, což odpovídá 0,08 mg/ml </w:t>
      </w:r>
      <w:r>
        <w:rPr>
          <w:lang w:val="cs-CZ"/>
        </w:rPr>
        <w:t>injekčního roztoku</w:t>
      </w:r>
      <w:r w:rsidRPr="00DF4E98">
        <w:rPr>
          <w:lang w:val="cs-CZ"/>
        </w:rPr>
        <w:t xml:space="preserve">. </w:t>
      </w:r>
      <w:proofErr w:type="spellStart"/>
      <w:r w:rsidRPr="00DF4E98">
        <w:rPr>
          <w:lang w:val="cs-CZ"/>
        </w:rPr>
        <w:t>Polysorbáty</w:t>
      </w:r>
      <w:proofErr w:type="spellEnd"/>
      <w:r w:rsidRPr="00DF4E98">
        <w:rPr>
          <w:lang w:val="cs-CZ"/>
        </w:rPr>
        <w:t xml:space="preserve"> mohou způsobit alergické reakce.</w:t>
      </w:r>
    </w:p>
    <w:p w14:paraId="312AB9B3" w14:textId="77777777" w:rsidR="004F1D01" w:rsidRPr="0028273C" w:rsidRDefault="004F1D01" w:rsidP="00735457">
      <w:pPr>
        <w:tabs>
          <w:tab w:val="clear" w:pos="567"/>
        </w:tabs>
        <w:rPr>
          <w:szCs w:val="22"/>
          <w:lang w:val="cs-CZ"/>
        </w:rPr>
      </w:pPr>
    </w:p>
    <w:p w14:paraId="4F22D6B4" w14:textId="77777777" w:rsidR="00DD6503" w:rsidRPr="0028273C" w:rsidRDefault="00DD6503" w:rsidP="00FA1963">
      <w:pPr>
        <w:keepNext/>
        <w:keepLines/>
        <w:tabs>
          <w:tab w:val="clear" w:pos="567"/>
        </w:tabs>
        <w:ind w:left="567" w:hanging="567"/>
        <w:outlineLvl w:val="2"/>
        <w:rPr>
          <w:b/>
          <w:szCs w:val="22"/>
          <w:lang w:val="cs-CZ"/>
        </w:rPr>
      </w:pPr>
      <w:r w:rsidRPr="0028273C">
        <w:rPr>
          <w:b/>
          <w:szCs w:val="22"/>
          <w:lang w:val="cs-CZ"/>
        </w:rPr>
        <w:t>4.5</w:t>
      </w:r>
      <w:r w:rsidRPr="0028273C">
        <w:rPr>
          <w:b/>
          <w:szCs w:val="22"/>
          <w:lang w:val="cs-CZ"/>
        </w:rPr>
        <w:tab/>
      </w:r>
      <w:r w:rsidR="00FE4EEB" w:rsidRPr="0028273C">
        <w:rPr>
          <w:b/>
          <w:lang w:val="cs-CZ"/>
        </w:rPr>
        <w:t>Interakce s jinými léčivými přípravky a jiné formy interakce</w:t>
      </w:r>
    </w:p>
    <w:p w14:paraId="06938698" w14:textId="77777777" w:rsidR="00DD6503" w:rsidRPr="0028273C" w:rsidRDefault="00DD6503" w:rsidP="00735457">
      <w:pPr>
        <w:keepNext/>
        <w:keepLines/>
        <w:tabs>
          <w:tab w:val="clear" w:pos="567"/>
        </w:tabs>
        <w:rPr>
          <w:szCs w:val="22"/>
          <w:lang w:val="cs-CZ"/>
        </w:rPr>
      </w:pPr>
    </w:p>
    <w:p w14:paraId="649F2878" w14:textId="77777777" w:rsidR="00DD6503" w:rsidRPr="0028273C" w:rsidRDefault="00FE4EEB" w:rsidP="00735457">
      <w:pPr>
        <w:keepNext/>
        <w:tabs>
          <w:tab w:val="clear" w:pos="567"/>
        </w:tabs>
        <w:rPr>
          <w:szCs w:val="22"/>
          <w:lang w:val="cs-CZ"/>
        </w:rPr>
      </w:pPr>
      <w:r w:rsidRPr="0028273C">
        <w:rPr>
          <w:lang w:val="cs-CZ"/>
        </w:rPr>
        <w:t>Nebyly hlášeny žádné interakce přípravků obsahujících lidský koagulační faktor VIII (</w:t>
      </w:r>
      <w:proofErr w:type="spellStart"/>
      <w:r w:rsidRPr="0028273C">
        <w:rPr>
          <w:lang w:val="cs-CZ"/>
        </w:rPr>
        <w:t>rDNA</w:t>
      </w:r>
      <w:proofErr w:type="spellEnd"/>
      <w:r w:rsidRPr="0028273C">
        <w:rPr>
          <w:lang w:val="cs-CZ"/>
        </w:rPr>
        <w:t>) s jinými léčivými přípravky.</w:t>
      </w:r>
    </w:p>
    <w:p w14:paraId="48E066B9" w14:textId="77777777" w:rsidR="00DD6503" w:rsidRPr="0028273C" w:rsidRDefault="00DD6503" w:rsidP="00735457">
      <w:pPr>
        <w:tabs>
          <w:tab w:val="clear" w:pos="567"/>
        </w:tabs>
        <w:rPr>
          <w:szCs w:val="22"/>
          <w:lang w:val="cs-CZ"/>
        </w:rPr>
      </w:pPr>
    </w:p>
    <w:p w14:paraId="63D1ACF5" w14:textId="77777777" w:rsidR="00DD6503" w:rsidRPr="0028273C" w:rsidRDefault="00DD6503" w:rsidP="00FA1963">
      <w:pPr>
        <w:keepNext/>
        <w:keepLines/>
        <w:tabs>
          <w:tab w:val="clear" w:pos="567"/>
        </w:tabs>
        <w:ind w:left="567" w:hanging="567"/>
        <w:outlineLvl w:val="2"/>
        <w:rPr>
          <w:b/>
          <w:szCs w:val="22"/>
          <w:lang w:val="cs-CZ"/>
        </w:rPr>
      </w:pPr>
      <w:r w:rsidRPr="0028273C">
        <w:rPr>
          <w:b/>
          <w:szCs w:val="22"/>
          <w:lang w:val="cs-CZ"/>
        </w:rPr>
        <w:t>4.6</w:t>
      </w:r>
      <w:r w:rsidRPr="0028273C">
        <w:rPr>
          <w:b/>
          <w:szCs w:val="22"/>
          <w:lang w:val="cs-CZ"/>
        </w:rPr>
        <w:tab/>
      </w:r>
      <w:r w:rsidR="00FE4EEB" w:rsidRPr="0028273C">
        <w:rPr>
          <w:b/>
          <w:szCs w:val="22"/>
          <w:lang w:val="cs-CZ"/>
        </w:rPr>
        <w:t>Fertilita, těhotenství</w:t>
      </w:r>
      <w:r w:rsidR="00FE4EEB" w:rsidRPr="0028273C">
        <w:rPr>
          <w:b/>
          <w:lang w:val="cs-CZ"/>
        </w:rPr>
        <w:t xml:space="preserve"> a kojení</w:t>
      </w:r>
    </w:p>
    <w:p w14:paraId="7DE52677" w14:textId="77777777" w:rsidR="005123CE" w:rsidRPr="0028273C" w:rsidRDefault="005123CE" w:rsidP="00735457">
      <w:pPr>
        <w:keepNext/>
        <w:tabs>
          <w:tab w:val="clear" w:pos="567"/>
        </w:tabs>
        <w:rPr>
          <w:szCs w:val="22"/>
          <w:lang w:val="cs-CZ"/>
        </w:rPr>
      </w:pPr>
    </w:p>
    <w:p w14:paraId="5B019FE9" w14:textId="77777777" w:rsidR="00DE6DDE" w:rsidRPr="0028273C" w:rsidRDefault="000B3FAC" w:rsidP="00735457">
      <w:pPr>
        <w:keepNext/>
        <w:tabs>
          <w:tab w:val="clear" w:pos="567"/>
        </w:tabs>
        <w:rPr>
          <w:szCs w:val="22"/>
          <w:u w:val="single"/>
          <w:lang w:val="cs-CZ"/>
        </w:rPr>
      </w:pPr>
      <w:r w:rsidRPr="0028273C">
        <w:rPr>
          <w:szCs w:val="22"/>
          <w:u w:val="single"/>
          <w:lang w:val="cs-CZ"/>
        </w:rPr>
        <w:t>Těhotenství</w:t>
      </w:r>
      <w:r w:rsidR="00FE4EEB" w:rsidRPr="0028273C">
        <w:rPr>
          <w:szCs w:val="22"/>
          <w:u w:val="single"/>
          <w:lang w:val="cs-CZ"/>
        </w:rPr>
        <w:t xml:space="preserve"> a kojení</w:t>
      </w:r>
    </w:p>
    <w:p w14:paraId="68609112" w14:textId="77777777" w:rsidR="00DE6DDE" w:rsidRPr="0028273C" w:rsidRDefault="00DE6DDE" w:rsidP="00735457">
      <w:pPr>
        <w:keepNext/>
        <w:tabs>
          <w:tab w:val="clear" w:pos="567"/>
        </w:tabs>
        <w:rPr>
          <w:szCs w:val="22"/>
          <w:u w:val="single"/>
          <w:lang w:val="cs-CZ"/>
        </w:rPr>
      </w:pPr>
    </w:p>
    <w:p w14:paraId="5BAA612A" w14:textId="3041D8EE" w:rsidR="00DE6DDE" w:rsidRPr="0028273C" w:rsidRDefault="71782CED" w:rsidP="6B3EDCF2">
      <w:pPr>
        <w:tabs>
          <w:tab w:val="clear" w:pos="567"/>
        </w:tabs>
        <w:rPr>
          <w:rFonts w:eastAsia="SimSun"/>
          <w:lang w:val="cs-CZ"/>
        </w:rPr>
      </w:pPr>
      <w:r w:rsidRPr="00764A31">
        <w:rPr>
          <w:lang w:val="cs-CZ"/>
        </w:rPr>
        <w:t>Reprodukční studie na zvířatech nebyly s faktorem VIII provedeny</w:t>
      </w:r>
      <w:r w:rsidR="0B963F18" w:rsidRPr="6B3EDCF2">
        <w:rPr>
          <w:rFonts w:eastAsia="SimSun"/>
          <w:lang w:val="cs-CZ"/>
        </w:rPr>
        <w:t xml:space="preserve">. </w:t>
      </w:r>
      <w:bookmarkStart w:id="0" w:name="_Hlk516329265"/>
      <w:r w:rsidR="56AD2BAB" w:rsidRPr="6B3EDCF2">
        <w:rPr>
          <w:bdr w:val="nil"/>
          <w:lang w:val="cs-CZ" w:eastAsia="en-US"/>
        </w:rPr>
        <w:t>Vzhledem k vzácnému výskytu hemofilie A u žen nejsou k dispozici zkušenosti týkající se použití faktoru</w:t>
      </w:r>
      <w:r w:rsidR="183D640F" w:rsidRPr="6B3EDCF2">
        <w:rPr>
          <w:bdr w:val="nil"/>
          <w:lang w:val="cs-CZ" w:eastAsia="en-US"/>
        </w:rPr>
        <w:t> </w:t>
      </w:r>
      <w:r w:rsidR="56AD2BAB" w:rsidRPr="6B3EDCF2">
        <w:rPr>
          <w:bdr w:val="nil"/>
          <w:lang w:val="cs-CZ" w:eastAsia="en-US"/>
        </w:rPr>
        <w:t xml:space="preserve">VIII během těhotenství a </w:t>
      </w:r>
      <w:r w:rsidR="64479363" w:rsidRPr="6B3EDCF2">
        <w:rPr>
          <w:bdr w:val="nil"/>
          <w:lang w:val="cs-CZ" w:eastAsia="en-US"/>
        </w:rPr>
        <w:t xml:space="preserve">v období </w:t>
      </w:r>
      <w:r w:rsidR="56AD2BAB" w:rsidRPr="6B3EDCF2">
        <w:rPr>
          <w:bdr w:val="nil"/>
          <w:lang w:val="cs-CZ" w:eastAsia="en-US"/>
        </w:rPr>
        <w:t xml:space="preserve">kojení. Proto </w:t>
      </w:r>
      <w:r w:rsidRPr="6B3EDCF2">
        <w:rPr>
          <w:bdr w:val="nil"/>
          <w:lang w:val="cs-CZ" w:eastAsia="en-US"/>
        </w:rPr>
        <w:t xml:space="preserve">má </w:t>
      </w:r>
      <w:r w:rsidR="56AD2BAB" w:rsidRPr="6B3EDCF2">
        <w:rPr>
          <w:bdr w:val="nil"/>
          <w:lang w:val="cs-CZ" w:eastAsia="en-US"/>
        </w:rPr>
        <w:t>být faktor VIII během těhotenství a</w:t>
      </w:r>
      <w:r w:rsidR="64479363" w:rsidRPr="6B3EDCF2">
        <w:rPr>
          <w:bdr w:val="nil"/>
          <w:lang w:val="cs-CZ" w:eastAsia="en-US"/>
        </w:rPr>
        <w:t xml:space="preserve"> v období</w:t>
      </w:r>
      <w:r w:rsidR="56AD2BAB" w:rsidRPr="6B3EDCF2">
        <w:rPr>
          <w:bdr w:val="nil"/>
          <w:lang w:val="cs-CZ" w:eastAsia="en-US"/>
        </w:rPr>
        <w:t xml:space="preserve"> kojení </w:t>
      </w:r>
      <w:r w:rsidRPr="6B3EDCF2">
        <w:rPr>
          <w:bdr w:val="nil"/>
          <w:lang w:val="cs-CZ" w:eastAsia="en-US"/>
        </w:rPr>
        <w:t xml:space="preserve">používán </w:t>
      </w:r>
      <w:r w:rsidR="56AD2BAB" w:rsidRPr="6B3EDCF2">
        <w:rPr>
          <w:bdr w:val="nil"/>
          <w:lang w:val="cs-CZ" w:eastAsia="en-US"/>
        </w:rPr>
        <w:t>pouze, je</w:t>
      </w:r>
      <w:r w:rsidRPr="6B3EDCF2">
        <w:rPr>
          <w:bdr w:val="nil"/>
          <w:lang w:val="cs-CZ" w:eastAsia="en-US"/>
        </w:rPr>
        <w:t>-li</w:t>
      </w:r>
      <w:r w:rsidR="56AD2BAB" w:rsidRPr="6B3EDCF2">
        <w:rPr>
          <w:bdr w:val="nil"/>
          <w:lang w:val="cs-CZ" w:eastAsia="en-US"/>
        </w:rPr>
        <w:t xml:space="preserve"> to </w:t>
      </w:r>
      <w:r w:rsidRPr="6B3EDCF2">
        <w:rPr>
          <w:bdr w:val="nil"/>
          <w:lang w:val="cs-CZ" w:eastAsia="en-US"/>
        </w:rPr>
        <w:t xml:space="preserve">jasně </w:t>
      </w:r>
      <w:r w:rsidR="56AD2BAB" w:rsidRPr="6B3EDCF2">
        <w:rPr>
          <w:bdr w:val="nil"/>
          <w:lang w:val="cs-CZ" w:eastAsia="en-US"/>
        </w:rPr>
        <w:t>indikováno.</w:t>
      </w:r>
    </w:p>
    <w:bookmarkEnd w:id="0"/>
    <w:p w14:paraId="325E6B3D" w14:textId="77777777" w:rsidR="00DE6DDE" w:rsidRPr="0028273C" w:rsidRDefault="00DE6DDE" w:rsidP="00735457">
      <w:pPr>
        <w:tabs>
          <w:tab w:val="clear" w:pos="567"/>
        </w:tabs>
        <w:rPr>
          <w:rFonts w:eastAsia="SimSun"/>
          <w:szCs w:val="22"/>
          <w:lang w:val="cs-CZ"/>
        </w:rPr>
      </w:pPr>
    </w:p>
    <w:p w14:paraId="6B44DAF9" w14:textId="77777777" w:rsidR="00DE6DDE" w:rsidRPr="0028273C" w:rsidRDefault="00FE4EEB" w:rsidP="00735457">
      <w:pPr>
        <w:keepNext/>
        <w:tabs>
          <w:tab w:val="clear" w:pos="567"/>
        </w:tabs>
        <w:rPr>
          <w:rFonts w:eastAsia="SimSun"/>
          <w:szCs w:val="22"/>
          <w:u w:val="single"/>
          <w:lang w:val="cs-CZ"/>
        </w:rPr>
      </w:pPr>
      <w:r w:rsidRPr="0028273C">
        <w:rPr>
          <w:szCs w:val="22"/>
          <w:u w:val="single"/>
          <w:lang w:val="cs-CZ"/>
        </w:rPr>
        <w:t>Fertilita</w:t>
      </w:r>
    </w:p>
    <w:p w14:paraId="4B917E2A" w14:textId="77777777" w:rsidR="00DE6DDE" w:rsidRPr="0028273C" w:rsidRDefault="00DE6DDE" w:rsidP="00735457">
      <w:pPr>
        <w:keepNext/>
        <w:tabs>
          <w:tab w:val="clear" w:pos="567"/>
        </w:tabs>
        <w:rPr>
          <w:rFonts w:eastAsia="SimSun"/>
          <w:szCs w:val="22"/>
          <w:lang w:val="cs-CZ"/>
        </w:rPr>
      </w:pPr>
    </w:p>
    <w:p w14:paraId="27A1E6E7" w14:textId="77777777" w:rsidR="00DE6DDE" w:rsidRPr="0028273C" w:rsidRDefault="003F5BEC" w:rsidP="00735457">
      <w:pPr>
        <w:pStyle w:val="BayerBodyTextFull"/>
        <w:keepNext/>
        <w:spacing w:before="0" w:after="0"/>
        <w:rPr>
          <w:sz w:val="22"/>
          <w:szCs w:val="22"/>
          <w:lang w:val="cs-CZ"/>
        </w:rPr>
      </w:pPr>
      <w:r w:rsidRPr="0028273C">
        <w:rPr>
          <w:sz w:val="22"/>
          <w:szCs w:val="22"/>
          <w:lang w:val="cs-CZ"/>
        </w:rPr>
        <w:t xml:space="preserve">Ve studiích toxicity po opakovaných dávkách u potkanů a králíků s přípravkem </w:t>
      </w:r>
      <w:proofErr w:type="spellStart"/>
      <w:r w:rsidRPr="0028273C">
        <w:rPr>
          <w:sz w:val="22"/>
          <w:szCs w:val="22"/>
          <w:lang w:val="cs-CZ"/>
        </w:rPr>
        <w:t>Jivi</w:t>
      </w:r>
      <w:proofErr w:type="spellEnd"/>
      <w:r w:rsidRPr="0028273C">
        <w:rPr>
          <w:sz w:val="22"/>
          <w:szCs w:val="22"/>
          <w:lang w:val="cs-CZ"/>
        </w:rPr>
        <w:t xml:space="preserve"> nebyl pozorován</w:t>
      </w:r>
      <w:r w:rsidR="006A7D07">
        <w:rPr>
          <w:sz w:val="22"/>
          <w:szCs w:val="22"/>
          <w:lang w:val="cs-CZ"/>
        </w:rPr>
        <w:t xml:space="preserve"> vliv na reprodukční orgány samců</w:t>
      </w:r>
      <w:r w:rsidRPr="0028273C">
        <w:rPr>
          <w:sz w:val="22"/>
          <w:szCs w:val="22"/>
          <w:lang w:val="cs-CZ"/>
        </w:rPr>
        <w:t xml:space="preserve"> související s léčbou (viz bod</w:t>
      </w:r>
      <w:r w:rsidR="00CE40D2" w:rsidRPr="0028273C">
        <w:rPr>
          <w:sz w:val="22"/>
          <w:szCs w:val="22"/>
          <w:lang w:val="cs-CZ"/>
        </w:rPr>
        <w:t> </w:t>
      </w:r>
      <w:r w:rsidRPr="0028273C">
        <w:rPr>
          <w:sz w:val="22"/>
          <w:szCs w:val="22"/>
          <w:lang w:val="cs-CZ"/>
        </w:rPr>
        <w:t xml:space="preserve">5.3). </w:t>
      </w:r>
      <w:r w:rsidR="000B3FAC" w:rsidRPr="0028273C">
        <w:rPr>
          <w:sz w:val="22"/>
          <w:szCs w:val="22"/>
          <w:lang w:val="cs-CZ"/>
        </w:rPr>
        <w:t>Účinek</w:t>
      </w:r>
      <w:r w:rsidRPr="0028273C">
        <w:rPr>
          <w:sz w:val="22"/>
          <w:szCs w:val="22"/>
          <w:lang w:val="cs-CZ"/>
        </w:rPr>
        <w:t xml:space="preserve"> na fertilitu u člověka není znám</w:t>
      </w:r>
      <w:r w:rsidR="00B40B89" w:rsidRPr="0028273C">
        <w:rPr>
          <w:sz w:val="22"/>
          <w:szCs w:val="22"/>
          <w:lang w:val="cs-CZ"/>
        </w:rPr>
        <w:t>.</w:t>
      </w:r>
    </w:p>
    <w:p w14:paraId="0923F700" w14:textId="77777777" w:rsidR="00BE2DC3" w:rsidRPr="0028273C" w:rsidRDefault="00BE2DC3" w:rsidP="00735457">
      <w:pPr>
        <w:tabs>
          <w:tab w:val="clear" w:pos="567"/>
        </w:tabs>
        <w:rPr>
          <w:szCs w:val="22"/>
          <w:lang w:val="cs-CZ"/>
        </w:rPr>
      </w:pPr>
    </w:p>
    <w:p w14:paraId="43C76EA0" w14:textId="77777777" w:rsidR="00DD6503" w:rsidRPr="0028273C" w:rsidRDefault="00DD6503" w:rsidP="00FA1963">
      <w:pPr>
        <w:keepNext/>
        <w:keepLines/>
        <w:tabs>
          <w:tab w:val="clear" w:pos="567"/>
        </w:tabs>
        <w:ind w:left="567" w:hanging="567"/>
        <w:outlineLvl w:val="2"/>
        <w:rPr>
          <w:b/>
          <w:szCs w:val="22"/>
          <w:lang w:val="cs-CZ"/>
        </w:rPr>
      </w:pPr>
      <w:r w:rsidRPr="0028273C">
        <w:rPr>
          <w:b/>
          <w:szCs w:val="22"/>
          <w:lang w:val="cs-CZ"/>
        </w:rPr>
        <w:t>4.7</w:t>
      </w:r>
      <w:r w:rsidRPr="0028273C">
        <w:rPr>
          <w:b/>
          <w:szCs w:val="22"/>
          <w:lang w:val="cs-CZ"/>
        </w:rPr>
        <w:tab/>
      </w:r>
      <w:r w:rsidR="00FE4EEB" w:rsidRPr="0028273C">
        <w:rPr>
          <w:b/>
          <w:lang w:val="cs-CZ"/>
        </w:rPr>
        <w:t>Účinky na schopnost řídit a obsluhovat stroje</w:t>
      </w:r>
    </w:p>
    <w:p w14:paraId="54EBCFBC" w14:textId="77777777" w:rsidR="00DD6503" w:rsidRPr="0028273C" w:rsidRDefault="00DD6503" w:rsidP="00735457">
      <w:pPr>
        <w:keepNext/>
        <w:keepLines/>
        <w:tabs>
          <w:tab w:val="clear" w:pos="567"/>
        </w:tabs>
        <w:rPr>
          <w:szCs w:val="22"/>
          <w:lang w:val="cs-CZ"/>
        </w:rPr>
      </w:pPr>
    </w:p>
    <w:p w14:paraId="758D3071" w14:textId="77777777" w:rsidR="00057911" w:rsidRPr="0028273C" w:rsidRDefault="00057911" w:rsidP="00735457">
      <w:pPr>
        <w:rPr>
          <w:szCs w:val="22"/>
          <w:lang w:val="cs-CZ"/>
        </w:rPr>
      </w:pPr>
      <w:proofErr w:type="spellStart"/>
      <w:r w:rsidRPr="0028273C">
        <w:rPr>
          <w:szCs w:val="22"/>
          <w:lang w:val="cs-CZ"/>
        </w:rPr>
        <w:t>Jivi</w:t>
      </w:r>
      <w:proofErr w:type="spellEnd"/>
      <w:r w:rsidRPr="0028273C">
        <w:rPr>
          <w:szCs w:val="22"/>
          <w:lang w:val="cs-CZ"/>
        </w:rPr>
        <w:t xml:space="preserve"> </w:t>
      </w:r>
      <w:r w:rsidR="000B3FAC" w:rsidRPr="0028273C">
        <w:rPr>
          <w:szCs w:val="22"/>
          <w:lang w:val="cs-CZ"/>
        </w:rPr>
        <w:t>nemá žádný vliv na schopnost řídit nebo obsluhovat stroje</w:t>
      </w:r>
      <w:r w:rsidR="00591B77" w:rsidRPr="0028273C">
        <w:rPr>
          <w:szCs w:val="22"/>
          <w:lang w:val="cs-CZ"/>
        </w:rPr>
        <w:t>.</w:t>
      </w:r>
    </w:p>
    <w:p w14:paraId="44885463" w14:textId="77777777" w:rsidR="00DD6503" w:rsidRPr="0028273C" w:rsidRDefault="00DD6503" w:rsidP="00735457">
      <w:pPr>
        <w:tabs>
          <w:tab w:val="clear" w:pos="567"/>
        </w:tabs>
        <w:rPr>
          <w:szCs w:val="22"/>
          <w:lang w:val="cs-CZ"/>
        </w:rPr>
      </w:pPr>
    </w:p>
    <w:p w14:paraId="3D1A4530" w14:textId="77777777" w:rsidR="00DD6503" w:rsidRPr="0028273C" w:rsidRDefault="00DD6503" w:rsidP="00FA1963">
      <w:pPr>
        <w:keepNext/>
        <w:keepLines/>
        <w:tabs>
          <w:tab w:val="clear" w:pos="567"/>
        </w:tabs>
        <w:ind w:left="567" w:hanging="567"/>
        <w:outlineLvl w:val="2"/>
        <w:rPr>
          <w:b/>
          <w:szCs w:val="22"/>
          <w:lang w:val="cs-CZ"/>
        </w:rPr>
      </w:pPr>
      <w:r w:rsidRPr="0028273C">
        <w:rPr>
          <w:b/>
          <w:szCs w:val="22"/>
          <w:lang w:val="cs-CZ"/>
        </w:rPr>
        <w:t>4.8</w:t>
      </w:r>
      <w:r w:rsidRPr="0028273C">
        <w:rPr>
          <w:b/>
          <w:szCs w:val="22"/>
          <w:lang w:val="cs-CZ"/>
        </w:rPr>
        <w:tab/>
      </w:r>
      <w:r w:rsidR="00FE4EEB" w:rsidRPr="0028273C">
        <w:rPr>
          <w:b/>
          <w:szCs w:val="22"/>
          <w:lang w:val="cs-CZ"/>
        </w:rPr>
        <w:t>Nežádoucí účinky</w:t>
      </w:r>
    </w:p>
    <w:p w14:paraId="33DD1981" w14:textId="77777777" w:rsidR="00DD6503" w:rsidRPr="0028273C" w:rsidRDefault="00DD6503" w:rsidP="00735457">
      <w:pPr>
        <w:keepNext/>
        <w:tabs>
          <w:tab w:val="clear" w:pos="567"/>
        </w:tabs>
        <w:rPr>
          <w:szCs w:val="22"/>
          <w:lang w:val="cs-CZ"/>
        </w:rPr>
      </w:pPr>
    </w:p>
    <w:p w14:paraId="44284640" w14:textId="77777777" w:rsidR="00DD6503" w:rsidRPr="0028273C" w:rsidRDefault="00FE4EEB" w:rsidP="00735457">
      <w:pPr>
        <w:keepNext/>
        <w:keepLines/>
        <w:tabs>
          <w:tab w:val="clear" w:pos="567"/>
        </w:tabs>
        <w:rPr>
          <w:u w:val="single"/>
          <w:lang w:val="cs-CZ"/>
        </w:rPr>
      </w:pPr>
      <w:r w:rsidRPr="0028273C">
        <w:rPr>
          <w:u w:val="single"/>
          <w:lang w:val="cs-CZ"/>
        </w:rPr>
        <w:t>Souhrn bezpečnostního profilu</w:t>
      </w:r>
    </w:p>
    <w:p w14:paraId="581BDDAA" w14:textId="77777777" w:rsidR="003322D7" w:rsidRPr="0028273C" w:rsidRDefault="003322D7" w:rsidP="00735457">
      <w:pPr>
        <w:keepNext/>
        <w:tabs>
          <w:tab w:val="clear" w:pos="567"/>
        </w:tabs>
        <w:rPr>
          <w:szCs w:val="22"/>
          <w:lang w:val="cs-CZ"/>
        </w:rPr>
      </w:pPr>
    </w:p>
    <w:p w14:paraId="4013A97C" w14:textId="2313C178" w:rsidR="00DD6503" w:rsidRPr="0028273C" w:rsidRDefault="007714BE" w:rsidP="00735457">
      <w:pPr>
        <w:tabs>
          <w:tab w:val="clear" w:pos="567"/>
        </w:tabs>
        <w:rPr>
          <w:szCs w:val="22"/>
          <w:lang w:val="cs-CZ"/>
        </w:rPr>
      </w:pPr>
      <w:r>
        <w:rPr>
          <w:szCs w:val="22"/>
          <w:lang w:val="cs-CZ"/>
        </w:rPr>
        <w:t>H</w:t>
      </w:r>
      <w:r w:rsidR="00FE4EEB" w:rsidRPr="0028273C">
        <w:rPr>
          <w:szCs w:val="22"/>
          <w:lang w:val="cs-CZ"/>
        </w:rPr>
        <w:t xml:space="preserve">ypersenzitivita nebo alergické reakce (které mohou zahrnovat </w:t>
      </w:r>
      <w:proofErr w:type="spellStart"/>
      <w:r w:rsidR="00FE4EEB" w:rsidRPr="0028273C">
        <w:rPr>
          <w:szCs w:val="22"/>
          <w:lang w:val="cs-CZ"/>
        </w:rPr>
        <w:t>angioedém</w:t>
      </w:r>
      <w:proofErr w:type="spellEnd"/>
      <w:r w:rsidR="00FE4EEB" w:rsidRPr="0028273C">
        <w:rPr>
          <w:szCs w:val="22"/>
          <w:lang w:val="cs-CZ"/>
        </w:rPr>
        <w:t xml:space="preserve">, pálení a bodání v místě </w:t>
      </w:r>
      <w:r w:rsidR="005B2F01">
        <w:rPr>
          <w:szCs w:val="22"/>
          <w:lang w:val="cs-CZ"/>
        </w:rPr>
        <w:t xml:space="preserve">podání </w:t>
      </w:r>
      <w:r w:rsidR="00FE4EEB" w:rsidRPr="0028273C">
        <w:rPr>
          <w:szCs w:val="22"/>
          <w:lang w:val="cs-CZ"/>
        </w:rPr>
        <w:t xml:space="preserve">infuze, zimnici, zrudnutí, generalizovanou kopřivku, bolest hlavy, vyrážku, hypotenzi, letargii, nauzeu, neklid, tachykardii, </w:t>
      </w:r>
      <w:r w:rsidR="005732E1">
        <w:rPr>
          <w:szCs w:val="22"/>
          <w:lang w:val="cs-CZ"/>
        </w:rPr>
        <w:t>tíseň</w:t>
      </w:r>
      <w:r w:rsidR="00804463">
        <w:rPr>
          <w:szCs w:val="22"/>
          <w:lang w:val="cs-CZ"/>
        </w:rPr>
        <w:t xml:space="preserve"> </w:t>
      </w:r>
      <w:r w:rsidR="00FE4EEB" w:rsidRPr="0028273C">
        <w:rPr>
          <w:szCs w:val="22"/>
          <w:lang w:val="cs-CZ"/>
        </w:rPr>
        <w:t>na hrudi, brnění, zvracení, síp</w:t>
      </w:r>
      <w:r w:rsidR="005732E1">
        <w:rPr>
          <w:szCs w:val="22"/>
          <w:lang w:val="cs-CZ"/>
        </w:rPr>
        <w:t>ot</w:t>
      </w:r>
      <w:r w:rsidR="00FE4EEB" w:rsidRPr="0028273C">
        <w:rPr>
          <w:szCs w:val="22"/>
          <w:lang w:val="cs-CZ"/>
        </w:rPr>
        <w:t xml:space="preserve">) </w:t>
      </w:r>
      <w:r>
        <w:rPr>
          <w:szCs w:val="22"/>
          <w:lang w:val="cs-CZ"/>
        </w:rPr>
        <w:t xml:space="preserve">byly pozorovány </w:t>
      </w:r>
      <w:r w:rsidR="00FE4EEB" w:rsidRPr="0028273C">
        <w:rPr>
          <w:szCs w:val="22"/>
          <w:lang w:val="cs-CZ"/>
        </w:rPr>
        <w:t xml:space="preserve">a </w:t>
      </w:r>
      <w:r>
        <w:rPr>
          <w:szCs w:val="22"/>
          <w:lang w:val="cs-CZ"/>
        </w:rPr>
        <w:t xml:space="preserve">mohou </w:t>
      </w:r>
      <w:r w:rsidR="00FE4EEB" w:rsidRPr="0028273C">
        <w:rPr>
          <w:szCs w:val="22"/>
          <w:lang w:val="cs-CZ"/>
        </w:rPr>
        <w:t>v některých případech mohou vyústit v závažnou anafylaxi (včetně šoku).</w:t>
      </w:r>
    </w:p>
    <w:p w14:paraId="4D59D502" w14:textId="77777777" w:rsidR="007A2846" w:rsidRPr="0028273C" w:rsidRDefault="007A2846" w:rsidP="00735457">
      <w:pPr>
        <w:tabs>
          <w:tab w:val="clear" w:pos="567"/>
        </w:tabs>
        <w:rPr>
          <w:szCs w:val="22"/>
          <w:lang w:val="cs-CZ"/>
        </w:rPr>
      </w:pPr>
    </w:p>
    <w:p w14:paraId="0A4D9B33" w14:textId="77777777" w:rsidR="00DD6503" w:rsidRPr="0028273C" w:rsidRDefault="00FE4EEB" w:rsidP="00735457">
      <w:pPr>
        <w:tabs>
          <w:tab w:val="clear" w:pos="567"/>
        </w:tabs>
        <w:rPr>
          <w:szCs w:val="22"/>
          <w:lang w:val="cs-CZ"/>
        </w:rPr>
      </w:pPr>
      <w:r w:rsidRPr="0028273C">
        <w:rPr>
          <w:bCs/>
          <w:szCs w:val="22"/>
          <w:lang w:val="cs-CZ"/>
        </w:rPr>
        <w:t>K rozvoji neutralizujících protilátek (inhibitorů) může dojít u pacientů s hemofilií A, kteří jsou léčeni faktorem</w:t>
      </w:r>
      <w:r w:rsidR="00CE40D2" w:rsidRPr="0028273C">
        <w:rPr>
          <w:bCs/>
          <w:szCs w:val="22"/>
          <w:lang w:val="cs-CZ"/>
        </w:rPr>
        <w:t> </w:t>
      </w:r>
      <w:r w:rsidRPr="0028273C">
        <w:rPr>
          <w:bCs/>
          <w:szCs w:val="22"/>
          <w:lang w:val="cs-CZ"/>
        </w:rPr>
        <w:t xml:space="preserve">VIII, včetně přípravku </w:t>
      </w:r>
      <w:proofErr w:type="spellStart"/>
      <w:r w:rsidR="00792A81" w:rsidRPr="0028273C">
        <w:rPr>
          <w:lang w:val="cs-CZ"/>
        </w:rPr>
        <w:t>Jivi</w:t>
      </w:r>
      <w:proofErr w:type="spellEnd"/>
      <w:r w:rsidR="00CE40D2" w:rsidRPr="0028273C">
        <w:rPr>
          <w:lang w:val="cs-CZ"/>
        </w:rPr>
        <w:t xml:space="preserve"> </w:t>
      </w:r>
      <w:r w:rsidR="00CE40D2" w:rsidRPr="0028273C">
        <w:rPr>
          <w:szCs w:val="22"/>
          <w:bdr w:val="nil"/>
          <w:lang w:val="cs-CZ"/>
        </w:rPr>
        <w:t>(viz bod 5.1)</w:t>
      </w:r>
      <w:r w:rsidRPr="0028273C">
        <w:rPr>
          <w:bCs/>
          <w:szCs w:val="22"/>
          <w:lang w:val="cs-CZ"/>
        </w:rPr>
        <w:t>. Pokud se takové inhibitory objeví, projeví se tento stav jako nedostatečná klinická odpověď. V těchto případech se doporučuje kontaktovat specializované hemofilické centrum.</w:t>
      </w:r>
    </w:p>
    <w:p w14:paraId="5E47B576" w14:textId="77777777" w:rsidR="003322D7" w:rsidRPr="0028273C" w:rsidRDefault="003322D7" w:rsidP="00735457">
      <w:pPr>
        <w:tabs>
          <w:tab w:val="clear" w:pos="567"/>
        </w:tabs>
        <w:rPr>
          <w:szCs w:val="22"/>
          <w:lang w:val="cs-CZ"/>
        </w:rPr>
      </w:pPr>
    </w:p>
    <w:p w14:paraId="00096A14" w14:textId="77777777" w:rsidR="003322D7" w:rsidRPr="0028273C" w:rsidRDefault="00D25916" w:rsidP="00735457">
      <w:pPr>
        <w:tabs>
          <w:tab w:val="clear" w:pos="567"/>
        </w:tabs>
        <w:rPr>
          <w:szCs w:val="22"/>
          <w:lang w:val="cs-CZ"/>
        </w:rPr>
      </w:pPr>
      <w:r w:rsidRPr="0028273C">
        <w:rPr>
          <w:szCs w:val="22"/>
          <w:lang w:val="cs-CZ"/>
        </w:rPr>
        <w:t>Nejčastěji hlášené nežádoucí účinky v klinických studiích u PTP byly bolest hlavy, kašel a pyrexie</w:t>
      </w:r>
      <w:r w:rsidR="003322D7" w:rsidRPr="0028273C">
        <w:rPr>
          <w:szCs w:val="22"/>
          <w:lang w:val="cs-CZ"/>
        </w:rPr>
        <w:t>.</w:t>
      </w:r>
    </w:p>
    <w:p w14:paraId="04373E90" w14:textId="77777777" w:rsidR="00EC2CEA" w:rsidRPr="0028273C" w:rsidRDefault="00EC2CEA" w:rsidP="00735457">
      <w:pPr>
        <w:tabs>
          <w:tab w:val="clear" w:pos="567"/>
        </w:tabs>
        <w:rPr>
          <w:szCs w:val="22"/>
          <w:lang w:val="cs-CZ"/>
        </w:rPr>
      </w:pPr>
    </w:p>
    <w:p w14:paraId="5667BDC1" w14:textId="77777777" w:rsidR="00DD6503" w:rsidRPr="0028273C" w:rsidRDefault="00FE4EEB" w:rsidP="00735457">
      <w:pPr>
        <w:keepNext/>
        <w:keepLines/>
        <w:tabs>
          <w:tab w:val="clear" w:pos="567"/>
        </w:tabs>
        <w:rPr>
          <w:szCs w:val="22"/>
          <w:u w:val="single"/>
          <w:lang w:val="cs-CZ"/>
        </w:rPr>
      </w:pPr>
      <w:r w:rsidRPr="0028273C">
        <w:rPr>
          <w:szCs w:val="22"/>
          <w:u w:val="single"/>
          <w:lang w:val="cs-CZ"/>
        </w:rPr>
        <w:lastRenderedPageBreak/>
        <w:t>Tabulkový přehled nežádoucích účinků</w:t>
      </w:r>
      <w:r w:rsidR="00FC0AE8">
        <w:rPr>
          <w:szCs w:val="22"/>
          <w:u w:val="single"/>
          <w:lang w:val="cs-CZ"/>
        </w:rPr>
        <w:t xml:space="preserve"> </w:t>
      </w:r>
    </w:p>
    <w:p w14:paraId="64E77962" w14:textId="77777777" w:rsidR="001E3F89" w:rsidRPr="0028273C" w:rsidRDefault="001E3F89" w:rsidP="00735457">
      <w:pPr>
        <w:keepNext/>
        <w:tabs>
          <w:tab w:val="clear" w:pos="567"/>
        </w:tabs>
        <w:rPr>
          <w:szCs w:val="22"/>
          <w:lang w:val="cs-CZ"/>
        </w:rPr>
      </w:pPr>
    </w:p>
    <w:p w14:paraId="744D2FC2" w14:textId="5E7EAA11" w:rsidR="00DD6503" w:rsidRDefault="00424D46" w:rsidP="0005661C">
      <w:pPr>
        <w:keepNext/>
        <w:tabs>
          <w:tab w:val="clear" w:pos="567"/>
        </w:tabs>
        <w:rPr>
          <w:szCs w:val="22"/>
          <w:lang w:val="cs-CZ"/>
        </w:rPr>
      </w:pPr>
      <w:r w:rsidRPr="0028273C">
        <w:rPr>
          <w:szCs w:val="22"/>
          <w:bdr w:val="nil"/>
          <w:lang w:val="cs-CZ" w:eastAsia="en-US"/>
        </w:rPr>
        <w:t xml:space="preserve">Celkem </w:t>
      </w:r>
      <w:r w:rsidR="00175297" w:rsidRPr="0028273C">
        <w:rPr>
          <w:szCs w:val="22"/>
          <w:bdr w:val="nil"/>
          <w:lang w:val="cs-CZ" w:eastAsia="en-US"/>
        </w:rPr>
        <w:t>2</w:t>
      </w:r>
      <w:r w:rsidR="00175297">
        <w:rPr>
          <w:szCs w:val="22"/>
          <w:bdr w:val="nil"/>
          <w:lang w:val="cs-CZ" w:eastAsia="en-US"/>
        </w:rPr>
        <w:t>56</w:t>
      </w:r>
      <w:r w:rsidR="00175297" w:rsidRPr="0028273C">
        <w:rPr>
          <w:szCs w:val="22"/>
          <w:bdr w:val="nil"/>
          <w:lang w:val="cs-CZ" w:eastAsia="en-US"/>
        </w:rPr>
        <w:t> </w:t>
      </w:r>
      <w:r w:rsidRPr="0028273C">
        <w:rPr>
          <w:szCs w:val="22"/>
          <w:bdr w:val="nil"/>
          <w:lang w:val="cs-CZ" w:eastAsia="en-US"/>
        </w:rPr>
        <w:t>pacientů tvoř</w:t>
      </w:r>
      <w:r w:rsidR="00CD62E6">
        <w:rPr>
          <w:szCs w:val="22"/>
          <w:bdr w:val="nil"/>
          <w:lang w:val="cs-CZ" w:eastAsia="en-US"/>
        </w:rPr>
        <w:t>ilo</w:t>
      </w:r>
      <w:r w:rsidRPr="0028273C">
        <w:rPr>
          <w:szCs w:val="22"/>
          <w:bdr w:val="nil"/>
          <w:lang w:val="cs-CZ" w:eastAsia="en-US"/>
        </w:rPr>
        <w:t xml:space="preserve"> bezpečnostní populaci ze </w:t>
      </w:r>
      <w:r w:rsidR="00175297">
        <w:rPr>
          <w:szCs w:val="22"/>
          <w:bdr w:val="nil"/>
          <w:lang w:val="cs-CZ" w:eastAsia="en-US"/>
        </w:rPr>
        <w:t>4</w:t>
      </w:r>
      <w:r w:rsidR="00256943">
        <w:rPr>
          <w:szCs w:val="22"/>
          <w:bdr w:val="nil"/>
          <w:lang w:val="cs-CZ" w:eastAsia="en-US"/>
        </w:rPr>
        <w:t> </w:t>
      </w:r>
      <w:proofErr w:type="spellStart"/>
      <w:r w:rsidRPr="0028273C">
        <w:rPr>
          <w:szCs w:val="22"/>
          <w:bdr w:val="nil"/>
          <w:lang w:val="cs-CZ" w:eastAsia="en-US"/>
        </w:rPr>
        <w:t>pivotních</w:t>
      </w:r>
      <w:proofErr w:type="spellEnd"/>
      <w:r w:rsidRPr="0028273C">
        <w:rPr>
          <w:szCs w:val="22"/>
          <w:bdr w:val="nil"/>
          <w:lang w:val="cs-CZ" w:eastAsia="en-US"/>
        </w:rPr>
        <w:t xml:space="preserve"> studií fáze</w:t>
      </w:r>
      <w:r w:rsidR="00D002A7" w:rsidRPr="0028273C">
        <w:rPr>
          <w:szCs w:val="22"/>
          <w:bdr w:val="nil"/>
          <w:lang w:val="cs-CZ" w:eastAsia="en-US"/>
        </w:rPr>
        <w:t> </w:t>
      </w:r>
      <w:r w:rsidRPr="0028273C">
        <w:rPr>
          <w:szCs w:val="22"/>
          <w:bdr w:val="nil"/>
          <w:lang w:val="cs-CZ" w:eastAsia="en-US"/>
        </w:rPr>
        <w:t xml:space="preserve">I a III </w:t>
      </w:r>
      <w:r w:rsidR="00175297">
        <w:rPr>
          <w:szCs w:val="22"/>
          <w:bdr w:val="nil"/>
          <w:lang w:val="cs-CZ" w:eastAsia="en-US"/>
        </w:rPr>
        <w:t>(jedna studie fáze I a 3 studie fáze III)</w:t>
      </w:r>
      <w:r w:rsidR="00AF7101">
        <w:rPr>
          <w:szCs w:val="22"/>
          <w:bdr w:val="nil"/>
          <w:lang w:val="cs-CZ" w:eastAsia="en-US"/>
        </w:rPr>
        <w:t>,</w:t>
      </w:r>
      <w:r w:rsidRPr="0028273C">
        <w:rPr>
          <w:szCs w:val="22"/>
          <w:bdr w:val="nil"/>
          <w:lang w:val="cs-CZ" w:eastAsia="en-US"/>
        </w:rPr>
        <w:t xml:space="preserve"> 148</w:t>
      </w:r>
      <w:r w:rsidR="00AF7101">
        <w:rPr>
          <w:szCs w:val="22"/>
          <w:bdr w:val="nil"/>
          <w:lang w:val="cs-CZ" w:eastAsia="en-US"/>
        </w:rPr>
        <w:t xml:space="preserve"> dospívajících/dospělých</w:t>
      </w:r>
      <w:r w:rsidR="008B2D67">
        <w:rPr>
          <w:szCs w:val="22"/>
          <w:bdr w:val="nil"/>
          <w:lang w:val="cs-CZ" w:eastAsia="en-US"/>
        </w:rPr>
        <w:t xml:space="preserve"> </w:t>
      </w:r>
      <w:r w:rsidR="00AF7101">
        <w:rPr>
          <w:szCs w:val="22"/>
          <w:bdr w:val="nil"/>
          <w:lang w:val="cs-CZ" w:eastAsia="en-US"/>
        </w:rPr>
        <w:t>a</w:t>
      </w:r>
      <w:r w:rsidR="00534656">
        <w:rPr>
          <w:szCs w:val="22"/>
          <w:bdr w:val="nil"/>
          <w:lang w:val="cs-CZ" w:eastAsia="en-US"/>
        </w:rPr>
        <w:t> </w:t>
      </w:r>
      <w:r w:rsidR="00175297">
        <w:rPr>
          <w:szCs w:val="22"/>
          <w:bdr w:val="nil"/>
          <w:lang w:val="cs-CZ" w:eastAsia="en-US"/>
        </w:rPr>
        <w:t>108</w:t>
      </w:r>
      <w:r w:rsidR="00534656">
        <w:rPr>
          <w:szCs w:val="22"/>
          <w:bdr w:val="nil"/>
          <w:lang w:val="cs-CZ" w:eastAsia="en-US"/>
        </w:rPr>
        <w:t> </w:t>
      </w:r>
      <w:r w:rsidR="00AF7101">
        <w:rPr>
          <w:szCs w:val="22"/>
          <w:bdr w:val="nil"/>
          <w:lang w:val="cs-CZ" w:eastAsia="en-US"/>
        </w:rPr>
        <w:t xml:space="preserve">pediatrických pacientů </w:t>
      </w:r>
      <w:r w:rsidRPr="0028273C">
        <w:rPr>
          <w:szCs w:val="22"/>
          <w:bdr w:val="nil"/>
          <w:lang w:val="cs-CZ" w:eastAsia="en-US"/>
        </w:rPr>
        <w:t>ve věku</w:t>
      </w:r>
      <w:r w:rsidR="00AF7101">
        <w:rPr>
          <w:szCs w:val="22"/>
          <w:bdr w:val="nil"/>
          <w:lang w:val="cs-CZ" w:eastAsia="en-US"/>
        </w:rPr>
        <w:t xml:space="preserve"> </w:t>
      </w:r>
      <w:proofErr w:type="gramStart"/>
      <w:r w:rsidR="00AF7101" w:rsidRPr="001B22F6">
        <w:rPr>
          <w:szCs w:val="22"/>
          <w:bdr w:val="nil"/>
          <w:lang w:val="cs-CZ" w:eastAsia="en-US"/>
        </w:rPr>
        <w:t>&lt;</w:t>
      </w:r>
      <w:r w:rsidR="00534656">
        <w:rPr>
          <w:szCs w:val="22"/>
          <w:bdr w:val="nil"/>
          <w:lang w:val="cs-CZ" w:eastAsia="en-US"/>
        </w:rPr>
        <w:t> </w:t>
      </w:r>
      <w:r w:rsidRPr="0028273C">
        <w:rPr>
          <w:szCs w:val="22"/>
          <w:bdr w:val="nil"/>
          <w:lang w:val="cs-CZ" w:eastAsia="en-US"/>
        </w:rPr>
        <w:t>12</w:t>
      </w:r>
      <w:proofErr w:type="gramEnd"/>
      <w:r w:rsidRPr="0028273C">
        <w:rPr>
          <w:szCs w:val="22"/>
          <w:bdr w:val="nil"/>
          <w:lang w:val="cs-CZ" w:eastAsia="en-US"/>
        </w:rPr>
        <w:t> let</w:t>
      </w:r>
      <w:r w:rsidR="00AF7101">
        <w:rPr>
          <w:szCs w:val="22"/>
          <w:bdr w:val="nil"/>
          <w:lang w:val="cs-CZ" w:eastAsia="en-US"/>
        </w:rPr>
        <w:t>.</w:t>
      </w:r>
    </w:p>
    <w:p w14:paraId="101CC855" w14:textId="77777777" w:rsidR="004B50A2" w:rsidRDefault="004B50A2" w:rsidP="00735457">
      <w:pPr>
        <w:keepNext/>
        <w:tabs>
          <w:tab w:val="clear" w:pos="567"/>
        </w:tabs>
        <w:rPr>
          <w:szCs w:val="22"/>
          <w:bdr w:val="nil"/>
          <w:lang w:val="cs-CZ" w:eastAsia="en-US"/>
        </w:rPr>
      </w:pPr>
    </w:p>
    <w:p w14:paraId="502E0C21" w14:textId="586E459F" w:rsidR="005153AA" w:rsidRDefault="005153AA" w:rsidP="00735457">
      <w:pPr>
        <w:keepNext/>
        <w:tabs>
          <w:tab w:val="clear" w:pos="567"/>
        </w:tabs>
        <w:rPr>
          <w:szCs w:val="22"/>
          <w:bdr w:val="nil"/>
          <w:lang w:val="cs-CZ" w:eastAsia="en-US"/>
        </w:rPr>
      </w:pPr>
      <w:r w:rsidRPr="00A9152A">
        <w:rPr>
          <w:szCs w:val="22"/>
          <w:bdr w:val="nil"/>
          <w:lang w:val="cs-CZ" w:eastAsia="en-US"/>
        </w:rPr>
        <w:t xml:space="preserve">Medián počtu dnů expozice přípravku </w:t>
      </w:r>
      <w:proofErr w:type="spellStart"/>
      <w:r w:rsidRPr="00A9152A">
        <w:rPr>
          <w:szCs w:val="22"/>
          <w:bdr w:val="nil"/>
          <w:lang w:val="cs-CZ" w:eastAsia="en-US"/>
        </w:rPr>
        <w:t>Jivi</w:t>
      </w:r>
      <w:proofErr w:type="spellEnd"/>
      <w:r w:rsidRPr="00A9152A">
        <w:rPr>
          <w:szCs w:val="22"/>
          <w:bdr w:val="nil"/>
          <w:lang w:val="cs-CZ" w:eastAsia="en-US"/>
        </w:rPr>
        <w:t xml:space="preserve"> na </w:t>
      </w:r>
      <w:r>
        <w:rPr>
          <w:szCs w:val="22"/>
          <w:bdr w:val="nil"/>
          <w:lang w:val="cs-CZ" w:eastAsia="en-US"/>
        </w:rPr>
        <w:t>pacienta</w:t>
      </w:r>
      <w:r w:rsidRPr="00A9152A">
        <w:rPr>
          <w:szCs w:val="22"/>
          <w:bdr w:val="nil"/>
          <w:lang w:val="cs-CZ" w:eastAsia="en-US"/>
        </w:rPr>
        <w:t xml:space="preserve"> byl </w:t>
      </w:r>
      <w:r w:rsidR="004B50A2">
        <w:rPr>
          <w:szCs w:val="22"/>
          <w:bdr w:val="nil"/>
          <w:lang w:val="cs-CZ" w:eastAsia="en-US"/>
        </w:rPr>
        <w:t>195</w:t>
      </w:r>
      <w:r w:rsidR="004B50A2" w:rsidRPr="00A9152A">
        <w:rPr>
          <w:szCs w:val="22"/>
          <w:bdr w:val="nil"/>
          <w:lang w:val="cs-CZ" w:eastAsia="en-US"/>
        </w:rPr>
        <w:t xml:space="preserve"> </w:t>
      </w:r>
      <w:r w:rsidRPr="00A9152A">
        <w:rPr>
          <w:szCs w:val="22"/>
          <w:bdr w:val="nil"/>
          <w:lang w:val="cs-CZ" w:eastAsia="en-US"/>
        </w:rPr>
        <w:t>(min-max: 1</w:t>
      </w:r>
      <w:r w:rsidR="008B2D67">
        <w:rPr>
          <w:szCs w:val="22"/>
          <w:bdr w:val="nil"/>
          <w:lang w:val="cs-CZ" w:eastAsia="en-US"/>
        </w:rPr>
        <w:noBreakHyphen/>
      </w:r>
      <w:r w:rsidRPr="00A9152A">
        <w:rPr>
          <w:szCs w:val="22"/>
          <w:bdr w:val="nil"/>
          <w:lang w:val="cs-CZ" w:eastAsia="en-US"/>
        </w:rPr>
        <w:t xml:space="preserve">698) pro všechny </w:t>
      </w:r>
      <w:r>
        <w:rPr>
          <w:szCs w:val="22"/>
          <w:bdr w:val="nil"/>
          <w:lang w:val="cs-CZ" w:eastAsia="en-US"/>
        </w:rPr>
        <w:t>pacienty v klinick</w:t>
      </w:r>
      <w:r w:rsidR="00CB523E">
        <w:rPr>
          <w:szCs w:val="22"/>
          <w:bdr w:val="nil"/>
          <w:lang w:val="cs-CZ" w:eastAsia="en-US"/>
        </w:rPr>
        <w:t>ých</w:t>
      </w:r>
      <w:r>
        <w:rPr>
          <w:szCs w:val="22"/>
          <w:bdr w:val="nil"/>
          <w:lang w:val="cs-CZ" w:eastAsia="en-US"/>
        </w:rPr>
        <w:t xml:space="preserve"> studi</w:t>
      </w:r>
      <w:r w:rsidR="00753E0D">
        <w:rPr>
          <w:szCs w:val="22"/>
          <w:bdr w:val="nil"/>
          <w:lang w:val="cs-CZ" w:eastAsia="en-US"/>
        </w:rPr>
        <w:t>í</w:t>
      </w:r>
      <w:r w:rsidR="004B50A2">
        <w:rPr>
          <w:szCs w:val="22"/>
          <w:bdr w:val="nil"/>
          <w:lang w:val="cs-CZ" w:eastAsia="en-US"/>
        </w:rPr>
        <w:t>ch</w:t>
      </w:r>
      <w:r w:rsidRPr="00A9152A">
        <w:rPr>
          <w:szCs w:val="22"/>
          <w:bdr w:val="nil"/>
          <w:lang w:val="cs-CZ" w:eastAsia="en-US"/>
        </w:rPr>
        <w:t>.</w:t>
      </w:r>
    </w:p>
    <w:p w14:paraId="4B29FFDA" w14:textId="77777777" w:rsidR="004B50A2" w:rsidRPr="005917E7" w:rsidRDefault="004B50A2" w:rsidP="00735457">
      <w:pPr>
        <w:keepNext/>
        <w:tabs>
          <w:tab w:val="clear" w:pos="567"/>
        </w:tabs>
        <w:rPr>
          <w:szCs w:val="22"/>
          <w:bdr w:val="nil"/>
          <w:lang w:val="cs-CZ" w:eastAsia="en-US"/>
        </w:rPr>
      </w:pPr>
    </w:p>
    <w:p w14:paraId="11942223" w14:textId="3DD1D2C9" w:rsidR="005153AA" w:rsidRDefault="004B50A2" w:rsidP="00735457">
      <w:pPr>
        <w:rPr>
          <w:szCs w:val="22"/>
          <w:lang w:val="cs-CZ"/>
        </w:rPr>
      </w:pPr>
      <w:r>
        <w:rPr>
          <w:szCs w:val="22"/>
          <w:lang w:val="cs-CZ"/>
        </w:rPr>
        <w:t>Ve všech</w:t>
      </w:r>
      <w:r w:rsidR="005153AA" w:rsidRPr="005153AA">
        <w:rPr>
          <w:szCs w:val="22"/>
          <w:lang w:val="cs-CZ"/>
        </w:rPr>
        <w:t xml:space="preserve"> studiích</w:t>
      </w:r>
      <w:r w:rsidR="005153AA">
        <w:rPr>
          <w:szCs w:val="22"/>
          <w:lang w:val="cs-CZ"/>
        </w:rPr>
        <w:t xml:space="preserve"> </w:t>
      </w:r>
      <w:r w:rsidR="005153AA" w:rsidRPr="005153AA">
        <w:rPr>
          <w:szCs w:val="22"/>
          <w:lang w:val="cs-CZ"/>
        </w:rPr>
        <w:t xml:space="preserve">bylo </w:t>
      </w:r>
      <w:r w:rsidR="005153AA">
        <w:rPr>
          <w:szCs w:val="22"/>
          <w:lang w:val="cs-CZ"/>
        </w:rPr>
        <w:t>c</w:t>
      </w:r>
      <w:r w:rsidR="005153AA" w:rsidRPr="005153AA">
        <w:rPr>
          <w:szCs w:val="22"/>
          <w:lang w:val="cs-CZ"/>
        </w:rPr>
        <w:t xml:space="preserve">elkově </w:t>
      </w:r>
      <w:r w:rsidR="000D0E4E">
        <w:rPr>
          <w:szCs w:val="22"/>
          <w:lang w:val="cs-CZ"/>
        </w:rPr>
        <w:t>sledováno</w:t>
      </w:r>
      <w:r w:rsidR="005153AA" w:rsidRPr="005153AA">
        <w:rPr>
          <w:szCs w:val="22"/>
          <w:lang w:val="cs-CZ"/>
        </w:rPr>
        <w:t xml:space="preserve"> 75 pacientů</w:t>
      </w:r>
      <w:r>
        <w:rPr>
          <w:szCs w:val="22"/>
          <w:lang w:val="cs-CZ"/>
        </w:rPr>
        <w:t xml:space="preserve">, </w:t>
      </w:r>
      <w:r w:rsidR="00DF4A91">
        <w:rPr>
          <w:szCs w:val="22"/>
          <w:lang w:val="cs-CZ"/>
        </w:rPr>
        <w:t xml:space="preserve">z toho </w:t>
      </w:r>
      <w:r>
        <w:rPr>
          <w:szCs w:val="22"/>
          <w:lang w:val="cs-CZ"/>
        </w:rPr>
        <w:t>39 ve věku do 12 let,</w:t>
      </w:r>
      <w:r w:rsidR="005153AA" w:rsidRPr="005153AA">
        <w:rPr>
          <w:szCs w:val="22"/>
          <w:lang w:val="cs-CZ"/>
        </w:rPr>
        <w:t xml:space="preserve"> po dobu léčby delší než 5 let.</w:t>
      </w:r>
      <w:r>
        <w:rPr>
          <w:szCs w:val="22"/>
          <w:lang w:val="cs-CZ"/>
        </w:rPr>
        <w:t xml:space="preserve"> Další podrobnosti o klinických studiích viz bod 5.1.</w:t>
      </w:r>
    </w:p>
    <w:p w14:paraId="45C8511E" w14:textId="77777777" w:rsidR="004B50A2" w:rsidRPr="0028273C" w:rsidRDefault="004B50A2" w:rsidP="00735457">
      <w:pPr>
        <w:rPr>
          <w:szCs w:val="22"/>
          <w:lang w:val="cs-CZ"/>
        </w:rPr>
      </w:pPr>
    </w:p>
    <w:p w14:paraId="7AEE4B83" w14:textId="18C006C9" w:rsidR="00DD6503" w:rsidRPr="0028273C" w:rsidRDefault="00673201" w:rsidP="00735457">
      <w:pPr>
        <w:keepNext/>
        <w:rPr>
          <w:szCs w:val="22"/>
          <w:lang w:val="cs-CZ"/>
        </w:rPr>
      </w:pPr>
      <w:r w:rsidRPr="00764A31">
        <w:rPr>
          <w:szCs w:val="22"/>
          <w:lang w:val="cs-CZ"/>
        </w:rPr>
        <w:t>Tabulka uvedená níže je uspořádána podle tříd orgánových systémů a vyjádření frekvence výskytu</w:t>
      </w:r>
      <w:r w:rsidR="006F3B09">
        <w:rPr>
          <w:szCs w:val="22"/>
          <w:lang w:val="cs-CZ"/>
        </w:rPr>
        <w:t xml:space="preserve"> dle</w:t>
      </w:r>
      <w:r w:rsidRPr="00764A31">
        <w:rPr>
          <w:szCs w:val="22"/>
          <w:lang w:val="cs-CZ"/>
        </w:rPr>
        <w:t xml:space="preserve"> </w:t>
      </w:r>
      <w:proofErr w:type="spellStart"/>
      <w:r w:rsidRPr="00764A31">
        <w:rPr>
          <w:szCs w:val="22"/>
          <w:lang w:val="cs-CZ"/>
        </w:rPr>
        <w:t>MedDRA</w:t>
      </w:r>
      <w:proofErr w:type="spellEnd"/>
      <w:r w:rsidRPr="00764A31">
        <w:rPr>
          <w:szCs w:val="22"/>
          <w:lang w:val="cs-CZ"/>
        </w:rPr>
        <w:t xml:space="preserve"> </w:t>
      </w:r>
      <w:r w:rsidRPr="0028273C">
        <w:rPr>
          <w:szCs w:val="22"/>
          <w:lang w:val="cs-CZ"/>
        </w:rPr>
        <w:t>(třída orgánových systémů a preferovan</w:t>
      </w:r>
      <w:r w:rsidR="00420182">
        <w:rPr>
          <w:szCs w:val="22"/>
          <w:lang w:val="cs-CZ"/>
        </w:rPr>
        <w:t>é</w:t>
      </w:r>
      <w:r w:rsidRPr="0028273C">
        <w:rPr>
          <w:szCs w:val="22"/>
          <w:lang w:val="cs-CZ"/>
        </w:rPr>
        <w:t xml:space="preserve"> ter</w:t>
      </w:r>
      <w:r w:rsidR="00420182">
        <w:rPr>
          <w:szCs w:val="22"/>
          <w:lang w:val="cs-CZ"/>
        </w:rPr>
        <w:t>míny</w:t>
      </w:r>
      <w:r w:rsidRPr="0028273C">
        <w:rPr>
          <w:szCs w:val="22"/>
          <w:lang w:val="cs-CZ"/>
        </w:rPr>
        <w:t>)</w:t>
      </w:r>
      <w:r w:rsidRPr="00764A31">
        <w:rPr>
          <w:szCs w:val="22"/>
          <w:lang w:val="cs-CZ"/>
        </w:rPr>
        <w:t xml:space="preserve">. </w:t>
      </w:r>
      <w:r w:rsidR="00FE4EEB" w:rsidRPr="0028273C">
        <w:rPr>
          <w:szCs w:val="22"/>
          <w:lang w:val="cs-CZ"/>
        </w:rPr>
        <w:t xml:space="preserve">Frekvence byly vyhodnoceny podle následující konvence: </w:t>
      </w:r>
      <w:r w:rsidR="00D002A7" w:rsidRPr="0028273C">
        <w:rPr>
          <w:noProof/>
          <w:lang w:val="cs-CZ"/>
        </w:rPr>
        <w:t>velmi časté (</w:t>
      </w:r>
      <w:r w:rsidR="00D002A7" w:rsidRPr="0028273C">
        <w:rPr>
          <w:szCs w:val="22"/>
          <w:lang w:val="cs-CZ"/>
        </w:rPr>
        <w:t xml:space="preserve">≥1/10), </w:t>
      </w:r>
      <w:r w:rsidR="00FE4EEB" w:rsidRPr="0028273C">
        <w:rPr>
          <w:szCs w:val="22"/>
          <w:lang w:val="cs-CZ"/>
        </w:rPr>
        <w:t>časté (≥1/100 až &lt;1/10), méně časté (≥1/1</w:t>
      </w:r>
      <w:r w:rsidR="00644903" w:rsidRPr="00DA5B94">
        <w:rPr>
          <w:szCs w:val="22"/>
          <w:lang w:val="cs-CZ"/>
        </w:rPr>
        <w:t> </w:t>
      </w:r>
      <w:r w:rsidR="00FE4EEB" w:rsidRPr="0028273C">
        <w:rPr>
          <w:szCs w:val="22"/>
          <w:lang w:val="cs-CZ"/>
        </w:rPr>
        <w:t>000 až &lt;1/100)</w:t>
      </w:r>
      <w:r w:rsidR="004068BD">
        <w:rPr>
          <w:szCs w:val="22"/>
          <w:lang w:val="cs-CZ"/>
        </w:rPr>
        <w:t>,</w:t>
      </w:r>
      <w:r w:rsidR="001D79AC">
        <w:rPr>
          <w:szCs w:val="22"/>
          <w:lang w:val="cs-CZ"/>
        </w:rPr>
        <w:t xml:space="preserve"> vzácné</w:t>
      </w:r>
      <w:r w:rsidR="004068BD">
        <w:rPr>
          <w:szCs w:val="22"/>
          <w:lang w:val="cs-CZ"/>
        </w:rPr>
        <w:t xml:space="preserve"> </w:t>
      </w:r>
      <w:r w:rsidR="008B1818">
        <w:rPr>
          <w:szCs w:val="22"/>
          <w:lang w:val="cs-CZ"/>
        </w:rPr>
        <w:t>(</w:t>
      </w:r>
      <w:r w:rsidR="008B1818" w:rsidRPr="0028273C">
        <w:rPr>
          <w:szCs w:val="22"/>
          <w:lang w:val="cs-CZ"/>
        </w:rPr>
        <w:t>≥1/10</w:t>
      </w:r>
      <w:r w:rsidR="00011915" w:rsidRPr="00DA5B94">
        <w:rPr>
          <w:szCs w:val="22"/>
          <w:lang w:val="cs-CZ"/>
        </w:rPr>
        <w:t> </w:t>
      </w:r>
      <w:r w:rsidR="008B1818" w:rsidRPr="0028273C">
        <w:rPr>
          <w:szCs w:val="22"/>
          <w:lang w:val="cs-CZ"/>
        </w:rPr>
        <w:t>0</w:t>
      </w:r>
      <w:r w:rsidR="008B1818">
        <w:rPr>
          <w:szCs w:val="22"/>
          <w:lang w:val="cs-CZ"/>
        </w:rPr>
        <w:t>00</w:t>
      </w:r>
      <w:r w:rsidR="001671B1">
        <w:rPr>
          <w:szCs w:val="22"/>
          <w:lang w:val="cs-CZ"/>
        </w:rPr>
        <w:t xml:space="preserve"> až</w:t>
      </w:r>
      <w:r w:rsidR="008470FD">
        <w:rPr>
          <w:szCs w:val="22"/>
          <w:lang w:val="cs-CZ"/>
        </w:rPr>
        <w:t xml:space="preserve"> </w:t>
      </w:r>
      <w:r w:rsidR="008470FD" w:rsidRPr="0028273C">
        <w:rPr>
          <w:szCs w:val="22"/>
          <w:lang w:val="cs-CZ"/>
        </w:rPr>
        <w:t>1/1</w:t>
      </w:r>
      <w:r w:rsidR="00BB49B9" w:rsidRPr="00DA5B94">
        <w:rPr>
          <w:szCs w:val="22"/>
          <w:lang w:val="cs-CZ"/>
        </w:rPr>
        <w:t> </w:t>
      </w:r>
      <w:r w:rsidR="008470FD" w:rsidRPr="0028273C">
        <w:rPr>
          <w:szCs w:val="22"/>
          <w:lang w:val="cs-CZ"/>
        </w:rPr>
        <w:t>00</w:t>
      </w:r>
      <w:r w:rsidR="008470FD">
        <w:rPr>
          <w:szCs w:val="22"/>
          <w:lang w:val="cs-CZ"/>
        </w:rPr>
        <w:t>0)</w:t>
      </w:r>
      <w:r w:rsidR="00F14C55">
        <w:rPr>
          <w:szCs w:val="22"/>
          <w:lang w:val="cs-CZ"/>
        </w:rPr>
        <w:t xml:space="preserve">, velmi </w:t>
      </w:r>
      <w:r w:rsidR="001D79AC">
        <w:rPr>
          <w:szCs w:val="22"/>
          <w:lang w:val="cs-CZ"/>
        </w:rPr>
        <w:t xml:space="preserve">vzácné </w:t>
      </w:r>
      <w:r w:rsidR="00F14C55">
        <w:rPr>
          <w:szCs w:val="22"/>
          <w:lang w:val="cs-CZ"/>
        </w:rPr>
        <w:t>(</w:t>
      </w:r>
      <w:r w:rsidR="00F14C55" w:rsidRPr="0028273C">
        <w:rPr>
          <w:szCs w:val="22"/>
          <w:lang w:val="cs-CZ"/>
        </w:rPr>
        <w:t>&lt;1/10</w:t>
      </w:r>
      <w:r w:rsidR="00BB49B9" w:rsidRPr="00DA5B94">
        <w:rPr>
          <w:szCs w:val="22"/>
          <w:lang w:val="cs-CZ"/>
        </w:rPr>
        <w:t> </w:t>
      </w:r>
      <w:r w:rsidR="00F14C55" w:rsidRPr="0028273C">
        <w:rPr>
          <w:szCs w:val="22"/>
          <w:lang w:val="cs-CZ"/>
        </w:rPr>
        <w:t>0</w:t>
      </w:r>
      <w:r w:rsidR="00F14C55">
        <w:rPr>
          <w:szCs w:val="22"/>
          <w:lang w:val="cs-CZ"/>
        </w:rPr>
        <w:t>00)</w:t>
      </w:r>
      <w:r w:rsidR="00230582">
        <w:rPr>
          <w:szCs w:val="22"/>
          <w:lang w:val="cs-CZ"/>
        </w:rPr>
        <w:t>.</w:t>
      </w:r>
    </w:p>
    <w:p w14:paraId="22D3E6A3" w14:textId="77777777" w:rsidR="00DD6503" w:rsidRPr="0028273C" w:rsidRDefault="00FE4EEB" w:rsidP="00735457">
      <w:pPr>
        <w:tabs>
          <w:tab w:val="clear" w:pos="567"/>
        </w:tabs>
        <w:rPr>
          <w:szCs w:val="22"/>
          <w:lang w:val="cs-CZ"/>
        </w:rPr>
      </w:pPr>
      <w:r w:rsidRPr="0028273C">
        <w:rPr>
          <w:szCs w:val="22"/>
          <w:lang w:val="cs-CZ"/>
        </w:rPr>
        <w:t>V každé skupině frekvence jsou nežádoucí účinky uvedeny podle klesající závažnosti.</w:t>
      </w:r>
    </w:p>
    <w:p w14:paraId="3643D368" w14:textId="77777777" w:rsidR="00905514" w:rsidRPr="0028273C" w:rsidRDefault="00905514" w:rsidP="00735457">
      <w:pPr>
        <w:pStyle w:val="Titulek"/>
        <w:rPr>
          <w:sz w:val="22"/>
          <w:szCs w:val="22"/>
          <w:lang w:val="cs-CZ"/>
        </w:rPr>
      </w:pPr>
    </w:p>
    <w:p w14:paraId="63120E9A" w14:textId="77777777" w:rsidR="00905514" w:rsidRPr="0028273C" w:rsidRDefault="00FE4EEB" w:rsidP="00735457">
      <w:pPr>
        <w:keepNext/>
        <w:rPr>
          <w:szCs w:val="22"/>
          <w:lang w:val="cs-CZ"/>
        </w:rPr>
      </w:pPr>
      <w:r w:rsidRPr="0028273C">
        <w:rPr>
          <w:b/>
          <w:bCs/>
          <w:szCs w:val="22"/>
          <w:lang w:val="cs-CZ" w:eastAsia="de-DE"/>
        </w:rPr>
        <w:t>Tabulka</w:t>
      </w:r>
      <w:r w:rsidR="000C5D3A" w:rsidRPr="0028273C">
        <w:rPr>
          <w:b/>
          <w:bCs/>
          <w:szCs w:val="22"/>
          <w:lang w:val="cs-CZ" w:eastAsia="de-DE"/>
        </w:rPr>
        <w:t> </w:t>
      </w:r>
      <w:r w:rsidR="00401AD0" w:rsidRPr="0028273C">
        <w:rPr>
          <w:b/>
          <w:bCs/>
          <w:szCs w:val="22"/>
          <w:lang w:val="cs-CZ" w:eastAsia="de-DE"/>
        </w:rPr>
        <w:t>2</w:t>
      </w:r>
      <w:r w:rsidR="00905514" w:rsidRPr="0028273C">
        <w:rPr>
          <w:b/>
          <w:bCs/>
          <w:szCs w:val="22"/>
          <w:lang w:val="cs-CZ" w:eastAsia="de-DE"/>
        </w:rPr>
        <w:t xml:space="preserve">: </w:t>
      </w:r>
      <w:r w:rsidRPr="0028273C">
        <w:rPr>
          <w:b/>
          <w:bCs/>
          <w:szCs w:val="22"/>
          <w:lang w:val="cs-CZ" w:eastAsia="de-DE"/>
        </w:rPr>
        <w:t>Frekvence nežádoucích účinků v klinických studiích</w:t>
      </w:r>
    </w:p>
    <w:p w14:paraId="46C71145" w14:textId="77777777" w:rsidR="00A903B5" w:rsidRPr="0028273C" w:rsidRDefault="00A903B5" w:rsidP="00735457">
      <w:pPr>
        <w:keepNext/>
        <w:rPr>
          <w:szCs w:val="22"/>
          <w:lang w:val="cs-CZ"/>
        </w:rPr>
      </w:pPr>
    </w:p>
    <w:tbl>
      <w:tblPr>
        <w:tblW w:w="0" w:type="auto"/>
        <w:tblInd w:w="108" w:type="dxa"/>
        <w:tblCellMar>
          <w:left w:w="0" w:type="dxa"/>
          <w:right w:w="0" w:type="dxa"/>
        </w:tblCellMar>
        <w:tblLook w:val="04A0" w:firstRow="1" w:lastRow="0" w:firstColumn="1" w:lastColumn="0" w:noHBand="0" w:noVBand="1"/>
      </w:tblPr>
      <w:tblGrid>
        <w:gridCol w:w="3935"/>
        <w:gridCol w:w="2636"/>
        <w:gridCol w:w="2372"/>
      </w:tblGrid>
      <w:tr w:rsidR="00A903B5" w:rsidRPr="0028273C" w14:paraId="0DE71D40" w14:textId="77777777" w:rsidTr="00E84A61">
        <w:trPr>
          <w:trHeight w:val="561"/>
        </w:trPr>
        <w:tc>
          <w:tcPr>
            <w:tcW w:w="39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EE7069" w14:textId="77777777" w:rsidR="00673201" w:rsidRPr="0028273C" w:rsidRDefault="00A903B5" w:rsidP="00735457">
            <w:pPr>
              <w:keepNext/>
              <w:keepLines/>
              <w:tabs>
                <w:tab w:val="left" w:pos="20"/>
              </w:tabs>
              <w:rPr>
                <w:b/>
                <w:szCs w:val="22"/>
                <w:lang w:val="cs-CZ"/>
              </w:rPr>
            </w:pPr>
            <w:r w:rsidRPr="0028273C">
              <w:rPr>
                <w:b/>
                <w:szCs w:val="22"/>
                <w:lang w:val="cs-CZ"/>
              </w:rPr>
              <w:t>Třída orgánových systémů</w:t>
            </w:r>
            <w:r w:rsidR="00673201">
              <w:rPr>
                <w:b/>
                <w:szCs w:val="22"/>
                <w:lang w:val="cs-CZ"/>
              </w:rPr>
              <w:t xml:space="preserve"> </w:t>
            </w:r>
            <w:r w:rsidR="00673201" w:rsidRPr="0028273C">
              <w:rPr>
                <w:b/>
                <w:szCs w:val="22"/>
                <w:lang w:val="cs-CZ"/>
              </w:rPr>
              <w:t xml:space="preserve">dle </w:t>
            </w:r>
            <w:proofErr w:type="spellStart"/>
            <w:r w:rsidR="00673201" w:rsidRPr="0028273C">
              <w:rPr>
                <w:b/>
                <w:szCs w:val="22"/>
                <w:lang w:val="cs-CZ"/>
              </w:rPr>
              <w:t>MedDRA</w:t>
            </w:r>
            <w:proofErr w:type="spellEnd"/>
          </w:p>
          <w:p w14:paraId="1F5B5F03" w14:textId="77777777" w:rsidR="00A903B5" w:rsidRPr="0028273C" w:rsidRDefault="00A903B5" w:rsidP="00735457">
            <w:pPr>
              <w:pStyle w:val="Default"/>
              <w:rPr>
                <w:color w:val="auto"/>
                <w:sz w:val="22"/>
                <w:szCs w:val="22"/>
                <w:lang w:val="cs-CZ"/>
              </w:rPr>
            </w:pPr>
          </w:p>
        </w:tc>
        <w:tc>
          <w:tcPr>
            <w:tcW w:w="263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F58BB07" w14:textId="77777777" w:rsidR="00A903B5" w:rsidRPr="0028273C" w:rsidRDefault="00A903B5" w:rsidP="00735457">
            <w:pPr>
              <w:pStyle w:val="Default"/>
              <w:rPr>
                <w:b/>
                <w:color w:val="auto"/>
                <w:sz w:val="22"/>
                <w:szCs w:val="22"/>
                <w:lang w:val="cs-CZ"/>
              </w:rPr>
            </w:pPr>
            <w:r w:rsidRPr="0028273C">
              <w:rPr>
                <w:b/>
                <w:color w:val="auto"/>
                <w:sz w:val="22"/>
                <w:szCs w:val="22"/>
                <w:lang w:val="cs-CZ"/>
              </w:rPr>
              <w:t>Nežádoucí účinky</w:t>
            </w:r>
          </w:p>
        </w:tc>
        <w:tc>
          <w:tcPr>
            <w:tcW w:w="237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5A0BB337" w14:textId="77777777" w:rsidR="00A903B5" w:rsidRPr="0028273C" w:rsidRDefault="00A903B5" w:rsidP="00735457">
            <w:pPr>
              <w:pStyle w:val="Default"/>
              <w:rPr>
                <w:sz w:val="22"/>
                <w:szCs w:val="22"/>
                <w:lang w:val="cs-CZ"/>
              </w:rPr>
            </w:pPr>
            <w:r w:rsidRPr="0028273C">
              <w:rPr>
                <w:b/>
                <w:bCs/>
                <w:sz w:val="22"/>
                <w:szCs w:val="22"/>
                <w:lang w:val="cs-CZ"/>
              </w:rPr>
              <w:t>Frekvence</w:t>
            </w:r>
          </w:p>
        </w:tc>
      </w:tr>
      <w:tr w:rsidR="00A903B5" w:rsidRPr="0028273C" w14:paraId="4B511841" w14:textId="77777777" w:rsidTr="00E84A61">
        <w:trPr>
          <w:trHeight w:val="345"/>
        </w:trPr>
        <w:tc>
          <w:tcPr>
            <w:tcW w:w="39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659D2AC" w14:textId="77777777" w:rsidR="00A903B5" w:rsidRPr="0028273C" w:rsidRDefault="00A903B5" w:rsidP="00735457">
            <w:pPr>
              <w:keepNext/>
              <w:rPr>
                <w:b/>
                <w:szCs w:val="22"/>
                <w:lang w:val="cs-CZ"/>
              </w:rPr>
            </w:pPr>
            <w:r w:rsidRPr="0028273C">
              <w:rPr>
                <w:b/>
                <w:szCs w:val="22"/>
                <w:lang w:val="cs-CZ"/>
              </w:rPr>
              <w:t>Poruchy krve a lymfatického systému</w:t>
            </w:r>
          </w:p>
        </w:tc>
        <w:tc>
          <w:tcPr>
            <w:tcW w:w="2636" w:type="dxa"/>
            <w:tcBorders>
              <w:top w:val="nil"/>
              <w:left w:val="nil"/>
              <w:bottom w:val="single" w:sz="8" w:space="0" w:color="000000"/>
              <w:right w:val="single" w:sz="8" w:space="0" w:color="000000"/>
            </w:tcBorders>
            <w:tcMar>
              <w:top w:w="0" w:type="dxa"/>
              <w:left w:w="108" w:type="dxa"/>
              <w:bottom w:w="0" w:type="dxa"/>
              <w:right w:w="108" w:type="dxa"/>
            </w:tcMar>
          </w:tcPr>
          <w:p w14:paraId="6EF41A0D" w14:textId="77777777" w:rsidR="00A903B5" w:rsidRPr="0028273C" w:rsidRDefault="00A903B5" w:rsidP="00735457">
            <w:pPr>
              <w:keepNext/>
              <w:rPr>
                <w:szCs w:val="22"/>
                <w:lang w:val="cs-CZ"/>
              </w:rPr>
            </w:pPr>
            <w:r w:rsidRPr="0028273C">
              <w:rPr>
                <w:szCs w:val="22"/>
                <w:lang w:val="cs-CZ"/>
              </w:rPr>
              <w:t>Inhibice FVIII</w:t>
            </w:r>
          </w:p>
        </w:tc>
        <w:tc>
          <w:tcPr>
            <w:tcW w:w="2372" w:type="dxa"/>
            <w:tcBorders>
              <w:top w:val="nil"/>
              <w:left w:val="nil"/>
              <w:bottom w:val="single" w:sz="8" w:space="0" w:color="000000"/>
              <w:right w:val="single" w:sz="8" w:space="0" w:color="000000"/>
            </w:tcBorders>
            <w:tcMar>
              <w:top w:w="0" w:type="dxa"/>
              <w:left w:w="108" w:type="dxa"/>
              <w:bottom w:w="0" w:type="dxa"/>
              <w:right w:w="108" w:type="dxa"/>
            </w:tcMar>
          </w:tcPr>
          <w:p w14:paraId="25985172" w14:textId="77777777" w:rsidR="00A903B5" w:rsidRPr="001B22F6" w:rsidRDefault="00A903B5" w:rsidP="00735457">
            <w:pPr>
              <w:tabs>
                <w:tab w:val="clear" w:pos="567"/>
                <w:tab w:val="left" w:pos="851"/>
                <w:tab w:val="left" w:pos="1701"/>
                <w:tab w:val="left" w:pos="2552"/>
              </w:tabs>
              <w:rPr>
                <w:bCs/>
                <w:vertAlign w:val="superscript"/>
                <w:lang w:val="cs-CZ" w:eastAsia="en-US"/>
              </w:rPr>
            </w:pPr>
            <w:r w:rsidRPr="0028273C">
              <w:rPr>
                <w:bCs/>
                <w:lang w:val="cs-CZ" w:eastAsia="en-US"/>
              </w:rPr>
              <w:t>Méně časté (PTP)</w:t>
            </w:r>
            <w:r w:rsidR="003B3A5D">
              <w:rPr>
                <w:bCs/>
                <w:vertAlign w:val="superscript"/>
                <w:lang w:val="cs-CZ" w:eastAsia="en-US"/>
              </w:rPr>
              <w:t>a</w:t>
            </w:r>
          </w:p>
          <w:p w14:paraId="5F794B78" w14:textId="77777777" w:rsidR="00A903B5" w:rsidRPr="0028273C" w:rsidRDefault="00A903B5" w:rsidP="00735457">
            <w:pPr>
              <w:pStyle w:val="Default"/>
              <w:keepNext/>
              <w:rPr>
                <w:color w:val="auto"/>
                <w:sz w:val="22"/>
                <w:szCs w:val="22"/>
                <w:lang w:val="cs-CZ"/>
              </w:rPr>
            </w:pPr>
          </w:p>
        </w:tc>
      </w:tr>
      <w:tr w:rsidR="00A903B5" w:rsidRPr="0028273C" w14:paraId="3C29999A" w14:textId="77777777" w:rsidTr="00E84A61">
        <w:trPr>
          <w:trHeight w:val="345"/>
        </w:trPr>
        <w:tc>
          <w:tcPr>
            <w:tcW w:w="39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11C5168" w14:textId="77777777" w:rsidR="00A903B5" w:rsidRPr="0028273C" w:rsidRDefault="00A903B5" w:rsidP="00735457">
            <w:pPr>
              <w:keepNext/>
              <w:rPr>
                <w:b/>
                <w:bCs/>
                <w:szCs w:val="22"/>
                <w:lang w:val="cs-CZ"/>
              </w:rPr>
            </w:pPr>
            <w:r w:rsidRPr="0028273C">
              <w:rPr>
                <w:b/>
                <w:szCs w:val="22"/>
                <w:lang w:val="cs-CZ"/>
              </w:rPr>
              <w:t>Poruchy imunitního systému</w:t>
            </w:r>
          </w:p>
        </w:tc>
        <w:tc>
          <w:tcPr>
            <w:tcW w:w="2636" w:type="dxa"/>
            <w:tcBorders>
              <w:top w:val="nil"/>
              <w:left w:val="nil"/>
              <w:bottom w:val="single" w:sz="8" w:space="0" w:color="000000"/>
              <w:right w:val="single" w:sz="8" w:space="0" w:color="000000"/>
            </w:tcBorders>
            <w:tcMar>
              <w:top w:w="0" w:type="dxa"/>
              <w:left w:w="108" w:type="dxa"/>
              <w:bottom w:w="0" w:type="dxa"/>
              <w:right w:w="108" w:type="dxa"/>
            </w:tcMar>
          </w:tcPr>
          <w:p w14:paraId="366BA373" w14:textId="77777777" w:rsidR="00A903B5" w:rsidRPr="0028273C" w:rsidRDefault="00A903B5" w:rsidP="00735457">
            <w:pPr>
              <w:keepNext/>
              <w:rPr>
                <w:szCs w:val="22"/>
                <w:highlight w:val="green"/>
                <w:lang w:val="cs-CZ"/>
              </w:rPr>
            </w:pPr>
            <w:r w:rsidRPr="0028273C">
              <w:rPr>
                <w:szCs w:val="22"/>
                <w:lang w:val="cs-CZ"/>
              </w:rPr>
              <w:t>Hypersenzitivita</w:t>
            </w:r>
          </w:p>
        </w:tc>
        <w:tc>
          <w:tcPr>
            <w:tcW w:w="2372" w:type="dxa"/>
            <w:tcBorders>
              <w:top w:val="nil"/>
              <w:left w:val="nil"/>
              <w:bottom w:val="single" w:sz="8" w:space="0" w:color="000000"/>
              <w:right w:val="single" w:sz="8" w:space="0" w:color="000000"/>
            </w:tcBorders>
            <w:tcMar>
              <w:top w:w="0" w:type="dxa"/>
              <w:left w:w="108" w:type="dxa"/>
              <w:bottom w:w="0" w:type="dxa"/>
              <w:right w:w="108" w:type="dxa"/>
            </w:tcMar>
          </w:tcPr>
          <w:p w14:paraId="5A6A541C" w14:textId="77777777" w:rsidR="00A903B5" w:rsidRPr="0028273C" w:rsidRDefault="00A903B5" w:rsidP="00735457">
            <w:pPr>
              <w:pStyle w:val="Default"/>
              <w:keepNext/>
              <w:rPr>
                <w:color w:val="auto"/>
                <w:sz w:val="22"/>
                <w:szCs w:val="22"/>
                <w:lang w:val="cs-CZ"/>
              </w:rPr>
            </w:pPr>
            <w:r w:rsidRPr="0028273C">
              <w:rPr>
                <w:color w:val="auto"/>
                <w:sz w:val="22"/>
                <w:szCs w:val="22"/>
                <w:lang w:val="cs-CZ"/>
              </w:rPr>
              <w:t>Časté</w:t>
            </w:r>
          </w:p>
        </w:tc>
      </w:tr>
      <w:tr w:rsidR="00A903B5" w:rsidRPr="0028273C" w14:paraId="117FC562" w14:textId="77777777" w:rsidTr="00E84A61">
        <w:trPr>
          <w:trHeight w:val="345"/>
        </w:trPr>
        <w:tc>
          <w:tcPr>
            <w:tcW w:w="39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2F68436" w14:textId="77777777" w:rsidR="00A903B5" w:rsidRPr="0028273C" w:rsidRDefault="00A903B5" w:rsidP="00735457">
            <w:pPr>
              <w:keepNext/>
              <w:rPr>
                <w:b/>
                <w:bCs/>
                <w:szCs w:val="22"/>
                <w:lang w:val="cs-CZ"/>
              </w:rPr>
            </w:pPr>
            <w:r w:rsidRPr="0028273C">
              <w:rPr>
                <w:b/>
                <w:szCs w:val="22"/>
                <w:lang w:val="cs-CZ"/>
              </w:rPr>
              <w:t>Psychiatrické poruchy</w:t>
            </w:r>
          </w:p>
        </w:tc>
        <w:tc>
          <w:tcPr>
            <w:tcW w:w="2636" w:type="dxa"/>
            <w:tcBorders>
              <w:top w:val="nil"/>
              <w:left w:val="nil"/>
              <w:bottom w:val="single" w:sz="8" w:space="0" w:color="000000"/>
              <w:right w:val="single" w:sz="8" w:space="0" w:color="000000"/>
            </w:tcBorders>
            <w:tcMar>
              <w:top w:w="0" w:type="dxa"/>
              <w:left w:w="108" w:type="dxa"/>
              <w:bottom w:w="0" w:type="dxa"/>
              <w:right w:w="108" w:type="dxa"/>
            </w:tcMar>
          </w:tcPr>
          <w:p w14:paraId="663AC83B" w14:textId="77777777" w:rsidR="00A903B5" w:rsidRPr="0028273C" w:rsidRDefault="00690792" w:rsidP="00735457">
            <w:pPr>
              <w:keepNext/>
              <w:rPr>
                <w:szCs w:val="22"/>
                <w:lang w:val="cs-CZ"/>
              </w:rPr>
            </w:pPr>
            <w:r>
              <w:rPr>
                <w:snapToGrid w:val="0"/>
                <w:szCs w:val="22"/>
                <w:lang w:val="cs-CZ"/>
              </w:rPr>
              <w:t>Insomnie</w:t>
            </w:r>
          </w:p>
        </w:tc>
        <w:tc>
          <w:tcPr>
            <w:tcW w:w="2372" w:type="dxa"/>
            <w:tcBorders>
              <w:top w:val="nil"/>
              <w:left w:val="nil"/>
              <w:bottom w:val="single" w:sz="8" w:space="0" w:color="000000"/>
              <w:right w:val="single" w:sz="8" w:space="0" w:color="000000"/>
            </w:tcBorders>
            <w:tcMar>
              <w:top w:w="0" w:type="dxa"/>
              <w:left w:w="108" w:type="dxa"/>
              <w:bottom w:w="0" w:type="dxa"/>
              <w:right w:w="108" w:type="dxa"/>
            </w:tcMar>
          </w:tcPr>
          <w:p w14:paraId="78207D9C" w14:textId="77777777" w:rsidR="00A903B5" w:rsidRPr="0028273C" w:rsidRDefault="00A903B5" w:rsidP="00735457">
            <w:pPr>
              <w:pStyle w:val="Default"/>
              <w:keepNext/>
              <w:rPr>
                <w:color w:val="auto"/>
                <w:sz w:val="22"/>
                <w:szCs w:val="22"/>
                <w:lang w:val="cs-CZ"/>
              </w:rPr>
            </w:pPr>
            <w:r w:rsidRPr="0028273C">
              <w:rPr>
                <w:color w:val="auto"/>
                <w:sz w:val="22"/>
                <w:szCs w:val="22"/>
                <w:lang w:val="cs-CZ"/>
              </w:rPr>
              <w:t>Časté</w:t>
            </w:r>
          </w:p>
        </w:tc>
      </w:tr>
      <w:tr w:rsidR="00A903B5" w:rsidRPr="0028273C" w14:paraId="7580D460" w14:textId="77777777" w:rsidTr="00E84A61">
        <w:trPr>
          <w:trHeight w:val="345"/>
        </w:trPr>
        <w:tc>
          <w:tcPr>
            <w:tcW w:w="3935" w:type="dxa"/>
            <w:vMerge w:val="restart"/>
            <w:tcBorders>
              <w:top w:val="nil"/>
              <w:left w:val="single" w:sz="8" w:space="0" w:color="000000"/>
              <w:right w:val="single" w:sz="8" w:space="0" w:color="000000"/>
            </w:tcBorders>
            <w:tcMar>
              <w:top w:w="0" w:type="dxa"/>
              <w:left w:w="108" w:type="dxa"/>
              <w:bottom w:w="0" w:type="dxa"/>
              <w:right w:w="108" w:type="dxa"/>
            </w:tcMar>
          </w:tcPr>
          <w:p w14:paraId="6DC3EFE1" w14:textId="77777777" w:rsidR="00A903B5" w:rsidRPr="0028273C" w:rsidRDefault="00A903B5" w:rsidP="00735457">
            <w:pPr>
              <w:keepNext/>
              <w:rPr>
                <w:b/>
                <w:bCs/>
                <w:szCs w:val="22"/>
                <w:lang w:val="cs-CZ"/>
              </w:rPr>
            </w:pPr>
            <w:r w:rsidRPr="0028273C">
              <w:rPr>
                <w:b/>
                <w:szCs w:val="22"/>
                <w:lang w:val="cs-CZ"/>
              </w:rPr>
              <w:t>Poruchy nervového systému</w:t>
            </w:r>
          </w:p>
        </w:tc>
        <w:tc>
          <w:tcPr>
            <w:tcW w:w="2636" w:type="dxa"/>
            <w:tcBorders>
              <w:top w:val="nil"/>
              <w:left w:val="nil"/>
              <w:bottom w:val="single" w:sz="8" w:space="0" w:color="000000"/>
              <w:right w:val="single" w:sz="8" w:space="0" w:color="000000"/>
            </w:tcBorders>
            <w:tcMar>
              <w:top w:w="0" w:type="dxa"/>
              <w:left w:w="108" w:type="dxa"/>
              <w:bottom w:w="0" w:type="dxa"/>
              <w:right w:w="108" w:type="dxa"/>
            </w:tcMar>
          </w:tcPr>
          <w:p w14:paraId="10D67C2F" w14:textId="77777777" w:rsidR="00A903B5" w:rsidRPr="0028273C" w:rsidRDefault="00A903B5" w:rsidP="00735457">
            <w:pPr>
              <w:keepNext/>
              <w:rPr>
                <w:szCs w:val="22"/>
                <w:lang w:val="cs-CZ"/>
              </w:rPr>
            </w:pPr>
            <w:r w:rsidRPr="0028273C">
              <w:rPr>
                <w:snapToGrid w:val="0"/>
                <w:szCs w:val="22"/>
                <w:lang w:val="cs-CZ"/>
              </w:rPr>
              <w:t>Bolest hlavy</w:t>
            </w:r>
          </w:p>
        </w:tc>
        <w:tc>
          <w:tcPr>
            <w:tcW w:w="2372" w:type="dxa"/>
            <w:tcBorders>
              <w:top w:val="nil"/>
              <w:left w:val="nil"/>
              <w:bottom w:val="single" w:sz="8" w:space="0" w:color="000000"/>
              <w:right w:val="single" w:sz="8" w:space="0" w:color="000000"/>
            </w:tcBorders>
            <w:tcMar>
              <w:top w:w="0" w:type="dxa"/>
              <w:left w:w="108" w:type="dxa"/>
              <w:bottom w:w="0" w:type="dxa"/>
              <w:right w:w="108" w:type="dxa"/>
            </w:tcMar>
          </w:tcPr>
          <w:p w14:paraId="0F66CADA" w14:textId="77777777" w:rsidR="00A903B5" w:rsidRPr="0028273C" w:rsidRDefault="00A903B5" w:rsidP="00735457">
            <w:pPr>
              <w:pStyle w:val="Default"/>
              <w:keepNext/>
              <w:rPr>
                <w:color w:val="auto"/>
                <w:sz w:val="22"/>
                <w:szCs w:val="22"/>
                <w:lang w:val="cs-CZ"/>
              </w:rPr>
            </w:pPr>
            <w:r w:rsidRPr="0028273C">
              <w:rPr>
                <w:color w:val="auto"/>
                <w:sz w:val="22"/>
                <w:szCs w:val="22"/>
                <w:lang w:val="cs-CZ"/>
              </w:rPr>
              <w:t>Velmi časté</w:t>
            </w:r>
          </w:p>
        </w:tc>
      </w:tr>
      <w:tr w:rsidR="00A903B5" w:rsidRPr="0028273C" w14:paraId="24FA7B0F" w14:textId="77777777" w:rsidTr="00E84A61">
        <w:trPr>
          <w:trHeight w:val="345"/>
        </w:trPr>
        <w:tc>
          <w:tcPr>
            <w:tcW w:w="3935" w:type="dxa"/>
            <w:vMerge/>
            <w:tcBorders>
              <w:left w:val="single" w:sz="8" w:space="0" w:color="000000"/>
              <w:right w:val="single" w:sz="8" w:space="0" w:color="000000"/>
            </w:tcBorders>
            <w:tcMar>
              <w:top w:w="0" w:type="dxa"/>
              <w:left w:w="108" w:type="dxa"/>
              <w:bottom w:w="0" w:type="dxa"/>
              <w:right w:w="108" w:type="dxa"/>
            </w:tcMar>
          </w:tcPr>
          <w:p w14:paraId="6A605624" w14:textId="77777777" w:rsidR="00A903B5" w:rsidRPr="0028273C" w:rsidRDefault="00A903B5" w:rsidP="00735457">
            <w:pPr>
              <w:keepNext/>
              <w:rPr>
                <w:b/>
                <w:szCs w:val="22"/>
                <w:lang w:val="cs-CZ"/>
              </w:rPr>
            </w:pPr>
          </w:p>
        </w:tc>
        <w:tc>
          <w:tcPr>
            <w:tcW w:w="2636" w:type="dxa"/>
            <w:tcBorders>
              <w:top w:val="nil"/>
              <w:left w:val="nil"/>
              <w:bottom w:val="single" w:sz="8" w:space="0" w:color="000000"/>
              <w:right w:val="single" w:sz="8" w:space="0" w:color="000000"/>
            </w:tcBorders>
            <w:tcMar>
              <w:top w:w="0" w:type="dxa"/>
              <w:left w:w="108" w:type="dxa"/>
              <w:bottom w:w="0" w:type="dxa"/>
              <w:right w:w="108" w:type="dxa"/>
            </w:tcMar>
          </w:tcPr>
          <w:p w14:paraId="0CD5993E" w14:textId="77777777" w:rsidR="00A903B5" w:rsidRPr="0028273C" w:rsidRDefault="00A903B5" w:rsidP="00735457">
            <w:pPr>
              <w:keepNext/>
              <w:rPr>
                <w:snapToGrid w:val="0"/>
                <w:szCs w:val="22"/>
                <w:lang w:val="cs-CZ"/>
              </w:rPr>
            </w:pPr>
            <w:r w:rsidRPr="0028273C">
              <w:rPr>
                <w:snapToGrid w:val="0"/>
                <w:szCs w:val="22"/>
                <w:lang w:val="cs-CZ"/>
              </w:rPr>
              <w:t>Závrať</w:t>
            </w:r>
          </w:p>
        </w:tc>
        <w:tc>
          <w:tcPr>
            <w:tcW w:w="2372" w:type="dxa"/>
            <w:tcBorders>
              <w:top w:val="nil"/>
              <w:left w:val="nil"/>
              <w:bottom w:val="single" w:sz="8" w:space="0" w:color="000000"/>
              <w:right w:val="single" w:sz="8" w:space="0" w:color="000000"/>
            </w:tcBorders>
            <w:tcMar>
              <w:top w:w="0" w:type="dxa"/>
              <w:left w:w="108" w:type="dxa"/>
              <w:bottom w:w="0" w:type="dxa"/>
              <w:right w:w="108" w:type="dxa"/>
            </w:tcMar>
          </w:tcPr>
          <w:p w14:paraId="7964A428" w14:textId="77777777" w:rsidR="00A903B5" w:rsidRPr="0028273C" w:rsidRDefault="00A903B5" w:rsidP="00735457">
            <w:pPr>
              <w:pStyle w:val="Default"/>
              <w:keepNext/>
              <w:rPr>
                <w:color w:val="auto"/>
                <w:sz w:val="22"/>
                <w:szCs w:val="22"/>
                <w:lang w:val="cs-CZ"/>
              </w:rPr>
            </w:pPr>
            <w:r w:rsidRPr="0028273C">
              <w:rPr>
                <w:color w:val="auto"/>
                <w:sz w:val="22"/>
                <w:szCs w:val="22"/>
                <w:lang w:val="cs-CZ"/>
              </w:rPr>
              <w:t>Časté</w:t>
            </w:r>
          </w:p>
        </w:tc>
      </w:tr>
      <w:tr w:rsidR="00A903B5" w:rsidRPr="0028273C" w14:paraId="4C3235C8" w14:textId="77777777" w:rsidTr="00E84A61">
        <w:trPr>
          <w:trHeight w:val="345"/>
        </w:trPr>
        <w:tc>
          <w:tcPr>
            <w:tcW w:w="3935" w:type="dxa"/>
            <w:vMerge/>
            <w:tcBorders>
              <w:left w:val="single" w:sz="8" w:space="0" w:color="000000"/>
              <w:bottom w:val="single" w:sz="8" w:space="0" w:color="000000"/>
              <w:right w:val="single" w:sz="8" w:space="0" w:color="000000"/>
            </w:tcBorders>
            <w:tcMar>
              <w:top w:w="0" w:type="dxa"/>
              <w:left w:w="108" w:type="dxa"/>
              <w:bottom w:w="0" w:type="dxa"/>
              <w:right w:w="108" w:type="dxa"/>
            </w:tcMar>
          </w:tcPr>
          <w:p w14:paraId="384FB0E9" w14:textId="77777777" w:rsidR="00A903B5" w:rsidRPr="0028273C" w:rsidRDefault="00A903B5" w:rsidP="00735457">
            <w:pPr>
              <w:keepNext/>
              <w:rPr>
                <w:b/>
                <w:szCs w:val="22"/>
                <w:lang w:val="cs-CZ"/>
              </w:rPr>
            </w:pPr>
          </w:p>
        </w:tc>
        <w:tc>
          <w:tcPr>
            <w:tcW w:w="2636" w:type="dxa"/>
            <w:tcBorders>
              <w:top w:val="nil"/>
              <w:left w:val="nil"/>
              <w:bottom w:val="single" w:sz="8" w:space="0" w:color="000000"/>
              <w:right w:val="single" w:sz="8" w:space="0" w:color="000000"/>
            </w:tcBorders>
            <w:tcMar>
              <w:top w:w="0" w:type="dxa"/>
              <w:left w:w="108" w:type="dxa"/>
              <w:bottom w:w="0" w:type="dxa"/>
              <w:right w:w="108" w:type="dxa"/>
            </w:tcMar>
          </w:tcPr>
          <w:p w14:paraId="6442B8E7" w14:textId="77777777" w:rsidR="00A903B5" w:rsidRPr="0028273C" w:rsidRDefault="00A903B5" w:rsidP="00735457">
            <w:pPr>
              <w:keepNext/>
              <w:rPr>
                <w:snapToGrid w:val="0"/>
                <w:szCs w:val="22"/>
                <w:lang w:val="cs-CZ"/>
              </w:rPr>
            </w:pPr>
            <w:proofErr w:type="spellStart"/>
            <w:r w:rsidRPr="0028273C">
              <w:rPr>
                <w:szCs w:val="22"/>
                <w:lang w:val="cs-CZ"/>
              </w:rPr>
              <w:t>Dysgeuzie</w:t>
            </w:r>
            <w:proofErr w:type="spellEnd"/>
            <w:r w:rsidRPr="0028273C">
              <w:rPr>
                <w:szCs w:val="22"/>
                <w:lang w:val="cs-CZ"/>
              </w:rPr>
              <w:t xml:space="preserve"> </w:t>
            </w:r>
          </w:p>
        </w:tc>
        <w:tc>
          <w:tcPr>
            <w:tcW w:w="2372" w:type="dxa"/>
            <w:tcBorders>
              <w:top w:val="nil"/>
              <w:left w:val="nil"/>
              <w:bottom w:val="single" w:sz="8" w:space="0" w:color="000000"/>
              <w:right w:val="single" w:sz="8" w:space="0" w:color="000000"/>
            </w:tcBorders>
            <w:tcMar>
              <w:top w:w="0" w:type="dxa"/>
              <w:left w:w="108" w:type="dxa"/>
              <w:bottom w:w="0" w:type="dxa"/>
              <w:right w:w="108" w:type="dxa"/>
            </w:tcMar>
          </w:tcPr>
          <w:p w14:paraId="6EBC6316" w14:textId="77777777" w:rsidR="00A903B5" w:rsidRPr="0028273C" w:rsidRDefault="00A903B5" w:rsidP="00735457">
            <w:pPr>
              <w:pStyle w:val="Default"/>
              <w:keepNext/>
              <w:rPr>
                <w:color w:val="auto"/>
                <w:sz w:val="22"/>
                <w:szCs w:val="22"/>
                <w:lang w:val="cs-CZ"/>
              </w:rPr>
            </w:pPr>
            <w:r w:rsidRPr="0028273C">
              <w:rPr>
                <w:color w:val="auto"/>
                <w:sz w:val="22"/>
                <w:szCs w:val="22"/>
                <w:lang w:val="cs-CZ"/>
              </w:rPr>
              <w:t>Méně časté</w:t>
            </w:r>
          </w:p>
        </w:tc>
      </w:tr>
      <w:tr w:rsidR="00A903B5" w:rsidRPr="0028273C" w14:paraId="1B2FB178" w14:textId="77777777" w:rsidTr="00E84A61">
        <w:trPr>
          <w:trHeight w:val="345"/>
        </w:trPr>
        <w:tc>
          <w:tcPr>
            <w:tcW w:w="3935" w:type="dxa"/>
            <w:tcBorders>
              <w:left w:val="single" w:sz="8" w:space="0" w:color="000000"/>
              <w:bottom w:val="single" w:sz="8" w:space="0" w:color="000000"/>
              <w:right w:val="single" w:sz="8" w:space="0" w:color="000000"/>
            </w:tcBorders>
            <w:tcMar>
              <w:top w:w="0" w:type="dxa"/>
              <w:left w:w="108" w:type="dxa"/>
              <w:bottom w:w="0" w:type="dxa"/>
              <w:right w:w="108" w:type="dxa"/>
            </w:tcMar>
          </w:tcPr>
          <w:p w14:paraId="3D461DFC" w14:textId="77777777" w:rsidR="00A903B5" w:rsidRPr="0028273C" w:rsidRDefault="00A903B5" w:rsidP="00735457">
            <w:pPr>
              <w:keepNext/>
              <w:rPr>
                <w:b/>
                <w:bCs/>
                <w:szCs w:val="22"/>
                <w:lang w:val="cs-CZ"/>
              </w:rPr>
            </w:pPr>
            <w:r w:rsidRPr="0028273C">
              <w:rPr>
                <w:b/>
                <w:bCs/>
                <w:szCs w:val="22"/>
                <w:lang w:val="cs-CZ"/>
              </w:rPr>
              <w:t>Cévní poruchy</w:t>
            </w:r>
          </w:p>
        </w:tc>
        <w:tc>
          <w:tcPr>
            <w:tcW w:w="2636" w:type="dxa"/>
            <w:tcBorders>
              <w:top w:val="nil"/>
              <w:left w:val="nil"/>
              <w:bottom w:val="single" w:sz="8" w:space="0" w:color="000000"/>
              <w:right w:val="single" w:sz="8" w:space="0" w:color="000000"/>
            </w:tcBorders>
            <w:tcMar>
              <w:top w:w="0" w:type="dxa"/>
              <w:left w:w="108" w:type="dxa"/>
              <w:bottom w:w="0" w:type="dxa"/>
              <w:right w:w="108" w:type="dxa"/>
            </w:tcMar>
          </w:tcPr>
          <w:p w14:paraId="45F92EB4" w14:textId="77777777" w:rsidR="00A903B5" w:rsidRPr="0028273C" w:rsidRDefault="00A903B5" w:rsidP="00735457">
            <w:pPr>
              <w:keepNext/>
              <w:rPr>
                <w:szCs w:val="22"/>
                <w:lang w:val="cs-CZ"/>
              </w:rPr>
            </w:pPr>
            <w:r w:rsidRPr="0028273C">
              <w:rPr>
                <w:szCs w:val="22"/>
                <w:lang w:val="cs-CZ"/>
              </w:rPr>
              <w:t>Zrudnutí</w:t>
            </w:r>
          </w:p>
        </w:tc>
        <w:tc>
          <w:tcPr>
            <w:tcW w:w="2372" w:type="dxa"/>
            <w:tcBorders>
              <w:top w:val="nil"/>
              <w:left w:val="nil"/>
              <w:bottom w:val="single" w:sz="8" w:space="0" w:color="000000"/>
              <w:right w:val="single" w:sz="8" w:space="0" w:color="000000"/>
            </w:tcBorders>
            <w:tcMar>
              <w:top w:w="0" w:type="dxa"/>
              <w:left w:w="108" w:type="dxa"/>
              <w:bottom w:w="0" w:type="dxa"/>
              <w:right w:w="108" w:type="dxa"/>
            </w:tcMar>
          </w:tcPr>
          <w:p w14:paraId="03818749" w14:textId="77777777" w:rsidR="00A903B5" w:rsidRPr="0028273C" w:rsidRDefault="00A903B5" w:rsidP="00735457">
            <w:pPr>
              <w:pStyle w:val="Default"/>
              <w:keepNext/>
              <w:rPr>
                <w:color w:val="auto"/>
                <w:sz w:val="22"/>
                <w:szCs w:val="22"/>
                <w:lang w:val="cs-CZ"/>
              </w:rPr>
            </w:pPr>
            <w:r w:rsidRPr="0028273C">
              <w:rPr>
                <w:color w:val="auto"/>
                <w:sz w:val="22"/>
                <w:szCs w:val="22"/>
                <w:lang w:val="cs-CZ"/>
              </w:rPr>
              <w:t>Méně časté</w:t>
            </w:r>
          </w:p>
        </w:tc>
      </w:tr>
      <w:tr w:rsidR="00A903B5" w:rsidRPr="0028273C" w14:paraId="23C6890F" w14:textId="77777777" w:rsidTr="00E84A61">
        <w:trPr>
          <w:trHeight w:val="345"/>
        </w:trPr>
        <w:tc>
          <w:tcPr>
            <w:tcW w:w="39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FB81A0B" w14:textId="77777777" w:rsidR="00A903B5" w:rsidRPr="0028273C" w:rsidRDefault="00A903B5" w:rsidP="00735457">
            <w:pPr>
              <w:keepNext/>
              <w:rPr>
                <w:b/>
                <w:bCs/>
                <w:szCs w:val="22"/>
                <w:lang w:val="cs-CZ"/>
              </w:rPr>
            </w:pPr>
            <w:r w:rsidRPr="0028273C">
              <w:rPr>
                <w:b/>
                <w:szCs w:val="22"/>
                <w:lang w:val="cs-CZ"/>
              </w:rPr>
              <w:t>Respirační, hrudní a mediastinální poruchy</w:t>
            </w:r>
          </w:p>
        </w:tc>
        <w:tc>
          <w:tcPr>
            <w:tcW w:w="2636" w:type="dxa"/>
            <w:tcBorders>
              <w:top w:val="nil"/>
              <w:left w:val="nil"/>
              <w:bottom w:val="single" w:sz="8" w:space="0" w:color="000000"/>
              <w:right w:val="single" w:sz="8" w:space="0" w:color="000000"/>
            </w:tcBorders>
            <w:tcMar>
              <w:top w:w="0" w:type="dxa"/>
              <w:left w:w="108" w:type="dxa"/>
              <w:bottom w:w="0" w:type="dxa"/>
              <w:right w:w="108" w:type="dxa"/>
            </w:tcMar>
          </w:tcPr>
          <w:p w14:paraId="24CBDC7C" w14:textId="77777777" w:rsidR="00A903B5" w:rsidRPr="0028273C" w:rsidRDefault="00A903B5" w:rsidP="00735457">
            <w:pPr>
              <w:keepNext/>
              <w:rPr>
                <w:szCs w:val="22"/>
                <w:lang w:val="cs-CZ"/>
              </w:rPr>
            </w:pPr>
            <w:r w:rsidRPr="0028273C">
              <w:rPr>
                <w:snapToGrid w:val="0"/>
                <w:szCs w:val="22"/>
                <w:lang w:val="cs-CZ"/>
              </w:rPr>
              <w:t>Kašel</w:t>
            </w:r>
          </w:p>
        </w:tc>
        <w:tc>
          <w:tcPr>
            <w:tcW w:w="2372" w:type="dxa"/>
            <w:tcBorders>
              <w:top w:val="nil"/>
              <w:left w:val="nil"/>
              <w:bottom w:val="single" w:sz="8" w:space="0" w:color="000000"/>
              <w:right w:val="single" w:sz="8" w:space="0" w:color="000000"/>
            </w:tcBorders>
            <w:tcMar>
              <w:top w:w="0" w:type="dxa"/>
              <w:left w:w="108" w:type="dxa"/>
              <w:bottom w:w="0" w:type="dxa"/>
              <w:right w:w="108" w:type="dxa"/>
            </w:tcMar>
          </w:tcPr>
          <w:p w14:paraId="3BD63546" w14:textId="77777777" w:rsidR="00A903B5" w:rsidRPr="0028273C" w:rsidRDefault="00A903B5" w:rsidP="00735457">
            <w:pPr>
              <w:rPr>
                <w:lang w:val="cs-CZ"/>
              </w:rPr>
            </w:pPr>
            <w:r w:rsidRPr="0028273C">
              <w:rPr>
                <w:szCs w:val="22"/>
                <w:lang w:val="cs-CZ"/>
              </w:rPr>
              <w:t>Časté</w:t>
            </w:r>
          </w:p>
        </w:tc>
      </w:tr>
      <w:tr w:rsidR="00A903B5" w:rsidRPr="0028273C" w14:paraId="1E4F9A20" w14:textId="77777777" w:rsidTr="00E84A61">
        <w:trPr>
          <w:trHeight w:val="345"/>
        </w:trPr>
        <w:tc>
          <w:tcPr>
            <w:tcW w:w="39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284DAFF" w14:textId="77777777" w:rsidR="00A903B5" w:rsidRPr="0028273C" w:rsidRDefault="00A903B5" w:rsidP="00735457">
            <w:pPr>
              <w:keepNext/>
              <w:rPr>
                <w:b/>
                <w:bCs/>
                <w:szCs w:val="22"/>
                <w:lang w:val="cs-CZ"/>
              </w:rPr>
            </w:pPr>
            <w:r w:rsidRPr="0028273C">
              <w:rPr>
                <w:b/>
                <w:bCs/>
                <w:szCs w:val="22"/>
                <w:lang w:val="cs-CZ"/>
              </w:rPr>
              <w:t>Gastrointestinální poruchy</w:t>
            </w:r>
          </w:p>
        </w:tc>
        <w:tc>
          <w:tcPr>
            <w:tcW w:w="2636" w:type="dxa"/>
            <w:tcBorders>
              <w:top w:val="nil"/>
              <w:left w:val="nil"/>
              <w:bottom w:val="single" w:sz="8" w:space="0" w:color="000000"/>
              <w:right w:val="single" w:sz="8" w:space="0" w:color="000000"/>
            </w:tcBorders>
            <w:tcMar>
              <w:top w:w="0" w:type="dxa"/>
              <w:left w:w="108" w:type="dxa"/>
              <w:bottom w:w="0" w:type="dxa"/>
              <w:right w:w="108" w:type="dxa"/>
            </w:tcMar>
          </w:tcPr>
          <w:p w14:paraId="0DD21440" w14:textId="77777777" w:rsidR="00A903B5" w:rsidRPr="0028273C" w:rsidRDefault="00A903B5" w:rsidP="00735457">
            <w:pPr>
              <w:keepNext/>
              <w:rPr>
                <w:szCs w:val="22"/>
                <w:lang w:val="cs-CZ"/>
              </w:rPr>
            </w:pPr>
            <w:r w:rsidRPr="0028273C">
              <w:rPr>
                <w:szCs w:val="22"/>
                <w:lang w:val="cs-CZ"/>
              </w:rPr>
              <w:t>Bolest břicha, n</w:t>
            </w:r>
            <w:r w:rsidR="00690792">
              <w:rPr>
                <w:szCs w:val="22"/>
                <w:lang w:val="cs-CZ"/>
              </w:rPr>
              <w:t>auzea</w:t>
            </w:r>
            <w:r w:rsidRPr="0028273C">
              <w:rPr>
                <w:szCs w:val="22"/>
                <w:lang w:val="cs-CZ"/>
              </w:rPr>
              <w:t>, zvracení</w:t>
            </w:r>
          </w:p>
        </w:tc>
        <w:tc>
          <w:tcPr>
            <w:tcW w:w="2372" w:type="dxa"/>
            <w:tcBorders>
              <w:top w:val="nil"/>
              <w:left w:val="nil"/>
              <w:bottom w:val="single" w:sz="8" w:space="0" w:color="000000"/>
              <w:right w:val="single" w:sz="8" w:space="0" w:color="000000"/>
            </w:tcBorders>
            <w:tcMar>
              <w:top w:w="0" w:type="dxa"/>
              <w:left w:w="108" w:type="dxa"/>
              <w:bottom w:w="0" w:type="dxa"/>
              <w:right w:w="108" w:type="dxa"/>
            </w:tcMar>
          </w:tcPr>
          <w:p w14:paraId="4F5F83C9" w14:textId="77777777" w:rsidR="00A903B5" w:rsidRPr="0028273C" w:rsidRDefault="00A903B5" w:rsidP="00735457">
            <w:pPr>
              <w:rPr>
                <w:lang w:val="cs-CZ"/>
              </w:rPr>
            </w:pPr>
            <w:r w:rsidRPr="0028273C">
              <w:rPr>
                <w:szCs w:val="22"/>
                <w:lang w:val="cs-CZ"/>
              </w:rPr>
              <w:t>Časté</w:t>
            </w:r>
          </w:p>
        </w:tc>
      </w:tr>
      <w:tr w:rsidR="00A903B5" w:rsidRPr="0028273C" w14:paraId="77C34699" w14:textId="77777777" w:rsidTr="00E84A61">
        <w:trPr>
          <w:trHeight w:val="345"/>
        </w:trPr>
        <w:tc>
          <w:tcPr>
            <w:tcW w:w="3935" w:type="dxa"/>
            <w:vMerge w:val="restart"/>
            <w:tcBorders>
              <w:top w:val="nil"/>
              <w:left w:val="single" w:sz="8" w:space="0" w:color="000000"/>
              <w:right w:val="single" w:sz="8" w:space="0" w:color="000000"/>
            </w:tcBorders>
            <w:tcMar>
              <w:top w:w="0" w:type="dxa"/>
              <w:left w:w="108" w:type="dxa"/>
              <w:bottom w:w="0" w:type="dxa"/>
              <w:right w:w="108" w:type="dxa"/>
            </w:tcMar>
          </w:tcPr>
          <w:p w14:paraId="6ED88AE0" w14:textId="77777777" w:rsidR="00A903B5" w:rsidRPr="0028273C" w:rsidRDefault="00A903B5" w:rsidP="00735457">
            <w:pPr>
              <w:keepNext/>
              <w:rPr>
                <w:b/>
                <w:bCs/>
                <w:szCs w:val="22"/>
                <w:lang w:val="cs-CZ"/>
              </w:rPr>
            </w:pPr>
            <w:r w:rsidRPr="0028273C">
              <w:rPr>
                <w:b/>
                <w:szCs w:val="22"/>
                <w:lang w:val="cs-CZ"/>
              </w:rPr>
              <w:t>Poruchy kůže a podkožní tkáně</w:t>
            </w:r>
          </w:p>
        </w:tc>
        <w:tc>
          <w:tcPr>
            <w:tcW w:w="2636" w:type="dxa"/>
            <w:tcBorders>
              <w:top w:val="nil"/>
              <w:left w:val="nil"/>
              <w:bottom w:val="single" w:sz="8" w:space="0" w:color="000000"/>
              <w:right w:val="single" w:sz="8" w:space="0" w:color="000000"/>
            </w:tcBorders>
            <w:tcMar>
              <w:top w:w="0" w:type="dxa"/>
              <w:left w:w="108" w:type="dxa"/>
              <w:bottom w:w="0" w:type="dxa"/>
              <w:right w:w="108" w:type="dxa"/>
            </w:tcMar>
          </w:tcPr>
          <w:p w14:paraId="045497A2" w14:textId="77777777" w:rsidR="00A903B5" w:rsidRPr="0028273C" w:rsidRDefault="00A903B5" w:rsidP="00735457">
            <w:pPr>
              <w:keepNext/>
              <w:rPr>
                <w:szCs w:val="22"/>
                <w:lang w:val="cs-CZ"/>
              </w:rPr>
            </w:pPr>
            <w:proofErr w:type="spellStart"/>
            <w:r w:rsidRPr="0028273C">
              <w:rPr>
                <w:snapToGrid w:val="0"/>
                <w:szCs w:val="22"/>
                <w:lang w:val="cs-CZ"/>
              </w:rPr>
              <w:t>Erytém</w:t>
            </w:r>
            <w:r w:rsidR="003B3A5D">
              <w:rPr>
                <w:szCs w:val="22"/>
                <w:vertAlign w:val="superscript"/>
                <w:lang w:val="cs-CZ"/>
              </w:rPr>
              <w:t>c</w:t>
            </w:r>
            <w:proofErr w:type="spellEnd"/>
            <w:r w:rsidRPr="0028273C">
              <w:rPr>
                <w:snapToGrid w:val="0"/>
                <w:szCs w:val="22"/>
                <w:lang w:val="cs-CZ"/>
              </w:rPr>
              <w:t xml:space="preserve">, </w:t>
            </w:r>
            <w:proofErr w:type="spellStart"/>
            <w:r w:rsidRPr="0028273C">
              <w:rPr>
                <w:snapToGrid w:val="0"/>
                <w:szCs w:val="22"/>
                <w:lang w:val="cs-CZ"/>
              </w:rPr>
              <w:t>vyrážka</w:t>
            </w:r>
            <w:r w:rsidR="003B3A5D">
              <w:rPr>
                <w:snapToGrid w:val="0"/>
                <w:szCs w:val="22"/>
                <w:vertAlign w:val="superscript"/>
                <w:lang w:val="cs-CZ"/>
              </w:rPr>
              <w:t>d</w:t>
            </w:r>
            <w:proofErr w:type="spellEnd"/>
          </w:p>
        </w:tc>
        <w:tc>
          <w:tcPr>
            <w:tcW w:w="2372" w:type="dxa"/>
            <w:tcBorders>
              <w:top w:val="nil"/>
              <w:left w:val="nil"/>
              <w:bottom w:val="single" w:sz="8" w:space="0" w:color="000000"/>
              <w:right w:val="single" w:sz="8" w:space="0" w:color="000000"/>
            </w:tcBorders>
            <w:tcMar>
              <w:top w:w="0" w:type="dxa"/>
              <w:left w:w="108" w:type="dxa"/>
              <w:bottom w:w="0" w:type="dxa"/>
              <w:right w:w="108" w:type="dxa"/>
            </w:tcMar>
          </w:tcPr>
          <w:p w14:paraId="3C49D6D4" w14:textId="77777777" w:rsidR="00A903B5" w:rsidRPr="0028273C" w:rsidRDefault="00A903B5" w:rsidP="00735457">
            <w:pPr>
              <w:rPr>
                <w:lang w:val="cs-CZ"/>
              </w:rPr>
            </w:pPr>
            <w:r w:rsidRPr="0028273C">
              <w:rPr>
                <w:szCs w:val="22"/>
                <w:lang w:val="cs-CZ"/>
              </w:rPr>
              <w:t>Časté</w:t>
            </w:r>
          </w:p>
        </w:tc>
      </w:tr>
      <w:tr w:rsidR="00A903B5" w:rsidRPr="0028273C" w14:paraId="4FBBC7CA" w14:textId="77777777" w:rsidTr="00E84A61">
        <w:trPr>
          <w:trHeight w:val="345"/>
        </w:trPr>
        <w:tc>
          <w:tcPr>
            <w:tcW w:w="3935" w:type="dxa"/>
            <w:vMerge/>
            <w:tcBorders>
              <w:left w:val="single" w:sz="8" w:space="0" w:color="000000"/>
              <w:bottom w:val="single" w:sz="8" w:space="0" w:color="000000"/>
              <w:right w:val="single" w:sz="8" w:space="0" w:color="000000"/>
            </w:tcBorders>
            <w:tcMar>
              <w:top w:w="0" w:type="dxa"/>
              <w:left w:w="108" w:type="dxa"/>
              <w:bottom w:w="0" w:type="dxa"/>
              <w:right w:w="108" w:type="dxa"/>
            </w:tcMar>
          </w:tcPr>
          <w:p w14:paraId="197855A5" w14:textId="77777777" w:rsidR="00A903B5" w:rsidRPr="0028273C" w:rsidRDefault="00A903B5" w:rsidP="00735457">
            <w:pPr>
              <w:keepNext/>
              <w:rPr>
                <w:b/>
                <w:bCs/>
                <w:szCs w:val="22"/>
                <w:lang w:val="cs-CZ"/>
              </w:rPr>
            </w:pPr>
          </w:p>
        </w:tc>
        <w:tc>
          <w:tcPr>
            <w:tcW w:w="2636" w:type="dxa"/>
            <w:tcBorders>
              <w:top w:val="nil"/>
              <w:left w:val="nil"/>
              <w:bottom w:val="single" w:sz="8" w:space="0" w:color="000000"/>
              <w:right w:val="single" w:sz="8" w:space="0" w:color="000000"/>
            </w:tcBorders>
            <w:tcMar>
              <w:top w:w="0" w:type="dxa"/>
              <w:left w:w="108" w:type="dxa"/>
              <w:bottom w:w="0" w:type="dxa"/>
              <w:right w:w="108" w:type="dxa"/>
            </w:tcMar>
          </w:tcPr>
          <w:p w14:paraId="387A4A5F" w14:textId="77777777" w:rsidR="00A903B5" w:rsidRPr="0028273C" w:rsidRDefault="00214838" w:rsidP="00735457">
            <w:pPr>
              <w:keepNext/>
              <w:rPr>
                <w:szCs w:val="22"/>
                <w:lang w:val="cs-CZ"/>
              </w:rPr>
            </w:pPr>
            <w:r>
              <w:rPr>
                <w:snapToGrid w:val="0"/>
                <w:szCs w:val="22"/>
                <w:lang w:val="cs-CZ"/>
              </w:rPr>
              <w:t>Pruritus</w:t>
            </w:r>
          </w:p>
        </w:tc>
        <w:tc>
          <w:tcPr>
            <w:tcW w:w="2372" w:type="dxa"/>
            <w:tcBorders>
              <w:top w:val="nil"/>
              <w:left w:val="nil"/>
              <w:bottom w:val="single" w:sz="8" w:space="0" w:color="000000"/>
              <w:right w:val="single" w:sz="8" w:space="0" w:color="000000"/>
            </w:tcBorders>
            <w:tcMar>
              <w:top w:w="0" w:type="dxa"/>
              <w:left w:w="108" w:type="dxa"/>
              <w:bottom w:w="0" w:type="dxa"/>
              <w:right w:w="108" w:type="dxa"/>
            </w:tcMar>
          </w:tcPr>
          <w:p w14:paraId="4683F787" w14:textId="77777777" w:rsidR="00A903B5" w:rsidRPr="0028273C" w:rsidRDefault="00A903B5" w:rsidP="00735457">
            <w:pPr>
              <w:pStyle w:val="Default"/>
              <w:keepNext/>
              <w:rPr>
                <w:color w:val="auto"/>
                <w:sz w:val="22"/>
                <w:szCs w:val="22"/>
                <w:lang w:val="cs-CZ"/>
              </w:rPr>
            </w:pPr>
            <w:r w:rsidRPr="0028273C">
              <w:rPr>
                <w:color w:val="auto"/>
                <w:sz w:val="22"/>
                <w:szCs w:val="22"/>
                <w:lang w:val="cs-CZ"/>
              </w:rPr>
              <w:t>Méně časté</w:t>
            </w:r>
          </w:p>
        </w:tc>
      </w:tr>
      <w:tr w:rsidR="00A903B5" w:rsidRPr="0028273C" w14:paraId="1AB4F83A" w14:textId="77777777" w:rsidTr="00E84A61">
        <w:trPr>
          <w:trHeight w:val="345"/>
        </w:trPr>
        <w:tc>
          <w:tcPr>
            <w:tcW w:w="39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1EC70BD" w14:textId="77777777" w:rsidR="00A903B5" w:rsidRPr="0028273C" w:rsidRDefault="00A903B5" w:rsidP="00735457">
            <w:pPr>
              <w:keepNext/>
              <w:rPr>
                <w:rFonts w:eastAsia="Calibri"/>
                <w:szCs w:val="22"/>
                <w:lang w:val="cs-CZ"/>
              </w:rPr>
            </w:pPr>
            <w:r w:rsidRPr="0028273C">
              <w:rPr>
                <w:b/>
                <w:bCs/>
                <w:szCs w:val="22"/>
                <w:lang w:val="cs-CZ"/>
              </w:rPr>
              <w:t>Celkové poruchy a reakce v místě aplikace</w:t>
            </w:r>
          </w:p>
        </w:tc>
        <w:tc>
          <w:tcPr>
            <w:tcW w:w="2636" w:type="dxa"/>
            <w:tcBorders>
              <w:top w:val="nil"/>
              <w:left w:val="nil"/>
              <w:bottom w:val="single" w:sz="8" w:space="0" w:color="000000"/>
              <w:right w:val="single" w:sz="8" w:space="0" w:color="000000"/>
            </w:tcBorders>
            <w:tcMar>
              <w:top w:w="0" w:type="dxa"/>
              <w:left w:w="108" w:type="dxa"/>
              <w:bottom w:w="0" w:type="dxa"/>
              <w:right w:w="108" w:type="dxa"/>
            </w:tcMar>
          </w:tcPr>
          <w:p w14:paraId="16ADF321" w14:textId="77777777" w:rsidR="00A903B5" w:rsidRPr="0028273C" w:rsidRDefault="00A903B5" w:rsidP="00735457">
            <w:pPr>
              <w:keepNext/>
              <w:rPr>
                <w:rFonts w:eastAsia="Calibri"/>
                <w:szCs w:val="22"/>
                <w:lang w:val="cs-CZ"/>
              </w:rPr>
            </w:pPr>
            <w:r w:rsidRPr="0028273C">
              <w:rPr>
                <w:szCs w:val="22"/>
                <w:lang w:val="cs-CZ"/>
              </w:rPr>
              <w:t xml:space="preserve">Reakce v místě podání </w:t>
            </w:r>
            <w:proofErr w:type="spellStart"/>
            <w:r w:rsidRPr="0028273C">
              <w:rPr>
                <w:szCs w:val="22"/>
                <w:lang w:val="cs-CZ"/>
              </w:rPr>
              <w:t>injekce</w:t>
            </w:r>
            <w:r w:rsidR="003B3A5D">
              <w:rPr>
                <w:szCs w:val="22"/>
                <w:vertAlign w:val="superscript"/>
                <w:lang w:val="cs-CZ"/>
              </w:rPr>
              <w:t>b</w:t>
            </w:r>
            <w:proofErr w:type="spellEnd"/>
            <w:r w:rsidRPr="0028273C">
              <w:rPr>
                <w:szCs w:val="22"/>
                <w:lang w:val="cs-CZ"/>
              </w:rPr>
              <w:t xml:space="preserve">, </w:t>
            </w:r>
            <w:r w:rsidRPr="0028273C">
              <w:rPr>
                <w:snapToGrid w:val="0"/>
                <w:szCs w:val="22"/>
                <w:lang w:val="cs-CZ"/>
              </w:rPr>
              <w:t>pyrexie</w:t>
            </w:r>
          </w:p>
        </w:tc>
        <w:tc>
          <w:tcPr>
            <w:tcW w:w="2372" w:type="dxa"/>
            <w:tcBorders>
              <w:top w:val="nil"/>
              <w:left w:val="nil"/>
              <w:bottom w:val="single" w:sz="8" w:space="0" w:color="000000"/>
              <w:right w:val="single" w:sz="8" w:space="0" w:color="000000"/>
            </w:tcBorders>
            <w:tcMar>
              <w:top w:w="0" w:type="dxa"/>
              <w:left w:w="108" w:type="dxa"/>
              <w:bottom w:w="0" w:type="dxa"/>
              <w:right w:w="108" w:type="dxa"/>
            </w:tcMar>
          </w:tcPr>
          <w:p w14:paraId="2A550531" w14:textId="77777777" w:rsidR="00A903B5" w:rsidRPr="0028273C" w:rsidRDefault="00A903B5" w:rsidP="00735457">
            <w:pPr>
              <w:pStyle w:val="Default"/>
              <w:keepNext/>
              <w:rPr>
                <w:color w:val="auto"/>
                <w:sz w:val="22"/>
                <w:szCs w:val="22"/>
                <w:lang w:val="cs-CZ"/>
              </w:rPr>
            </w:pPr>
            <w:r w:rsidRPr="0028273C">
              <w:rPr>
                <w:color w:val="auto"/>
                <w:sz w:val="22"/>
                <w:szCs w:val="22"/>
                <w:lang w:val="cs-CZ"/>
              </w:rPr>
              <w:t>Časté</w:t>
            </w:r>
          </w:p>
        </w:tc>
      </w:tr>
    </w:tbl>
    <w:p w14:paraId="4DABC1E7" w14:textId="359050CC" w:rsidR="00E84A61" w:rsidRPr="0005661C" w:rsidRDefault="00E84A61" w:rsidP="00735457">
      <w:pPr>
        <w:tabs>
          <w:tab w:val="clear" w:pos="567"/>
        </w:tabs>
        <w:ind w:left="284" w:hanging="284"/>
        <w:contextualSpacing/>
        <w:rPr>
          <w:rFonts w:eastAsia="Calibri"/>
          <w:bCs/>
          <w:sz w:val="20"/>
          <w:vertAlign w:val="superscript"/>
          <w:lang w:val="cs-CZ" w:eastAsia="en-US" w:bidi="en-US"/>
        </w:rPr>
      </w:pPr>
      <w:r w:rsidRPr="0005661C">
        <w:rPr>
          <w:bCs/>
          <w:sz w:val="20"/>
          <w:lang w:val="cs-CZ"/>
        </w:rPr>
        <w:t>PTP</w:t>
      </w:r>
      <w:r w:rsidR="00810A03" w:rsidRPr="0005661C">
        <w:rPr>
          <w:bCs/>
          <w:sz w:val="20"/>
          <w:lang w:val="cs-CZ"/>
        </w:rPr>
        <w:t>:</w:t>
      </w:r>
      <w:r w:rsidRPr="0005661C">
        <w:rPr>
          <w:bCs/>
          <w:sz w:val="20"/>
          <w:lang w:val="cs-CZ"/>
        </w:rPr>
        <w:t xml:space="preserve"> dříve léčení pacienti</w:t>
      </w:r>
    </w:p>
    <w:p w14:paraId="2BA3913A" w14:textId="32C26746" w:rsidR="00307438" w:rsidRPr="0005661C" w:rsidRDefault="003B3A5D" w:rsidP="00735457">
      <w:pPr>
        <w:tabs>
          <w:tab w:val="clear" w:pos="567"/>
        </w:tabs>
        <w:ind w:left="284" w:hanging="284"/>
        <w:contextualSpacing/>
        <w:rPr>
          <w:rFonts w:eastAsia="Calibri"/>
          <w:bCs/>
          <w:sz w:val="20"/>
          <w:lang w:val="cs-CZ" w:eastAsia="en-US" w:bidi="en-US"/>
        </w:rPr>
      </w:pPr>
      <w:r w:rsidRPr="0005661C">
        <w:rPr>
          <w:rFonts w:eastAsia="Calibri"/>
          <w:bCs/>
          <w:sz w:val="20"/>
          <w:vertAlign w:val="superscript"/>
          <w:lang w:val="cs-CZ" w:eastAsia="en-US" w:bidi="en-US"/>
        </w:rPr>
        <w:t>a</w:t>
      </w:r>
      <w:r w:rsidR="00A903B5" w:rsidRPr="0005661C">
        <w:rPr>
          <w:bCs/>
          <w:sz w:val="20"/>
          <w:lang w:val="cs-CZ"/>
        </w:rPr>
        <w:t xml:space="preserve"> </w:t>
      </w:r>
      <w:r w:rsidR="0005094B" w:rsidRPr="0005661C">
        <w:rPr>
          <w:bCs/>
          <w:sz w:val="20"/>
          <w:lang w:val="cs-CZ"/>
        </w:rPr>
        <w:t xml:space="preserve">Frekvence </w:t>
      </w:r>
      <w:r w:rsidR="00A903B5" w:rsidRPr="0005661C">
        <w:rPr>
          <w:bCs/>
          <w:sz w:val="20"/>
          <w:lang w:val="cs-CZ"/>
        </w:rPr>
        <w:t>vychází ze studií se všemi přípravky s faktorem VIII, které zahrnovaly pacienty se závažnou hemofilií A.</w:t>
      </w:r>
    </w:p>
    <w:p w14:paraId="3D0734D6" w14:textId="2060C2D0" w:rsidR="00D73925" w:rsidRPr="0005661C" w:rsidRDefault="003B3A5D" w:rsidP="00735457">
      <w:pPr>
        <w:pStyle w:val="BayerBodyTextFull"/>
        <w:spacing w:before="0" w:after="0"/>
        <w:rPr>
          <w:sz w:val="20"/>
          <w:highlight w:val="green"/>
          <w:lang w:val="cs-CZ"/>
        </w:rPr>
      </w:pPr>
      <w:r w:rsidRPr="0005661C">
        <w:rPr>
          <w:sz w:val="20"/>
          <w:vertAlign w:val="superscript"/>
          <w:lang w:val="cs-CZ"/>
        </w:rPr>
        <w:t>b</w:t>
      </w:r>
      <w:r w:rsidR="009C15D1" w:rsidRPr="0005661C">
        <w:rPr>
          <w:sz w:val="20"/>
          <w:lang w:val="cs-CZ"/>
        </w:rPr>
        <w:t xml:space="preserve"> </w:t>
      </w:r>
      <w:r w:rsidR="00040225" w:rsidRPr="0005661C">
        <w:rPr>
          <w:sz w:val="20"/>
          <w:lang w:val="cs-CZ"/>
        </w:rPr>
        <w:t xml:space="preserve">Patří </w:t>
      </w:r>
      <w:r w:rsidR="009C15D1" w:rsidRPr="0005661C">
        <w:rPr>
          <w:sz w:val="20"/>
          <w:lang w:val="cs-CZ"/>
        </w:rPr>
        <w:t>sem svědění v místě podání injekce, vyrážka v místě podání injekce</w:t>
      </w:r>
      <w:r w:rsidR="000273BD" w:rsidRPr="0005661C">
        <w:rPr>
          <w:sz w:val="20"/>
          <w:lang w:val="cs-CZ"/>
        </w:rPr>
        <w:t xml:space="preserve">, bolest v místě </w:t>
      </w:r>
      <w:proofErr w:type="spellStart"/>
      <w:r w:rsidR="0069045D">
        <w:rPr>
          <w:sz w:val="20"/>
          <w:lang w:val="cs-CZ"/>
        </w:rPr>
        <w:t>infuze</w:t>
      </w:r>
      <w:r w:rsidR="009C15D1" w:rsidRPr="0005661C">
        <w:rPr>
          <w:sz w:val="20"/>
          <w:lang w:val="cs-CZ"/>
        </w:rPr>
        <w:t>a</w:t>
      </w:r>
      <w:proofErr w:type="spellEnd"/>
      <w:r w:rsidR="009C15D1" w:rsidRPr="0005661C">
        <w:rPr>
          <w:sz w:val="20"/>
          <w:lang w:val="cs-CZ"/>
        </w:rPr>
        <w:t xml:space="preserve"> propíchnutí cévy v místě podání </w:t>
      </w:r>
      <w:r w:rsidR="000B3FAC" w:rsidRPr="0005661C">
        <w:rPr>
          <w:sz w:val="20"/>
          <w:lang w:val="cs-CZ"/>
        </w:rPr>
        <w:t>injekce</w:t>
      </w:r>
      <w:r w:rsidR="009C15D1" w:rsidRPr="0005661C">
        <w:rPr>
          <w:sz w:val="20"/>
          <w:lang w:val="cs-CZ"/>
        </w:rPr>
        <w:t>, pruritus</w:t>
      </w:r>
    </w:p>
    <w:p w14:paraId="5882DC9E" w14:textId="19E83CAA" w:rsidR="00D73925" w:rsidRPr="0005661C" w:rsidRDefault="00040225" w:rsidP="00735457">
      <w:pPr>
        <w:pStyle w:val="BayerBodyTextFull"/>
        <w:spacing w:before="0" w:after="0"/>
        <w:rPr>
          <w:sz w:val="20"/>
          <w:lang w:val="cs-CZ"/>
        </w:rPr>
      </w:pPr>
      <w:r w:rsidRPr="0005661C">
        <w:rPr>
          <w:sz w:val="20"/>
          <w:vertAlign w:val="superscript"/>
          <w:lang w:val="cs-CZ"/>
        </w:rPr>
        <w:t>c</w:t>
      </w:r>
      <w:r w:rsidR="008B2D67" w:rsidRPr="0005661C">
        <w:rPr>
          <w:sz w:val="20"/>
          <w:vertAlign w:val="superscript"/>
          <w:lang w:val="cs-CZ"/>
        </w:rPr>
        <w:t> </w:t>
      </w:r>
      <w:r w:rsidRPr="0005661C">
        <w:rPr>
          <w:sz w:val="20"/>
          <w:lang w:val="cs-CZ"/>
        </w:rPr>
        <w:t xml:space="preserve">Patří </w:t>
      </w:r>
      <w:r w:rsidR="009C15D1" w:rsidRPr="0005661C">
        <w:rPr>
          <w:sz w:val="20"/>
          <w:lang w:val="cs-CZ"/>
        </w:rPr>
        <w:t xml:space="preserve">sem erytém a </w:t>
      </w:r>
      <w:proofErr w:type="spellStart"/>
      <w:r w:rsidR="009C15D1" w:rsidRPr="0005661C">
        <w:rPr>
          <w:sz w:val="20"/>
          <w:lang w:val="cs-CZ"/>
        </w:rPr>
        <w:t>erythema</w:t>
      </w:r>
      <w:proofErr w:type="spellEnd"/>
      <w:r w:rsidR="009C15D1" w:rsidRPr="0005661C">
        <w:rPr>
          <w:sz w:val="20"/>
          <w:lang w:val="cs-CZ"/>
        </w:rPr>
        <w:t xml:space="preserve"> </w:t>
      </w:r>
      <w:proofErr w:type="spellStart"/>
      <w:r w:rsidR="009C15D1" w:rsidRPr="0005661C">
        <w:rPr>
          <w:sz w:val="20"/>
          <w:lang w:val="cs-CZ"/>
        </w:rPr>
        <w:t>multiforme</w:t>
      </w:r>
      <w:proofErr w:type="spellEnd"/>
    </w:p>
    <w:p w14:paraId="2F56824D" w14:textId="348FAA16" w:rsidR="009D1C42" w:rsidRPr="0005661C" w:rsidRDefault="00040225" w:rsidP="00735457">
      <w:pPr>
        <w:tabs>
          <w:tab w:val="clear" w:pos="567"/>
        </w:tabs>
        <w:rPr>
          <w:sz w:val="20"/>
          <w:lang w:val="cs-CZ"/>
        </w:rPr>
      </w:pPr>
      <w:r w:rsidRPr="0005661C">
        <w:rPr>
          <w:sz w:val="20"/>
          <w:vertAlign w:val="superscript"/>
          <w:lang w:val="cs-CZ"/>
        </w:rPr>
        <w:t>d</w:t>
      </w:r>
      <w:r w:rsidR="008B2D67" w:rsidRPr="0005661C">
        <w:rPr>
          <w:sz w:val="20"/>
          <w:vertAlign w:val="superscript"/>
          <w:lang w:val="cs-CZ"/>
        </w:rPr>
        <w:t> </w:t>
      </w:r>
      <w:r w:rsidRPr="0005661C">
        <w:rPr>
          <w:sz w:val="20"/>
          <w:lang w:val="cs-CZ"/>
        </w:rPr>
        <w:t xml:space="preserve">Patří </w:t>
      </w:r>
      <w:r w:rsidR="009C15D1" w:rsidRPr="0005661C">
        <w:rPr>
          <w:sz w:val="20"/>
          <w:lang w:val="cs-CZ"/>
        </w:rPr>
        <w:t xml:space="preserve">sem vyrážka a </w:t>
      </w:r>
      <w:proofErr w:type="spellStart"/>
      <w:r w:rsidR="009C15D1" w:rsidRPr="0005661C">
        <w:rPr>
          <w:sz w:val="20"/>
          <w:lang w:val="cs-CZ"/>
        </w:rPr>
        <w:t>papulární</w:t>
      </w:r>
      <w:proofErr w:type="spellEnd"/>
      <w:r w:rsidR="009C15D1" w:rsidRPr="0005661C">
        <w:rPr>
          <w:sz w:val="20"/>
          <w:lang w:val="cs-CZ"/>
        </w:rPr>
        <w:t xml:space="preserve"> vyrážka</w:t>
      </w:r>
    </w:p>
    <w:p w14:paraId="24D182D7" w14:textId="77777777" w:rsidR="003B3A5D" w:rsidRDefault="003B3A5D" w:rsidP="00735457">
      <w:pPr>
        <w:tabs>
          <w:tab w:val="clear" w:pos="567"/>
        </w:tabs>
        <w:rPr>
          <w:szCs w:val="22"/>
          <w:lang w:val="cs-CZ"/>
        </w:rPr>
      </w:pPr>
    </w:p>
    <w:p w14:paraId="149534CB" w14:textId="33A189AA" w:rsidR="003B3A5D" w:rsidRPr="0028273C" w:rsidRDefault="003B3A5D" w:rsidP="00735457">
      <w:pPr>
        <w:tabs>
          <w:tab w:val="clear" w:pos="567"/>
        </w:tabs>
        <w:rPr>
          <w:szCs w:val="22"/>
          <w:lang w:val="cs-CZ"/>
        </w:rPr>
      </w:pPr>
      <w:r>
        <w:rPr>
          <w:szCs w:val="22"/>
          <w:lang w:val="cs-CZ"/>
        </w:rPr>
        <w:t>Během</w:t>
      </w:r>
      <w:r w:rsidR="0019660F">
        <w:rPr>
          <w:szCs w:val="22"/>
          <w:lang w:val="cs-CZ"/>
        </w:rPr>
        <w:t xml:space="preserve"> </w:t>
      </w:r>
      <w:r w:rsidR="00913CC0">
        <w:rPr>
          <w:szCs w:val="22"/>
          <w:lang w:val="cs-CZ"/>
        </w:rPr>
        <w:t xml:space="preserve">studie </w:t>
      </w:r>
      <w:r w:rsidR="0019660F">
        <w:rPr>
          <w:szCs w:val="22"/>
          <w:lang w:val="cs-CZ"/>
        </w:rPr>
        <w:t xml:space="preserve">PROTECT </w:t>
      </w:r>
      <w:r w:rsidR="00481F7C">
        <w:rPr>
          <w:szCs w:val="22"/>
          <w:lang w:val="cs-CZ"/>
        </w:rPr>
        <w:t>V</w:t>
      </w:r>
      <w:r w:rsidR="0019660F">
        <w:rPr>
          <w:szCs w:val="22"/>
          <w:lang w:val="cs-CZ"/>
        </w:rPr>
        <w:t>III a pediatrických</w:t>
      </w:r>
      <w:r>
        <w:rPr>
          <w:szCs w:val="22"/>
          <w:lang w:val="cs-CZ"/>
        </w:rPr>
        <w:t xml:space="preserve"> prodloužen</w:t>
      </w:r>
      <w:r w:rsidR="0019660F">
        <w:rPr>
          <w:szCs w:val="22"/>
          <w:lang w:val="cs-CZ"/>
        </w:rPr>
        <w:t>ých</w:t>
      </w:r>
      <w:r>
        <w:rPr>
          <w:szCs w:val="22"/>
          <w:lang w:val="cs-CZ"/>
        </w:rPr>
        <w:t xml:space="preserve"> studi</w:t>
      </w:r>
      <w:r w:rsidR="0019660F">
        <w:rPr>
          <w:szCs w:val="22"/>
          <w:lang w:val="cs-CZ"/>
        </w:rPr>
        <w:t>í</w:t>
      </w:r>
      <w:r>
        <w:rPr>
          <w:szCs w:val="22"/>
          <w:lang w:val="cs-CZ"/>
        </w:rPr>
        <w:t xml:space="preserve"> </w:t>
      </w:r>
      <w:r w:rsidR="00243A2A">
        <w:rPr>
          <w:szCs w:val="22"/>
          <w:lang w:val="cs-CZ"/>
        </w:rPr>
        <w:t xml:space="preserve">PROTECT </w:t>
      </w:r>
      <w:proofErr w:type="spellStart"/>
      <w:r w:rsidR="00243A2A">
        <w:rPr>
          <w:szCs w:val="22"/>
          <w:lang w:val="cs-CZ"/>
        </w:rPr>
        <w:t>Kids</w:t>
      </w:r>
      <w:proofErr w:type="spellEnd"/>
      <w:r w:rsidR="00243A2A">
        <w:rPr>
          <w:szCs w:val="22"/>
          <w:lang w:val="cs-CZ"/>
        </w:rPr>
        <w:t xml:space="preserve"> </w:t>
      </w:r>
      <w:r>
        <w:rPr>
          <w:szCs w:val="22"/>
          <w:lang w:val="cs-CZ"/>
        </w:rPr>
        <w:t>nedošlo ke změně bezpečnostního profilu.</w:t>
      </w:r>
    </w:p>
    <w:p w14:paraId="3B171C8C" w14:textId="77777777" w:rsidR="00D73925" w:rsidRPr="0028273C" w:rsidRDefault="00D73925" w:rsidP="00735457">
      <w:pPr>
        <w:tabs>
          <w:tab w:val="clear" w:pos="567"/>
        </w:tabs>
        <w:rPr>
          <w:szCs w:val="22"/>
          <w:lang w:val="cs-CZ"/>
        </w:rPr>
      </w:pPr>
    </w:p>
    <w:p w14:paraId="00AF07AC" w14:textId="77777777" w:rsidR="00DD6503" w:rsidRPr="0028273C" w:rsidRDefault="00FE4EEB" w:rsidP="00735457">
      <w:pPr>
        <w:keepNext/>
        <w:tabs>
          <w:tab w:val="clear" w:pos="567"/>
        </w:tabs>
        <w:rPr>
          <w:szCs w:val="22"/>
          <w:u w:val="single"/>
          <w:lang w:val="cs-CZ"/>
        </w:rPr>
      </w:pPr>
      <w:r w:rsidRPr="0028273C">
        <w:rPr>
          <w:szCs w:val="22"/>
          <w:u w:val="single"/>
          <w:lang w:val="cs-CZ"/>
        </w:rPr>
        <w:t>Popis vybraných nežádoucích účinků</w:t>
      </w:r>
    </w:p>
    <w:p w14:paraId="55C5F8AC" w14:textId="77777777" w:rsidR="00A043AF" w:rsidRPr="0028273C" w:rsidRDefault="00A043AF" w:rsidP="00735457">
      <w:pPr>
        <w:keepNext/>
        <w:tabs>
          <w:tab w:val="clear" w:pos="567"/>
        </w:tabs>
        <w:rPr>
          <w:szCs w:val="22"/>
          <w:lang w:val="cs-CZ"/>
        </w:rPr>
      </w:pPr>
    </w:p>
    <w:p w14:paraId="26E1B840" w14:textId="364A3F65" w:rsidR="00A043AF" w:rsidRPr="0028273C" w:rsidRDefault="00425707" w:rsidP="00735457">
      <w:pPr>
        <w:keepNext/>
        <w:tabs>
          <w:tab w:val="clear" w:pos="567"/>
        </w:tabs>
        <w:rPr>
          <w:i/>
          <w:szCs w:val="22"/>
          <w:lang w:val="cs-CZ"/>
        </w:rPr>
      </w:pPr>
      <w:proofErr w:type="spellStart"/>
      <w:r w:rsidRPr="0028273C">
        <w:rPr>
          <w:i/>
          <w:lang w:val="cs-CZ"/>
        </w:rPr>
        <w:t>Imunogenita</w:t>
      </w:r>
      <w:proofErr w:type="spellEnd"/>
    </w:p>
    <w:p w14:paraId="3C66456B" w14:textId="067CEAD5" w:rsidR="00A043AF" w:rsidRPr="0028273C" w:rsidRDefault="00424D46" w:rsidP="00735457">
      <w:pPr>
        <w:keepNext/>
        <w:tabs>
          <w:tab w:val="clear" w:pos="567"/>
        </w:tabs>
        <w:rPr>
          <w:i/>
          <w:szCs w:val="22"/>
          <w:highlight w:val="green"/>
          <w:lang w:val="cs-CZ" w:eastAsia="en-US"/>
        </w:rPr>
      </w:pPr>
      <w:proofErr w:type="spellStart"/>
      <w:r w:rsidRPr="0028273C">
        <w:rPr>
          <w:szCs w:val="22"/>
          <w:bdr w:val="nil"/>
          <w:lang w:val="cs-CZ" w:eastAsia="en-US"/>
        </w:rPr>
        <w:t>Imunogenita</w:t>
      </w:r>
      <w:proofErr w:type="spellEnd"/>
      <w:r w:rsidRPr="0028273C">
        <w:rPr>
          <w:szCs w:val="22"/>
          <w:bdr w:val="nil"/>
          <w:lang w:val="cs-CZ" w:eastAsia="en-US"/>
        </w:rPr>
        <w:t xml:space="preserve"> byla hodnocena během klinických studií s přípravkem </w:t>
      </w:r>
      <w:proofErr w:type="spellStart"/>
      <w:r w:rsidRPr="0028273C">
        <w:rPr>
          <w:szCs w:val="22"/>
          <w:bdr w:val="nil"/>
          <w:lang w:val="cs-CZ" w:eastAsia="en-US"/>
        </w:rPr>
        <w:t>Jivi</w:t>
      </w:r>
      <w:proofErr w:type="spellEnd"/>
      <w:r w:rsidRPr="0028273C">
        <w:rPr>
          <w:szCs w:val="22"/>
          <w:bdr w:val="nil"/>
          <w:lang w:val="cs-CZ" w:eastAsia="en-US"/>
        </w:rPr>
        <w:t xml:space="preserve"> u </w:t>
      </w:r>
      <w:r w:rsidR="00956287" w:rsidRPr="0028273C">
        <w:rPr>
          <w:szCs w:val="22"/>
          <w:bdr w:val="nil"/>
          <w:lang w:val="cs-CZ" w:eastAsia="en-US"/>
        </w:rPr>
        <w:t xml:space="preserve">159 </w:t>
      </w:r>
      <w:r w:rsidRPr="0028273C">
        <w:rPr>
          <w:szCs w:val="22"/>
          <w:bdr w:val="nil"/>
          <w:lang w:val="cs-CZ" w:eastAsia="en-US"/>
        </w:rPr>
        <w:t>(včetně pacientů s</w:t>
      </w:r>
      <w:r w:rsidR="00C025C7">
        <w:rPr>
          <w:szCs w:val="22"/>
          <w:bdr w:val="nil"/>
          <w:lang w:val="cs-CZ" w:eastAsia="en-US"/>
        </w:rPr>
        <w:t> </w:t>
      </w:r>
      <w:r w:rsidRPr="0028273C">
        <w:rPr>
          <w:szCs w:val="22"/>
          <w:bdr w:val="nil"/>
          <w:lang w:val="cs-CZ" w:eastAsia="en-US"/>
        </w:rPr>
        <w:t>chirurgickým</w:t>
      </w:r>
      <w:r w:rsidR="00C025C7">
        <w:rPr>
          <w:szCs w:val="22"/>
          <w:bdr w:val="nil"/>
          <w:lang w:val="cs-CZ" w:eastAsia="en-US"/>
        </w:rPr>
        <w:t xml:space="preserve"> výkonem</w:t>
      </w:r>
      <w:r w:rsidRPr="0028273C">
        <w:rPr>
          <w:szCs w:val="22"/>
          <w:bdr w:val="nil"/>
          <w:lang w:val="cs-CZ" w:eastAsia="en-US"/>
        </w:rPr>
        <w:t>) dříve léčených dospívajících (</w:t>
      </w:r>
      <w:r w:rsidR="00690792">
        <w:rPr>
          <w:szCs w:val="22"/>
          <w:bdr w:val="nil"/>
          <w:lang w:val="cs-CZ" w:eastAsia="en-US"/>
        </w:rPr>
        <w:t xml:space="preserve">ve věku </w:t>
      </w:r>
      <w:r w:rsidRPr="0028273C">
        <w:rPr>
          <w:szCs w:val="22"/>
          <w:bdr w:val="nil"/>
          <w:lang w:val="cs-CZ" w:eastAsia="en-US"/>
        </w:rPr>
        <w:t>≥</w:t>
      </w:r>
      <w:r w:rsidR="00243A2A">
        <w:rPr>
          <w:szCs w:val="22"/>
          <w:bdr w:val="nil"/>
          <w:lang w:val="cs-CZ" w:eastAsia="en-US"/>
        </w:rPr>
        <w:t> </w:t>
      </w:r>
      <w:r w:rsidRPr="0028273C">
        <w:rPr>
          <w:szCs w:val="22"/>
          <w:bdr w:val="nil"/>
          <w:lang w:val="cs-CZ" w:eastAsia="en-US"/>
        </w:rPr>
        <w:t>12 </w:t>
      </w:r>
      <w:r w:rsidR="00243A2A">
        <w:rPr>
          <w:szCs w:val="22"/>
          <w:bdr w:val="nil"/>
          <w:lang w:val="cs-CZ" w:eastAsia="en-US"/>
        </w:rPr>
        <w:t>až</w:t>
      </w:r>
      <w:r w:rsidR="00431332" w:rsidRPr="00331C04">
        <w:rPr>
          <w:lang w:val="cs-CZ"/>
        </w:rPr>
        <w:t> </w:t>
      </w:r>
      <w:proofErr w:type="gramStart"/>
      <w:r w:rsidR="00431332" w:rsidRPr="00331C04">
        <w:rPr>
          <w:lang w:val="cs-CZ"/>
        </w:rPr>
        <w:t>&lt; 18</w:t>
      </w:r>
      <w:proofErr w:type="gramEnd"/>
      <w:r w:rsidR="00431332" w:rsidRPr="00331C04">
        <w:rPr>
          <w:lang w:val="cs-CZ"/>
        </w:rPr>
        <w:t> </w:t>
      </w:r>
      <w:r w:rsidRPr="0028273C">
        <w:rPr>
          <w:szCs w:val="22"/>
          <w:bdr w:val="nil"/>
          <w:lang w:val="cs-CZ" w:eastAsia="en-US"/>
        </w:rPr>
        <w:t>let</w:t>
      </w:r>
      <w:r w:rsidR="00431332">
        <w:rPr>
          <w:szCs w:val="22"/>
          <w:bdr w:val="nil"/>
          <w:lang w:val="cs-CZ" w:eastAsia="en-US"/>
        </w:rPr>
        <w:t>, n</w:t>
      </w:r>
      <w:r w:rsidR="00243A2A">
        <w:rPr>
          <w:szCs w:val="22"/>
          <w:bdr w:val="nil"/>
          <w:lang w:val="cs-CZ" w:eastAsia="en-US"/>
        </w:rPr>
        <w:t> </w:t>
      </w:r>
      <w:r w:rsidR="00431332">
        <w:rPr>
          <w:szCs w:val="22"/>
          <w:bdr w:val="nil"/>
          <w:lang w:val="cs-CZ" w:eastAsia="en-US"/>
        </w:rPr>
        <w:t>=</w:t>
      </w:r>
      <w:r w:rsidR="00243A2A">
        <w:rPr>
          <w:szCs w:val="22"/>
          <w:bdr w:val="nil"/>
          <w:lang w:val="cs-CZ" w:eastAsia="en-US"/>
        </w:rPr>
        <w:t> </w:t>
      </w:r>
      <w:r w:rsidR="00431332">
        <w:rPr>
          <w:szCs w:val="22"/>
          <w:bdr w:val="nil"/>
          <w:lang w:val="cs-CZ" w:eastAsia="en-US"/>
        </w:rPr>
        <w:t>14</w:t>
      </w:r>
      <w:r w:rsidRPr="0028273C">
        <w:rPr>
          <w:szCs w:val="22"/>
          <w:bdr w:val="nil"/>
          <w:lang w:val="cs-CZ" w:eastAsia="en-US"/>
        </w:rPr>
        <w:t xml:space="preserve">) a u </w:t>
      </w:r>
      <w:r w:rsidRPr="0028273C">
        <w:rPr>
          <w:szCs w:val="22"/>
          <w:bdr w:val="nil"/>
          <w:lang w:val="cs-CZ" w:eastAsia="en-US"/>
        </w:rPr>
        <w:lastRenderedPageBreak/>
        <w:t xml:space="preserve">dospělých </w:t>
      </w:r>
      <w:r w:rsidR="00431332">
        <w:rPr>
          <w:szCs w:val="22"/>
          <w:bdr w:val="nil"/>
          <w:lang w:val="cs-CZ" w:eastAsia="en-US"/>
        </w:rPr>
        <w:t>(n</w:t>
      </w:r>
      <w:r w:rsidR="00243A2A">
        <w:rPr>
          <w:szCs w:val="22"/>
          <w:bdr w:val="nil"/>
          <w:lang w:val="cs-CZ" w:eastAsia="en-US"/>
        </w:rPr>
        <w:t> </w:t>
      </w:r>
      <w:r w:rsidR="00431332">
        <w:rPr>
          <w:szCs w:val="22"/>
          <w:bdr w:val="nil"/>
          <w:lang w:val="cs-CZ" w:eastAsia="en-US"/>
        </w:rPr>
        <w:t>=</w:t>
      </w:r>
      <w:r w:rsidR="00243A2A">
        <w:rPr>
          <w:szCs w:val="22"/>
          <w:bdr w:val="nil"/>
          <w:lang w:val="cs-CZ" w:eastAsia="en-US"/>
        </w:rPr>
        <w:t> </w:t>
      </w:r>
      <w:r w:rsidR="00431332">
        <w:rPr>
          <w:szCs w:val="22"/>
          <w:bdr w:val="nil"/>
          <w:lang w:val="cs-CZ" w:eastAsia="en-US"/>
        </w:rPr>
        <w:t xml:space="preserve">145) </w:t>
      </w:r>
      <w:r w:rsidRPr="0028273C">
        <w:rPr>
          <w:szCs w:val="22"/>
          <w:bdr w:val="nil"/>
          <w:lang w:val="cs-CZ" w:eastAsia="en-US"/>
        </w:rPr>
        <w:t>s diagnózou těžké hemofilie A (FVIII</w:t>
      </w:r>
      <w:r w:rsidR="006562C4" w:rsidRPr="0028273C">
        <w:rPr>
          <w:szCs w:val="22"/>
          <w:bdr w:val="nil"/>
          <w:lang w:val="cs-CZ" w:eastAsia="en-US"/>
        </w:rPr>
        <w:t>:C</w:t>
      </w:r>
      <w:r w:rsidRPr="0028273C">
        <w:rPr>
          <w:szCs w:val="22"/>
          <w:bdr w:val="nil"/>
          <w:lang w:val="cs-CZ" w:eastAsia="en-US"/>
        </w:rPr>
        <w:t xml:space="preserve"> </w:t>
      </w:r>
      <w:proofErr w:type="gramStart"/>
      <w:r w:rsidRPr="0028273C">
        <w:rPr>
          <w:szCs w:val="22"/>
          <w:bdr w:val="nil"/>
          <w:lang w:val="cs-CZ" w:eastAsia="en-US"/>
        </w:rPr>
        <w:t>&lt;</w:t>
      </w:r>
      <w:r w:rsidR="00431332">
        <w:rPr>
          <w:szCs w:val="22"/>
          <w:bdr w:val="nil"/>
          <w:lang w:val="cs-CZ" w:eastAsia="en-US"/>
        </w:rPr>
        <w:t> </w:t>
      </w:r>
      <w:r w:rsidRPr="0028273C">
        <w:rPr>
          <w:szCs w:val="22"/>
          <w:bdr w:val="nil"/>
          <w:lang w:val="cs-CZ" w:eastAsia="en-US"/>
        </w:rPr>
        <w:t>1</w:t>
      </w:r>
      <w:proofErr w:type="gramEnd"/>
      <w:r w:rsidRPr="0028273C">
        <w:rPr>
          <w:szCs w:val="22"/>
          <w:bdr w:val="nil"/>
          <w:lang w:val="cs-CZ" w:eastAsia="en-US"/>
        </w:rPr>
        <w:t> %) a ≥</w:t>
      </w:r>
      <w:r w:rsidR="00431332">
        <w:rPr>
          <w:szCs w:val="22"/>
          <w:bdr w:val="nil"/>
          <w:lang w:val="cs-CZ" w:eastAsia="en-US"/>
        </w:rPr>
        <w:t> </w:t>
      </w:r>
      <w:r w:rsidRPr="0028273C">
        <w:rPr>
          <w:szCs w:val="22"/>
          <w:bdr w:val="nil"/>
          <w:lang w:val="cs-CZ" w:eastAsia="en-US"/>
        </w:rPr>
        <w:t>150</w:t>
      </w:r>
      <w:r w:rsidRPr="0028273C">
        <w:rPr>
          <w:bdr w:val="nil"/>
          <w:lang w:val="cs-CZ"/>
        </w:rPr>
        <w:t> </w:t>
      </w:r>
      <w:r w:rsidRPr="0028273C">
        <w:rPr>
          <w:szCs w:val="22"/>
          <w:bdr w:val="nil"/>
          <w:lang w:val="cs-CZ" w:eastAsia="en-US"/>
        </w:rPr>
        <w:t>dn</w:t>
      </w:r>
      <w:r w:rsidR="00243A2A">
        <w:rPr>
          <w:szCs w:val="22"/>
          <w:bdr w:val="nil"/>
          <w:lang w:val="cs-CZ" w:eastAsia="en-US"/>
        </w:rPr>
        <w:t>y</w:t>
      </w:r>
      <w:r w:rsidRPr="0028273C">
        <w:rPr>
          <w:szCs w:val="22"/>
          <w:bdr w:val="nil"/>
          <w:lang w:val="cs-CZ" w:eastAsia="en-US"/>
        </w:rPr>
        <w:t xml:space="preserve"> předchozí expozice</w:t>
      </w:r>
      <w:r w:rsidR="00146FF2">
        <w:rPr>
          <w:szCs w:val="22"/>
          <w:bdr w:val="nil"/>
          <w:lang w:val="cs-CZ" w:eastAsia="en-US"/>
        </w:rPr>
        <w:t xml:space="preserve"> a u 108 dříve léčených </w:t>
      </w:r>
      <w:r w:rsidR="00243A2A">
        <w:rPr>
          <w:szCs w:val="22"/>
          <w:bdr w:val="nil"/>
          <w:lang w:val="cs-CZ" w:eastAsia="en-US"/>
        </w:rPr>
        <w:t xml:space="preserve">pediatrických </w:t>
      </w:r>
      <w:r w:rsidR="00146FF2">
        <w:rPr>
          <w:szCs w:val="22"/>
          <w:bdr w:val="nil"/>
          <w:lang w:val="cs-CZ" w:eastAsia="en-US"/>
        </w:rPr>
        <w:t xml:space="preserve">pacientů ve věku </w:t>
      </w:r>
      <w:proofErr w:type="gramStart"/>
      <w:r w:rsidR="00146FF2" w:rsidRPr="00146FF2">
        <w:rPr>
          <w:szCs w:val="22"/>
          <w:bdr w:val="nil"/>
          <w:lang w:val="cs-CZ" w:eastAsia="en-US"/>
        </w:rPr>
        <w:t>&lt;</w:t>
      </w:r>
      <w:r w:rsidR="00146FF2">
        <w:rPr>
          <w:szCs w:val="22"/>
          <w:bdr w:val="nil"/>
          <w:lang w:val="cs-CZ" w:eastAsia="en-US"/>
        </w:rPr>
        <w:t> </w:t>
      </w:r>
      <w:r w:rsidR="00146FF2" w:rsidRPr="00146FF2">
        <w:rPr>
          <w:szCs w:val="22"/>
          <w:bdr w:val="nil"/>
          <w:lang w:val="cs-CZ" w:eastAsia="en-US"/>
        </w:rPr>
        <w:t>12</w:t>
      </w:r>
      <w:proofErr w:type="gramEnd"/>
      <w:r w:rsidR="00146FF2">
        <w:rPr>
          <w:szCs w:val="22"/>
          <w:bdr w:val="nil"/>
          <w:lang w:val="cs-CZ" w:eastAsia="en-US"/>
        </w:rPr>
        <w:t xml:space="preserve"> let </w:t>
      </w:r>
      <w:r w:rsidR="00146FF2" w:rsidRPr="00146FF2">
        <w:rPr>
          <w:szCs w:val="22"/>
          <w:bdr w:val="nil"/>
          <w:lang w:val="cs-CZ" w:eastAsia="en-US"/>
        </w:rPr>
        <w:t>(n</w:t>
      </w:r>
      <w:r w:rsidR="00243A2A">
        <w:rPr>
          <w:szCs w:val="22"/>
          <w:bdr w:val="nil"/>
          <w:lang w:val="cs-CZ" w:eastAsia="en-US"/>
        </w:rPr>
        <w:t> </w:t>
      </w:r>
      <w:r w:rsidR="00146FF2" w:rsidRPr="00146FF2">
        <w:rPr>
          <w:szCs w:val="22"/>
          <w:bdr w:val="nil"/>
          <w:lang w:val="cs-CZ" w:eastAsia="en-US"/>
        </w:rPr>
        <w:t>=</w:t>
      </w:r>
      <w:r w:rsidR="00243A2A">
        <w:rPr>
          <w:szCs w:val="22"/>
          <w:bdr w:val="nil"/>
          <w:lang w:val="cs-CZ" w:eastAsia="en-US"/>
        </w:rPr>
        <w:t> </w:t>
      </w:r>
      <w:r w:rsidR="00146FF2" w:rsidRPr="00146FF2">
        <w:rPr>
          <w:szCs w:val="22"/>
          <w:bdr w:val="nil"/>
          <w:lang w:val="cs-CZ" w:eastAsia="en-US"/>
        </w:rPr>
        <w:t xml:space="preserve">60 </w:t>
      </w:r>
      <w:r w:rsidR="00146FF2">
        <w:rPr>
          <w:szCs w:val="22"/>
          <w:bdr w:val="nil"/>
          <w:lang w:val="cs-CZ" w:eastAsia="en-US"/>
        </w:rPr>
        <w:t xml:space="preserve">ve věku </w:t>
      </w:r>
      <w:r w:rsidR="00146FF2" w:rsidRPr="00146FF2">
        <w:rPr>
          <w:szCs w:val="22"/>
          <w:bdr w:val="nil"/>
          <w:lang w:val="cs-CZ" w:eastAsia="en-US"/>
        </w:rPr>
        <w:t>7</w:t>
      </w:r>
      <w:proofErr w:type="gramStart"/>
      <w:r w:rsidR="00243A2A">
        <w:rPr>
          <w:szCs w:val="22"/>
          <w:bdr w:val="nil"/>
          <w:lang w:val="cs-CZ" w:eastAsia="en-US"/>
        </w:rPr>
        <w:noBreakHyphen/>
      </w:r>
      <w:r w:rsidR="00146FF2" w:rsidRPr="00146FF2">
        <w:rPr>
          <w:szCs w:val="22"/>
          <w:bdr w:val="nil"/>
          <w:lang w:val="cs-CZ" w:eastAsia="en-US"/>
        </w:rPr>
        <w:t>&lt;</w:t>
      </w:r>
      <w:r w:rsidR="00146FF2">
        <w:rPr>
          <w:szCs w:val="22"/>
          <w:bdr w:val="nil"/>
          <w:lang w:val="cs-CZ" w:eastAsia="en-US"/>
        </w:rPr>
        <w:t> </w:t>
      </w:r>
      <w:r w:rsidR="00146FF2" w:rsidRPr="00146FF2">
        <w:rPr>
          <w:szCs w:val="22"/>
          <w:bdr w:val="nil"/>
          <w:lang w:val="cs-CZ" w:eastAsia="en-US"/>
        </w:rPr>
        <w:t>12</w:t>
      </w:r>
      <w:proofErr w:type="gramEnd"/>
      <w:r w:rsidR="00146FF2" w:rsidRPr="00146FF2">
        <w:rPr>
          <w:szCs w:val="22"/>
          <w:bdr w:val="nil"/>
          <w:lang w:val="cs-CZ" w:eastAsia="en-US"/>
        </w:rPr>
        <w:t xml:space="preserve"> </w:t>
      </w:r>
      <w:r w:rsidR="00146FF2">
        <w:rPr>
          <w:szCs w:val="22"/>
          <w:bdr w:val="nil"/>
          <w:lang w:val="cs-CZ" w:eastAsia="en-US"/>
        </w:rPr>
        <w:t>let</w:t>
      </w:r>
      <w:r w:rsidR="00146FF2" w:rsidRPr="00146FF2">
        <w:rPr>
          <w:szCs w:val="22"/>
          <w:bdr w:val="nil"/>
          <w:lang w:val="cs-CZ" w:eastAsia="en-US"/>
        </w:rPr>
        <w:t xml:space="preserve">) </w:t>
      </w:r>
      <w:r w:rsidR="00146FF2">
        <w:rPr>
          <w:szCs w:val="22"/>
          <w:bdr w:val="nil"/>
          <w:lang w:val="cs-CZ" w:eastAsia="en-US"/>
        </w:rPr>
        <w:t>a </w:t>
      </w:r>
      <w:r w:rsidR="00146FF2" w:rsidRPr="00146FF2">
        <w:rPr>
          <w:szCs w:val="22"/>
          <w:bdr w:val="nil"/>
          <w:lang w:val="cs-CZ" w:eastAsia="en-US"/>
        </w:rPr>
        <w:t>≥</w:t>
      </w:r>
      <w:r w:rsidR="00146FF2">
        <w:rPr>
          <w:szCs w:val="22"/>
          <w:bdr w:val="nil"/>
          <w:lang w:val="cs-CZ" w:eastAsia="en-US"/>
        </w:rPr>
        <w:t> </w:t>
      </w:r>
      <w:r w:rsidR="00146FF2" w:rsidRPr="00146FF2">
        <w:rPr>
          <w:szCs w:val="22"/>
          <w:bdr w:val="nil"/>
          <w:lang w:val="cs-CZ" w:eastAsia="en-US"/>
        </w:rPr>
        <w:t>50</w:t>
      </w:r>
      <w:r w:rsidR="00146FF2">
        <w:rPr>
          <w:szCs w:val="22"/>
          <w:bdr w:val="nil"/>
          <w:lang w:val="cs-CZ" w:eastAsia="en-US"/>
        </w:rPr>
        <w:t> dn</w:t>
      </w:r>
      <w:r w:rsidR="00243A2A">
        <w:rPr>
          <w:szCs w:val="22"/>
          <w:bdr w:val="nil"/>
          <w:lang w:val="cs-CZ" w:eastAsia="en-US"/>
        </w:rPr>
        <w:t>y</w:t>
      </w:r>
      <w:r w:rsidR="00146FF2">
        <w:rPr>
          <w:szCs w:val="22"/>
          <w:bdr w:val="nil"/>
          <w:lang w:val="cs-CZ" w:eastAsia="en-US"/>
        </w:rPr>
        <w:t xml:space="preserve"> předchozí expozice</w:t>
      </w:r>
      <w:r w:rsidRPr="0028273C">
        <w:rPr>
          <w:szCs w:val="22"/>
          <w:bdr w:val="nil"/>
          <w:lang w:val="cs-CZ" w:eastAsia="en-US"/>
        </w:rPr>
        <w:t xml:space="preserve">. </w:t>
      </w:r>
    </w:p>
    <w:p w14:paraId="3A81EF5D" w14:textId="77777777" w:rsidR="00844D76" w:rsidRPr="0028273C" w:rsidRDefault="00844D76" w:rsidP="00735457">
      <w:pPr>
        <w:rPr>
          <w:szCs w:val="22"/>
          <w:highlight w:val="green"/>
          <w:lang w:val="cs-CZ"/>
        </w:rPr>
      </w:pPr>
    </w:p>
    <w:p w14:paraId="25C8A64B" w14:textId="77777777" w:rsidR="00844D76" w:rsidRPr="0028273C" w:rsidRDefault="00425707" w:rsidP="00735457">
      <w:pPr>
        <w:keepNext/>
        <w:tabs>
          <w:tab w:val="clear" w:pos="567"/>
        </w:tabs>
        <w:rPr>
          <w:i/>
          <w:szCs w:val="22"/>
          <w:lang w:val="cs-CZ" w:eastAsia="en-US"/>
        </w:rPr>
      </w:pPr>
      <w:r w:rsidRPr="0028273C">
        <w:rPr>
          <w:i/>
          <w:szCs w:val="22"/>
          <w:lang w:val="cs-CZ" w:eastAsia="en-US"/>
        </w:rPr>
        <w:t xml:space="preserve">Inhibitory </w:t>
      </w:r>
      <w:r w:rsidR="00844D76" w:rsidRPr="0028273C">
        <w:rPr>
          <w:i/>
          <w:szCs w:val="22"/>
          <w:lang w:val="cs-CZ" w:eastAsia="en-US"/>
        </w:rPr>
        <w:t>FVIII</w:t>
      </w:r>
    </w:p>
    <w:p w14:paraId="1DA0471E" w14:textId="77777777" w:rsidR="00844D76" w:rsidRPr="0028273C" w:rsidRDefault="00424D46" w:rsidP="00735457">
      <w:pPr>
        <w:keepNext/>
        <w:tabs>
          <w:tab w:val="clear" w:pos="567"/>
        </w:tabs>
        <w:rPr>
          <w:szCs w:val="22"/>
          <w:highlight w:val="green"/>
          <w:lang w:val="cs-CZ" w:eastAsia="en-US"/>
        </w:rPr>
      </w:pPr>
      <w:r w:rsidRPr="0028273C">
        <w:rPr>
          <w:rFonts w:eastAsia="Calibri"/>
          <w:szCs w:val="22"/>
          <w:bdr w:val="nil"/>
          <w:lang w:val="cs-CZ" w:eastAsia="en-US"/>
        </w:rPr>
        <w:t>Nevyskytly se</w:t>
      </w:r>
      <w:r w:rsidRPr="0028273C">
        <w:rPr>
          <w:szCs w:val="22"/>
          <w:bdr w:val="nil"/>
          <w:lang w:val="cs-CZ" w:eastAsia="en-US"/>
        </w:rPr>
        <w:t xml:space="preserve"> žádné </w:t>
      </w:r>
      <w:r w:rsidRPr="0028273C">
        <w:rPr>
          <w:i/>
          <w:iCs/>
          <w:szCs w:val="22"/>
          <w:bdr w:val="nil"/>
          <w:lang w:val="cs-CZ" w:eastAsia="en-US"/>
        </w:rPr>
        <w:t>nové</w:t>
      </w:r>
      <w:r w:rsidRPr="0028273C">
        <w:rPr>
          <w:szCs w:val="22"/>
          <w:bdr w:val="nil"/>
          <w:lang w:val="cs-CZ" w:eastAsia="en-US"/>
        </w:rPr>
        <w:t xml:space="preserve"> nebo potvrzené případy inhibitoru proti faktoru FVIII. U jednoho dospělého pacienta po operaci byl hlášen jeden nepotvrzený pozitivní výsledek s nízkým titrem inhibitoru FVIII (1,7 BU/ml).</w:t>
      </w:r>
    </w:p>
    <w:p w14:paraId="28D50265" w14:textId="77777777" w:rsidR="00844D76" w:rsidRPr="0028273C" w:rsidRDefault="00844D76" w:rsidP="00735457">
      <w:pPr>
        <w:tabs>
          <w:tab w:val="clear" w:pos="567"/>
        </w:tabs>
        <w:rPr>
          <w:szCs w:val="22"/>
          <w:highlight w:val="green"/>
          <w:lang w:val="cs-CZ" w:eastAsia="en-US"/>
        </w:rPr>
      </w:pPr>
    </w:p>
    <w:p w14:paraId="0EC9B4E3" w14:textId="77777777" w:rsidR="00844D76" w:rsidRPr="0028273C" w:rsidRDefault="00844D76" w:rsidP="00735457">
      <w:pPr>
        <w:keepNext/>
        <w:tabs>
          <w:tab w:val="clear" w:pos="567"/>
        </w:tabs>
        <w:rPr>
          <w:i/>
          <w:szCs w:val="22"/>
          <w:lang w:val="cs-CZ" w:eastAsia="en-US"/>
        </w:rPr>
      </w:pPr>
      <w:r w:rsidRPr="0028273C">
        <w:rPr>
          <w:i/>
          <w:szCs w:val="22"/>
          <w:lang w:val="cs-CZ" w:eastAsia="en-US"/>
        </w:rPr>
        <w:t xml:space="preserve">Anti-PEG </w:t>
      </w:r>
      <w:r w:rsidR="00425707" w:rsidRPr="0028273C">
        <w:rPr>
          <w:i/>
          <w:szCs w:val="22"/>
          <w:lang w:val="cs-CZ" w:eastAsia="en-US"/>
        </w:rPr>
        <w:t>protilátky</w:t>
      </w:r>
    </w:p>
    <w:p w14:paraId="6B2D13EC" w14:textId="2037B2E0" w:rsidR="00DF5B6B" w:rsidRDefault="00424D46" w:rsidP="00735457">
      <w:pPr>
        <w:pStyle w:val="Textkomente"/>
        <w:rPr>
          <w:sz w:val="22"/>
          <w:szCs w:val="22"/>
          <w:bdr w:val="nil"/>
          <w:lang w:val="cs-CZ" w:eastAsia="en-US"/>
        </w:rPr>
      </w:pPr>
      <w:proofErr w:type="spellStart"/>
      <w:r w:rsidRPr="0028273C">
        <w:rPr>
          <w:sz w:val="22"/>
          <w:szCs w:val="22"/>
          <w:bdr w:val="nil"/>
          <w:lang w:val="cs-CZ" w:eastAsia="en-US"/>
        </w:rPr>
        <w:t>Imunogenita</w:t>
      </w:r>
      <w:proofErr w:type="spellEnd"/>
      <w:r w:rsidRPr="0028273C">
        <w:rPr>
          <w:sz w:val="22"/>
          <w:szCs w:val="22"/>
          <w:bdr w:val="nil"/>
          <w:lang w:val="cs-CZ" w:eastAsia="en-US"/>
        </w:rPr>
        <w:t xml:space="preserve"> proti PEG s vývojem specifických </w:t>
      </w:r>
      <w:proofErr w:type="spellStart"/>
      <w:r w:rsidRPr="0028273C">
        <w:rPr>
          <w:sz w:val="22"/>
          <w:szCs w:val="22"/>
          <w:bdr w:val="nil"/>
          <w:lang w:val="cs-CZ" w:eastAsia="en-US"/>
        </w:rPr>
        <w:t>IgM</w:t>
      </w:r>
      <w:proofErr w:type="spellEnd"/>
      <w:r w:rsidRPr="0028273C">
        <w:rPr>
          <w:sz w:val="22"/>
          <w:szCs w:val="22"/>
          <w:bdr w:val="nil"/>
          <w:lang w:val="cs-CZ" w:eastAsia="en-US"/>
        </w:rPr>
        <w:t xml:space="preserve"> anti-PEG protilátek byla pozorována </w:t>
      </w:r>
      <w:r w:rsidR="00B31138">
        <w:rPr>
          <w:sz w:val="22"/>
          <w:szCs w:val="22"/>
          <w:bdr w:val="nil"/>
          <w:lang w:val="cs-CZ" w:eastAsia="en-US"/>
        </w:rPr>
        <w:t>u 2 pacientů. U</w:t>
      </w:r>
      <w:r w:rsidR="004F6F9F">
        <w:rPr>
          <w:sz w:val="22"/>
          <w:szCs w:val="22"/>
          <w:bdr w:val="nil"/>
          <w:lang w:val="cs-CZ" w:eastAsia="en-US"/>
        </w:rPr>
        <w:t> </w:t>
      </w:r>
      <w:r w:rsidRPr="0028273C">
        <w:rPr>
          <w:sz w:val="22"/>
          <w:szCs w:val="22"/>
          <w:bdr w:val="nil"/>
          <w:lang w:val="cs-CZ" w:eastAsia="en-US"/>
        </w:rPr>
        <w:t>jednoho pacienta</w:t>
      </w:r>
      <w:r w:rsidR="00B31138">
        <w:rPr>
          <w:sz w:val="22"/>
          <w:szCs w:val="22"/>
          <w:bdr w:val="nil"/>
          <w:lang w:val="cs-CZ" w:eastAsia="en-US"/>
        </w:rPr>
        <w:t xml:space="preserve"> </w:t>
      </w:r>
      <w:r w:rsidR="00B31138" w:rsidRPr="002E405E">
        <w:rPr>
          <w:sz w:val="22"/>
          <w:szCs w:val="22"/>
          <w:bdr w:val="nil"/>
          <w:lang w:val="cs-CZ" w:eastAsia="en-US"/>
        </w:rPr>
        <w:t xml:space="preserve">ve </w:t>
      </w:r>
      <w:proofErr w:type="gramStart"/>
      <w:r w:rsidR="00B31138" w:rsidRPr="002E405E">
        <w:rPr>
          <w:sz w:val="22"/>
          <w:szCs w:val="22"/>
          <w:bdr w:val="nil"/>
          <w:lang w:val="cs-CZ" w:eastAsia="en-US"/>
        </w:rPr>
        <w:t xml:space="preserve">věku </w:t>
      </w:r>
      <w:r w:rsidR="00B31138" w:rsidRPr="0005661C">
        <w:rPr>
          <w:sz w:val="22"/>
          <w:szCs w:val="22"/>
          <w:lang w:val="cs-CZ"/>
        </w:rPr>
        <w:t>&gt;</w:t>
      </w:r>
      <w:proofErr w:type="gramEnd"/>
      <w:r w:rsidR="00B31138" w:rsidRPr="0005661C">
        <w:rPr>
          <w:sz w:val="22"/>
          <w:szCs w:val="22"/>
          <w:lang w:val="cs-CZ"/>
        </w:rPr>
        <w:t> 12 let</w:t>
      </w:r>
      <w:r w:rsidR="00B31138" w:rsidRPr="002E405E">
        <w:rPr>
          <w:sz w:val="22"/>
          <w:szCs w:val="22"/>
          <w:bdr w:val="nil"/>
          <w:lang w:val="cs-CZ" w:eastAsia="en-US"/>
        </w:rPr>
        <w:t xml:space="preserve"> byla</w:t>
      </w:r>
      <w:r w:rsidRPr="0028273C">
        <w:rPr>
          <w:sz w:val="22"/>
          <w:szCs w:val="22"/>
          <w:bdr w:val="nil"/>
          <w:lang w:val="cs-CZ" w:eastAsia="en-US"/>
        </w:rPr>
        <w:t xml:space="preserve"> </w:t>
      </w:r>
      <w:r w:rsidR="00B31138">
        <w:rPr>
          <w:sz w:val="22"/>
          <w:szCs w:val="22"/>
          <w:bdr w:val="nil"/>
          <w:lang w:val="cs-CZ" w:eastAsia="en-US"/>
        </w:rPr>
        <w:t>i</w:t>
      </w:r>
      <w:r w:rsidR="00B31138" w:rsidRPr="0028273C">
        <w:rPr>
          <w:sz w:val="22"/>
          <w:szCs w:val="22"/>
          <w:bdr w:val="nil"/>
          <w:lang w:val="cs-CZ" w:eastAsia="en-US"/>
        </w:rPr>
        <w:t xml:space="preserve">munitní </w:t>
      </w:r>
      <w:r w:rsidRPr="0028273C">
        <w:rPr>
          <w:sz w:val="22"/>
          <w:szCs w:val="22"/>
          <w:bdr w:val="nil"/>
          <w:lang w:val="cs-CZ" w:eastAsia="en-US"/>
        </w:rPr>
        <w:t xml:space="preserve">odpověď doprovázena klinickou hypersenzitivní reakcí po 4 injekcích </w:t>
      </w:r>
      <w:r w:rsidRPr="00673201">
        <w:rPr>
          <w:sz w:val="22"/>
          <w:szCs w:val="22"/>
          <w:bdr w:val="nil"/>
          <w:lang w:val="cs-CZ" w:eastAsia="en-US"/>
        </w:rPr>
        <w:t>př</w:t>
      </w:r>
      <w:r w:rsidRPr="00764A31">
        <w:rPr>
          <w:sz w:val="22"/>
          <w:szCs w:val="22"/>
          <w:bdr w:val="nil"/>
          <w:lang w:val="cs-CZ"/>
        </w:rPr>
        <w:t>í</w:t>
      </w:r>
      <w:r w:rsidRPr="00673201">
        <w:rPr>
          <w:sz w:val="22"/>
          <w:szCs w:val="22"/>
          <w:bdr w:val="nil"/>
          <w:lang w:val="cs-CZ" w:eastAsia="en-US"/>
        </w:rPr>
        <w:t>pravku</w:t>
      </w:r>
      <w:r w:rsidRPr="0028273C">
        <w:rPr>
          <w:sz w:val="22"/>
          <w:szCs w:val="22"/>
          <w:bdr w:val="nil"/>
          <w:lang w:val="cs-CZ" w:eastAsia="en-US"/>
        </w:rPr>
        <w:t xml:space="preserve"> </w:t>
      </w:r>
      <w:proofErr w:type="spellStart"/>
      <w:r w:rsidRPr="0028273C">
        <w:rPr>
          <w:sz w:val="22"/>
          <w:szCs w:val="22"/>
          <w:bdr w:val="nil"/>
          <w:lang w:val="cs-CZ" w:eastAsia="en-US"/>
        </w:rPr>
        <w:t>Jivi</w:t>
      </w:r>
      <w:proofErr w:type="spellEnd"/>
      <w:r w:rsidRPr="0028273C">
        <w:rPr>
          <w:sz w:val="22"/>
          <w:szCs w:val="22"/>
          <w:bdr w:val="nil"/>
          <w:lang w:val="cs-CZ" w:eastAsia="en-US"/>
        </w:rPr>
        <w:t xml:space="preserve">. </w:t>
      </w:r>
      <w:r w:rsidR="007714BE">
        <w:rPr>
          <w:sz w:val="22"/>
          <w:szCs w:val="22"/>
          <w:bdr w:val="nil"/>
          <w:lang w:val="cs-CZ" w:eastAsia="en-US"/>
        </w:rPr>
        <w:t>P</w:t>
      </w:r>
      <w:r w:rsidRPr="0028273C">
        <w:rPr>
          <w:sz w:val="22"/>
          <w:szCs w:val="22"/>
          <w:bdr w:val="nil"/>
          <w:lang w:val="cs-CZ" w:eastAsia="en-US"/>
        </w:rPr>
        <w:t xml:space="preserve">o ukončení podávání přípravku </w:t>
      </w:r>
      <w:proofErr w:type="spellStart"/>
      <w:r w:rsidRPr="0028273C">
        <w:rPr>
          <w:sz w:val="22"/>
          <w:szCs w:val="22"/>
          <w:bdr w:val="nil"/>
          <w:lang w:val="cs-CZ" w:eastAsia="en-US"/>
        </w:rPr>
        <w:t>Jivi</w:t>
      </w:r>
      <w:proofErr w:type="spellEnd"/>
      <w:r w:rsidR="007714BE">
        <w:rPr>
          <w:sz w:val="22"/>
          <w:szCs w:val="22"/>
          <w:bdr w:val="nil"/>
          <w:lang w:val="cs-CZ" w:eastAsia="en-US"/>
        </w:rPr>
        <w:t xml:space="preserve"> </w:t>
      </w:r>
      <w:r w:rsidR="007714BE" w:rsidRPr="0028273C">
        <w:rPr>
          <w:sz w:val="22"/>
          <w:szCs w:val="22"/>
          <w:bdr w:val="nil"/>
          <w:lang w:val="cs-CZ" w:eastAsia="en-US"/>
        </w:rPr>
        <w:t>vymizely</w:t>
      </w:r>
      <w:r w:rsidR="007714BE">
        <w:rPr>
          <w:sz w:val="22"/>
          <w:szCs w:val="22"/>
          <w:bdr w:val="nil"/>
          <w:lang w:val="cs-CZ" w:eastAsia="en-US"/>
        </w:rPr>
        <w:t xml:space="preserve"> p</w:t>
      </w:r>
      <w:r w:rsidR="007714BE" w:rsidRPr="0028273C">
        <w:rPr>
          <w:sz w:val="22"/>
          <w:szCs w:val="22"/>
          <w:bdr w:val="nil"/>
          <w:lang w:val="cs-CZ" w:eastAsia="en-US"/>
        </w:rPr>
        <w:t>rotilátky proti PEG</w:t>
      </w:r>
      <w:r w:rsidRPr="0028273C">
        <w:rPr>
          <w:sz w:val="22"/>
          <w:szCs w:val="22"/>
          <w:bdr w:val="nil"/>
          <w:lang w:val="cs-CZ" w:eastAsia="en-US"/>
        </w:rPr>
        <w:t>.</w:t>
      </w:r>
    </w:p>
    <w:p w14:paraId="5A7B755E" w14:textId="1357EF8A" w:rsidR="00B31138" w:rsidRPr="00B31138" w:rsidRDefault="00B31138" w:rsidP="00B31138">
      <w:pPr>
        <w:pStyle w:val="Textkomente"/>
        <w:rPr>
          <w:sz w:val="22"/>
          <w:szCs w:val="22"/>
          <w:bdr w:val="nil"/>
          <w:lang w:val="cs-CZ" w:eastAsia="en-US"/>
        </w:rPr>
      </w:pPr>
      <w:r w:rsidRPr="00B31138">
        <w:rPr>
          <w:sz w:val="22"/>
          <w:szCs w:val="22"/>
          <w:bdr w:val="nil"/>
          <w:lang w:val="cs-CZ" w:eastAsia="en-US"/>
        </w:rPr>
        <w:t>U</w:t>
      </w:r>
      <w:r>
        <w:rPr>
          <w:sz w:val="22"/>
          <w:szCs w:val="22"/>
          <w:bdr w:val="nil"/>
          <w:lang w:val="cs-CZ" w:eastAsia="en-US"/>
        </w:rPr>
        <w:t> </w:t>
      </w:r>
      <w:r w:rsidRPr="00B31138">
        <w:rPr>
          <w:sz w:val="22"/>
          <w:szCs w:val="22"/>
          <w:bdr w:val="nil"/>
          <w:lang w:val="cs-CZ" w:eastAsia="en-US"/>
        </w:rPr>
        <w:t xml:space="preserve">jednoho dítěte </w:t>
      </w:r>
      <w:r>
        <w:rPr>
          <w:sz w:val="22"/>
          <w:szCs w:val="22"/>
          <w:bdr w:val="nil"/>
          <w:lang w:val="cs-CZ" w:eastAsia="en-US"/>
        </w:rPr>
        <w:t xml:space="preserve">ve věku </w:t>
      </w:r>
      <w:r w:rsidRPr="00B31138">
        <w:rPr>
          <w:sz w:val="22"/>
          <w:szCs w:val="22"/>
          <w:bdr w:val="nil"/>
          <w:lang w:val="cs-CZ" w:eastAsia="en-US"/>
        </w:rPr>
        <w:t>˃</w:t>
      </w:r>
      <w:r>
        <w:rPr>
          <w:sz w:val="22"/>
          <w:szCs w:val="22"/>
          <w:bdr w:val="nil"/>
          <w:lang w:val="cs-CZ" w:eastAsia="en-US"/>
        </w:rPr>
        <w:t> </w:t>
      </w:r>
      <w:r w:rsidRPr="00B31138">
        <w:rPr>
          <w:sz w:val="22"/>
          <w:szCs w:val="22"/>
          <w:bdr w:val="nil"/>
          <w:lang w:val="cs-CZ" w:eastAsia="en-US"/>
        </w:rPr>
        <w:t>7</w:t>
      </w:r>
      <w:r>
        <w:rPr>
          <w:sz w:val="22"/>
          <w:szCs w:val="22"/>
          <w:bdr w:val="nil"/>
          <w:lang w:val="cs-CZ" w:eastAsia="en-US"/>
        </w:rPr>
        <w:t> </w:t>
      </w:r>
      <w:r w:rsidRPr="00B31138">
        <w:rPr>
          <w:sz w:val="22"/>
          <w:szCs w:val="22"/>
          <w:bdr w:val="nil"/>
          <w:lang w:val="cs-CZ" w:eastAsia="en-US"/>
        </w:rPr>
        <w:t>let se během prvních 4</w:t>
      </w:r>
      <w:r w:rsidR="00E579B7">
        <w:rPr>
          <w:sz w:val="22"/>
          <w:szCs w:val="22"/>
          <w:bdr w:val="nil"/>
          <w:lang w:val="cs-CZ" w:eastAsia="en-US"/>
        </w:rPr>
        <w:t> </w:t>
      </w:r>
      <w:r w:rsidRPr="00B31138">
        <w:rPr>
          <w:sz w:val="22"/>
          <w:szCs w:val="22"/>
          <w:bdr w:val="nil"/>
          <w:lang w:val="cs-CZ" w:eastAsia="en-US"/>
        </w:rPr>
        <w:t>dnů expozice vyvinul vysoký titr neutralizačních anti</w:t>
      </w:r>
      <w:r w:rsidR="004F6F9F">
        <w:rPr>
          <w:sz w:val="22"/>
          <w:szCs w:val="22"/>
          <w:bdr w:val="nil"/>
          <w:lang w:val="cs-CZ" w:eastAsia="en-US"/>
        </w:rPr>
        <w:noBreakHyphen/>
      </w:r>
      <w:r w:rsidRPr="00B31138">
        <w:rPr>
          <w:sz w:val="22"/>
          <w:szCs w:val="22"/>
          <w:bdr w:val="nil"/>
          <w:lang w:val="cs-CZ" w:eastAsia="en-US"/>
        </w:rPr>
        <w:t xml:space="preserve">PEG </w:t>
      </w:r>
      <w:proofErr w:type="spellStart"/>
      <w:r w:rsidR="004F6F9F">
        <w:rPr>
          <w:sz w:val="22"/>
          <w:szCs w:val="22"/>
          <w:bdr w:val="nil"/>
          <w:lang w:val="cs-CZ" w:eastAsia="en-US"/>
        </w:rPr>
        <w:t>IgM</w:t>
      </w:r>
      <w:proofErr w:type="spellEnd"/>
      <w:r w:rsidR="004F6F9F">
        <w:rPr>
          <w:sz w:val="22"/>
          <w:szCs w:val="22"/>
          <w:bdr w:val="nil"/>
          <w:lang w:val="cs-CZ" w:eastAsia="en-US"/>
        </w:rPr>
        <w:t xml:space="preserve"> protilátek </w:t>
      </w:r>
      <w:r w:rsidRPr="00B31138">
        <w:rPr>
          <w:sz w:val="22"/>
          <w:szCs w:val="22"/>
          <w:bdr w:val="nil"/>
          <w:lang w:val="cs-CZ" w:eastAsia="en-US"/>
        </w:rPr>
        <w:t xml:space="preserve">spojený se ztrátou účinku </w:t>
      </w:r>
      <w:r w:rsidR="00E579B7">
        <w:rPr>
          <w:sz w:val="22"/>
          <w:szCs w:val="22"/>
          <w:bdr w:val="nil"/>
          <w:lang w:val="cs-CZ" w:eastAsia="en-US"/>
        </w:rPr>
        <w:t>léku</w:t>
      </w:r>
      <w:r w:rsidRPr="00B31138">
        <w:rPr>
          <w:sz w:val="22"/>
          <w:szCs w:val="22"/>
          <w:bdr w:val="nil"/>
          <w:lang w:val="cs-CZ" w:eastAsia="en-US"/>
        </w:rPr>
        <w:t xml:space="preserve">. Protilátky po </w:t>
      </w:r>
      <w:r w:rsidR="004F6F9F">
        <w:rPr>
          <w:sz w:val="22"/>
          <w:szCs w:val="22"/>
          <w:bdr w:val="nil"/>
          <w:lang w:val="cs-CZ" w:eastAsia="en-US"/>
        </w:rPr>
        <w:t>ukončení</w:t>
      </w:r>
      <w:r w:rsidRPr="00B31138">
        <w:rPr>
          <w:sz w:val="22"/>
          <w:szCs w:val="22"/>
          <w:bdr w:val="nil"/>
          <w:lang w:val="cs-CZ" w:eastAsia="en-US"/>
        </w:rPr>
        <w:t xml:space="preserve"> léčby vymizely a</w:t>
      </w:r>
      <w:r>
        <w:rPr>
          <w:sz w:val="22"/>
          <w:szCs w:val="22"/>
          <w:bdr w:val="nil"/>
          <w:lang w:val="cs-CZ" w:eastAsia="en-US"/>
        </w:rPr>
        <w:t> </w:t>
      </w:r>
      <w:r w:rsidRPr="00B31138">
        <w:rPr>
          <w:sz w:val="22"/>
          <w:szCs w:val="22"/>
          <w:bdr w:val="nil"/>
          <w:lang w:val="cs-CZ" w:eastAsia="en-US"/>
        </w:rPr>
        <w:t>pacient po 2</w:t>
      </w:r>
      <w:r>
        <w:rPr>
          <w:sz w:val="22"/>
          <w:szCs w:val="22"/>
          <w:bdr w:val="nil"/>
          <w:lang w:val="cs-CZ" w:eastAsia="en-US"/>
        </w:rPr>
        <w:t> </w:t>
      </w:r>
      <w:r w:rsidRPr="00B31138">
        <w:rPr>
          <w:sz w:val="22"/>
          <w:szCs w:val="22"/>
          <w:bdr w:val="nil"/>
          <w:lang w:val="cs-CZ" w:eastAsia="en-US"/>
        </w:rPr>
        <w:t xml:space="preserve">měsících </w:t>
      </w:r>
      <w:r w:rsidR="004F6F9F">
        <w:rPr>
          <w:sz w:val="22"/>
          <w:szCs w:val="22"/>
          <w:bdr w:val="nil"/>
          <w:lang w:val="cs-CZ" w:eastAsia="en-US"/>
        </w:rPr>
        <w:t xml:space="preserve">znovu </w:t>
      </w:r>
      <w:r w:rsidRPr="00B31138">
        <w:rPr>
          <w:sz w:val="22"/>
          <w:szCs w:val="22"/>
          <w:bdr w:val="nil"/>
          <w:lang w:val="cs-CZ" w:eastAsia="en-US"/>
        </w:rPr>
        <w:t xml:space="preserve">bezpečně zahájil léčbu přípravkem </w:t>
      </w:r>
      <w:proofErr w:type="spellStart"/>
      <w:r w:rsidRPr="00B31138">
        <w:rPr>
          <w:sz w:val="22"/>
          <w:szCs w:val="22"/>
          <w:bdr w:val="nil"/>
          <w:lang w:val="cs-CZ" w:eastAsia="en-US"/>
        </w:rPr>
        <w:t>Jivi</w:t>
      </w:r>
      <w:proofErr w:type="spellEnd"/>
      <w:r w:rsidRPr="00B31138">
        <w:rPr>
          <w:sz w:val="22"/>
          <w:szCs w:val="22"/>
          <w:bdr w:val="nil"/>
          <w:lang w:val="cs-CZ" w:eastAsia="en-US"/>
        </w:rPr>
        <w:t>.</w:t>
      </w:r>
    </w:p>
    <w:p w14:paraId="7B61E0A7" w14:textId="1DB2263A" w:rsidR="00B31138" w:rsidRDefault="00B31138" w:rsidP="00B31138">
      <w:pPr>
        <w:pStyle w:val="Textkomente"/>
        <w:rPr>
          <w:sz w:val="22"/>
          <w:szCs w:val="22"/>
          <w:bdr w:val="nil"/>
          <w:lang w:val="cs-CZ" w:eastAsia="en-US"/>
        </w:rPr>
      </w:pPr>
      <w:r w:rsidRPr="00B31138">
        <w:rPr>
          <w:sz w:val="22"/>
          <w:szCs w:val="22"/>
          <w:bdr w:val="nil"/>
          <w:lang w:val="cs-CZ" w:eastAsia="en-US"/>
        </w:rPr>
        <w:t>U</w:t>
      </w:r>
      <w:r>
        <w:rPr>
          <w:sz w:val="22"/>
          <w:szCs w:val="22"/>
          <w:bdr w:val="nil"/>
          <w:lang w:val="cs-CZ" w:eastAsia="en-US"/>
        </w:rPr>
        <w:t> </w:t>
      </w:r>
      <w:r w:rsidRPr="00B31138">
        <w:rPr>
          <w:sz w:val="22"/>
          <w:szCs w:val="22"/>
          <w:bdr w:val="nil"/>
          <w:lang w:val="cs-CZ" w:eastAsia="en-US"/>
        </w:rPr>
        <w:t>některých pacientů byly během prvních 4</w:t>
      </w:r>
      <w:r>
        <w:rPr>
          <w:sz w:val="22"/>
          <w:szCs w:val="22"/>
          <w:bdr w:val="nil"/>
          <w:lang w:val="cs-CZ" w:eastAsia="en-US"/>
        </w:rPr>
        <w:t> </w:t>
      </w:r>
      <w:r w:rsidRPr="00B31138">
        <w:rPr>
          <w:sz w:val="22"/>
          <w:szCs w:val="22"/>
          <w:bdr w:val="nil"/>
          <w:lang w:val="cs-CZ" w:eastAsia="en-US"/>
        </w:rPr>
        <w:t>ED pozorovány přechodné nízké titry anti</w:t>
      </w:r>
      <w:r w:rsidR="004F6F9F">
        <w:rPr>
          <w:sz w:val="22"/>
          <w:szCs w:val="22"/>
          <w:bdr w:val="nil"/>
          <w:lang w:val="cs-CZ" w:eastAsia="en-US"/>
        </w:rPr>
        <w:noBreakHyphen/>
      </w:r>
      <w:r w:rsidRPr="00B31138">
        <w:rPr>
          <w:sz w:val="22"/>
          <w:szCs w:val="22"/>
          <w:bdr w:val="nil"/>
          <w:lang w:val="cs-CZ" w:eastAsia="en-US"/>
        </w:rPr>
        <w:t xml:space="preserve">PEG </w:t>
      </w:r>
      <w:r w:rsidR="004F6F9F">
        <w:rPr>
          <w:sz w:val="22"/>
          <w:szCs w:val="22"/>
          <w:bdr w:val="nil"/>
          <w:lang w:val="cs-CZ" w:eastAsia="en-US"/>
        </w:rPr>
        <w:t xml:space="preserve">protilátek </w:t>
      </w:r>
      <w:r w:rsidRPr="00B31138">
        <w:rPr>
          <w:sz w:val="22"/>
          <w:szCs w:val="22"/>
          <w:bdr w:val="nil"/>
          <w:lang w:val="cs-CZ" w:eastAsia="en-US"/>
        </w:rPr>
        <w:t xml:space="preserve">izotypu </w:t>
      </w:r>
      <w:proofErr w:type="spellStart"/>
      <w:r w:rsidRPr="00B31138">
        <w:rPr>
          <w:sz w:val="22"/>
          <w:szCs w:val="22"/>
          <w:bdr w:val="nil"/>
          <w:lang w:val="cs-CZ" w:eastAsia="en-US"/>
        </w:rPr>
        <w:t>IgM</w:t>
      </w:r>
      <w:proofErr w:type="spellEnd"/>
      <w:r w:rsidRPr="00B31138">
        <w:rPr>
          <w:sz w:val="22"/>
          <w:szCs w:val="22"/>
          <w:bdr w:val="nil"/>
          <w:lang w:val="cs-CZ" w:eastAsia="en-US"/>
        </w:rPr>
        <w:t>, což vedlo k</w:t>
      </w:r>
      <w:r w:rsidR="00BC46B7">
        <w:rPr>
          <w:sz w:val="22"/>
          <w:szCs w:val="22"/>
          <w:bdr w:val="nil"/>
          <w:lang w:val="cs-CZ" w:eastAsia="en-US"/>
        </w:rPr>
        <w:t> </w:t>
      </w:r>
      <w:r w:rsidRPr="00B31138">
        <w:rPr>
          <w:sz w:val="22"/>
          <w:szCs w:val="22"/>
          <w:bdr w:val="nil"/>
          <w:lang w:val="cs-CZ" w:eastAsia="en-US"/>
        </w:rPr>
        <w:t>menší</w:t>
      </w:r>
      <w:r w:rsidR="00BC46B7">
        <w:rPr>
          <w:sz w:val="22"/>
          <w:szCs w:val="22"/>
          <w:bdr w:val="nil"/>
          <w:lang w:val="cs-CZ" w:eastAsia="en-US"/>
        </w:rPr>
        <w:t xml:space="preserve">mu snížení </w:t>
      </w:r>
      <w:r w:rsidR="00677EA6">
        <w:rPr>
          <w:sz w:val="22"/>
          <w:szCs w:val="22"/>
          <w:bdr w:val="nil"/>
          <w:lang w:val="cs-CZ" w:eastAsia="en-US"/>
        </w:rPr>
        <w:t>obnovení aktivity</w:t>
      </w:r>
      <w:r w:rsidRPr="00B31138">
        <w:rPr>
          <w:sz w:val="22"/>
          <w:szCs w:val="22"/>
          <w:bdr w:val="nil"/>
          <w:lang w:val="cs-CZ" w:eastAsia="en-US"/>
        </w:rPr>
        <w:t>.</w:t>
      </w:r>
    </w:p>
    <w:p w14:paraId="5E99C078" w14:textId="77777777" w:rsidR="00BC7F8A" w:rsidRDefault="00BC7F8A" w:rsidP="00735457">
      <w:pPr>
        <w:pStyle w:val="Textkomente"/>
        <w:rPr>
          <w:sz w:val="22"/>
          <w:szCs w:val="22"/>
          <w:bdr w:val="nil"/>
          <w:lang w:val="cs-CZ" w:eastAsia="en-US"/>
        </w:rPr>
      </w:pPr>
    </w:p>
    <w:p w14:paraId="3B622C10" w14:textId="77777777" w:rsidR="00B202D6" w:rsidRPr="0028273C" w:rsidRDefault="00B202D6" w:rsidP="00735457">
      <w:pPr>
        <w:pStyle w:val="Textkomente"/>
        <w:rPr>
          <w:sz w:val="22"/>
          <w:szCs w:val="22"/>
          <w:highlight w:val="green"/>
          <w:lang w:val="cs-CZ"/>
        </w:rPr>
      </w:pPr>
      <w:r>
        <w:rPr>
          <w:sz w:val="22"/>
          <w:szCs w:val="22"/>
          <w:bdr w:val="nil"/>
          <w:lang w:val="cs-CZ" w:eastAsia="en-US"/>
        </w:rPr>
        <w:t xml:space="preserve">Od </w:t>
      </w:r>
      <w:r w:rsidR="00A009FC">
        <w:rPr>
          <w:sz w:val="22"/>
          <w:szCs w:val="22"/>
          <w:bdr w:val="nil"/>
          <w:lang w:val="cs-CZ" w:eastAsia="en-US"/>
        </w:rPr>
        <w:t>páté</w:t>
      </w:r>
      <w:r w:rsidR="00724098">
        <w:rPr>
          <w:sz w:val="22"/>
          <w:szCs w:val="22"/>
          <w:bdr w:val="nil"/>
          <w:lang w:val="cs-CZ" w:eastAsia="en-US"/>
        </w:rPr>
        <w:t>ho</w:t>
      </w:r>
      <w:r w:rsidR="00A009FC">
        <w:rPr>
          <w:sz w:val="22"/>
          <w:szCs w:val="22"/>
          <w:bdr w:val="nil"/>
          <w:lang w:val="cs-CZ" w:eastAsia="en-US"/>
        </w:rPr>
        <w:t xml:space="preserve"> ED do konce prodloužen</w:t>
      </w:r>
      <w:r w:rsidR="0019660F">
        <w:rPr>
          <w:sz w:val="22"/>
          <w:szCs w:val="22"/>
          <w:bdr w:val="nil"/>
          <w:lang w:val="cs-CZ" w:eastAsia="en-US"/>
        </w:rPr>
        <w:t>ých</w:t>
      </w:r>
      <w:r w:rsidR="00A009FC">
        <w:rPr>
          <w:sz w:val="22"/>
          <w:szCs w:val="22"/>
          <w:bdr w:val="nil"/>
          <w:lang w:val="cs-CZ" w:eastAsia="en-US"/>
        </w:rPr>
        <w:t xml:space="preserve"> studi</w:t>
      </w:r>
      <w:r w:rsidR="0019660F">
        <w:rPr>
          <w:sz w:val="22"/>
          <w:szCs w:val="22"/>
          <w:bdr w:val="nil"/>
          <w:lang w:val="cs-CZ" w:eastAsia="en-US"/>
        </w:rPr>
        <w:t>í</w:t>
      </w:r>
      <w:r w:rsidR="00A009FC">
        <w:rPr>
          <w:sz w:val="22"/>
          <w:szCs w:val="22"/>
          <w:bdr w:val="nil"/>
          <w:lang w:val="cs-CZ" w:eastAsia="en-US"/>
        </w:rPr>
        <w:t xml:space="preserve"> n</w:t>
      </w:r>
      <w:r>
        <w:rPr>
          <w:sz w:val="22"/>
          <w:szCs w:val="22"/>
          <w:bdr w:val="nil"/>
          <w:lang w:val="cs-CZ" w:eastAsia="en-US"/>
        </w:rPr>
        <w:t xml:space="preserve">ebyla pozorována žádná klinická imunitní odpověď proti PEG </w:t>
      </w:r>
      <w:r w:rsidR="00A009FC">
        <w:rPr>
          <w:sz w:val="22"/>
          <w:szCs w:val="22"/>
          <w:bdr w:val="nil"/>
          <w:lang w:val="cs-CZ" w:eastAsia="en-US"/>
        </w:rPr>
        <w:t>vedoucí k</w:t>
      </w:r>
      <w:r>
        <w:rPr>
          <w:sz w:val="22"/>
          <w:szCs w:val="22"/>
          <w:bdr w:val="nil"/>
          <w:lang w:val="cs-CZ" w:eastAsia="en-US"/>
        </w:rPr>
        <w:t>e ztrátě účin</w:t>
      </w:r>
      <w:r w:rsidR="00A009FC">
        <w:rPr>
          <w:sz w:val="22"/>
          <w:szCs w:val="22"/>
          <w:bdr w:val="nil"/>
          <w:lang w:val="cs-CZ" w:eastAsia="en-US"/>
        </w:rPr>
        <w:t>n</w:t>
      </w:r>
      <w:r>
        <w:rPr>
          <w:sz w:val="22"/>
          <w:szCs w:val="22"/>
          <w:bdr w:val="nil"/>
          <w:lang w:val="cs-CZ" w:eastAsia="en-US"/>
        </w:rPr>
        <w:t xml:space="preserve">osti léčiva nebo </w:t>
      </w:r>
      <w:r w:rsidR="00A009FC">
        <w:rPr>
          <w:sz w:val="22"/>
          <w:szCs w:val="22"/>
          <w:bdr w:val="nil"/>
          <w:lang w:val="cs-CZ" w:eastAsia="en-US"/>
        </w:rPr>
        <w:t>k </w:t>
      </w:r>
      <w:r w:rsidR="008C4A1D">
        <w:rPr>
          <w:sz w:val="22"/>
          <w:szCs w:val="22"/>
          <w:bdr w:val="nil"/>
          <w:lang w:val="cs-CZ" w:eastAsia="en-US"/>
        </w:rPr>
        <w:t>hypersenzitivitě</w:t>
      </w:r>
      <w:r w:rsidR="00A009FC">
        <w:rPr>
          <w:sz w:val="22"/>
          <w:szCs w:val="22"/>
          <w:bdr w:val="nil"/>
          <w:lang w:val="cs-CZ" w:eastAsia="en-US"/>
        </w:rPr>
        <w:t>.</w:t>
      </w:r>
      <w:r>
        <w:rPr>
          <w:sz w:val="22"/>
          <w:szCs w:val="22"/>
          <w:bdr w:val="nil"/>
          <w:lang w:val="cs-CZ" w:eastAsia="en-US"/>
        </w:rPr>
        <w:t xml:space="preserve"> </w:t>
      </w:r>
    </w:p>
    <w:p w14:paraId="404127DF" w14:textId="77777777" w:rsidR="00A70A89" w:rsidRPr="0028273C" w:rsidRDefault="00A70A89" w:rsidP="00735457">
      <w:pPr>
        <w:tabs>
          <w:tab w:val="clear" w:pos="567"/>
        </w:tabs>
        <w:rPr>
          <w:szCs w:val="22"/>
          <w:highlight w:val="green"/>
          <w:lang w:val="cs-CZ"/>
        </w:rPr>
      </w:pPr>
    </w:p>
    <w:p w14:paraId="1EA3697C" w14:textId="287A4CEC" w:rsidR="00DD6503" w:rsidRPr="0028273C" w:rsidRDefault="00425707" w:rsidP="00735457">
      <w:pPr>
        <w:keepNext/>
        <w:tabs>
          <w:tab w:val="clear" w:pos="567"/>
        </w:tabs>
        <w:rPr>
          <w:i/>
          <w:szCs w:val="22"/>
          <w:lang w:val="cs-CZ"/>
        </w:rPr>
      </w:pPr>
      <w:r w:rsidRPr="0028273C">
        <w:rPr>
          <w:i/>
          <w:szCs w:val="22"/>
          <w:lang w:val="cs-CZ"/>
        </w:rPr>
        <w:t>Pediatrická populace</w:t>
      </w:r>
      <w:r w:rsidR="00C4326A">
        <w:rPr>
          <w:i/>
          <w:szCs w:val="22"/>
          <w:lang w:val="cs-CZ"/>
        </w:rPr>
        <w:t xml:space="preserve"> ve studii PROTECT </w:t>
      </w:r>
      <w:proofErr w:type="spellStart"/>
      <w:r w:rsidR="00C4326A">
        <w:rPr>
          <w:i/>
          <w:szCs w:val="22"/>
          <w:lang w:val="cs-CZ"/>
        </w:rPr>
        <w:t>Kids</w:t>
      </w:r>
      <w:proofErr w:type="spellEnd"/>
    </w:p>
    <w:p w14:paraId="7E127ADB" w14:textId="62A27134" w:rsidR="00E72C17" w:rsidRPr="0028273C" w:rsidRDefault="00424D46" w:rsidP="00735457">
      <w:pPr>
        <w:pStyle w:val="BayerBodyTextFull"/>
        <w:spacing w:before="0" w:after="0"/>
        <w:rPr>
          <w:sz w:val="22"/>
          <w:szCs w:val="22"/>
          <w:lang w:val="cs-CZ"/>
        </w:rPr>
      </w:pPr>
      <w:r w:rsidRPr="0028273C">
        <w:rPr>
          <w:sz w:val="22"/>
          <w:szCs w:val="22"/>
          <w:bdr w:val="nil"/>
          <w:lang w:val="cs-CZ"/>
        </w:rPr>
        <w:t>V dokončen</w:t>
      </w:r>
      <w:r w:rsidR="00C4326A">
        <w:rPr>
          <w:sz w:val="22"/>
          <w:szCs w:val="22"/>
          <w:bdr w:val="nil"/>
          <w:lang w:val="cs-CZ"/>
        </w:rPr>
        <w:t>é</w:t>
      </w:r>
      <w:r w:rsidRPr="0028273C">
        <w:rPr>
          <w:sz w:val="22"/>
          <w:szCs w:val="22"/>
          <w:bdr w:val="nil"/>
          <w:lang w:val="cs-CZ"/>
        </w:rPr>
        <w:t xml:space="preserve"> klinick</w:t>
      </w:r>
      <w:r w:rsidR="00C4326A">
        <w:rPr>
          <w:sz w:val="22"/>
          <w:szCs w:val="22"/>
          <w:bdr w:val="nil"/>
          <w:lang w:val="cs-CZ"/>
        </w:rPr>
        <w:t>é</w:t>
      </w:r>
      <w:r w:rsidRPr="0028273C">
        <w:rPr>
          <w:sz w:val="22"/>
          <w:szCs w:val="22"/>
          <w:bdr w:val="nil"/>
          <w:lang w:val="cs-CZ"/>
        </w:rPr>
        <w:t xml:space="preserve"> studi</w:t>
      </w:r>
      <w:r w:rsidR="00C4326A">
        <w:rPr>
          <w:sz w:val="22"/>
          <w:szCs w:val="22"/>
          <w:bdr w:val="nil"/>
          <w:lang w:val="cs-CZ"/>
        </w:rPr>
        <w:t>i</w:t>
      </w:r>
      <w:r w:rsidRPr="0028273C">
        <w:rPr>
          <w:sz w:val="22"/>
          <w:szCs w:val="22"/>
          <w:bdr w:val="nil"/>
          <w:lang w:val="cs-CZ"/>
        </w:rPr>
        <w:t xml:space="preserve"> se 73</w:t>
      </w:r>
      <w:r w:rsidRPr="0028273C">
        <w:rPr>
          <w:bdr w:val="nil"/>
          <w:lang w:val="cs-CZ"/>
        </w:rPr>
        <w:t> </w:t>
      </w:r>
      <w:r w:rsidRPr="0028273C">
        <w:rPr>
          <w:sz w:val="22"/>
          <w:szCs w:val="22"/>
          <w:bdr w:val="nil"/>
          <w:lang w:val="cs-CZ"/>
        </w:rPr>
        <w:t xml:space="preserve">pediatrickými PTP ve věku </w:t>
      </w:r>
      <w:proofErr w:type="gramStart"/>
      <w:r w:rsidRPr="0028273C">
        <w:rPr>
          <w:sz w:val="22"/>
          <w:szCs w:val="22"/>
          <w:bdr w:val="nil"/>
          <w:lang w:val="cs-CZ"/>
        </w:rPr>
        <w:t>&lt;</w:t>
      </w:r>
      <w:r w:rsidR="00EE1E2E">
        <w:rPr>
          <w:sz w:val="22"/>
          <w:szCs w:val="22"/>
          <w:bdr w:val="nil"/>
          <w:lang w:val="cs-CZ"/>
        </w:rPr>
        <w:t> </w:t>
      </w:r>
      <w:r w:rsidRPr="0028273C">
        <w:rPr>
          <w:sz w:val="22"/>
          <w:szCs w:val="22"/>
          <w:bdr w:val="nil"/>
          <w:lang w:val="cs-CZ"/>
        </w:rPr>
        <w:t>12</w:t>
      </w:r>
      <w:proofErr w:type="gramEnd"/>
      <w:r w:rsidRPr="0028273C">
        <w:rPr>
          <w:sz w:val="22"/>
          <w:szCs w:val="22"/>
          <w:bdr w:val="nil"/>
          <w:lang w:val="cs-CZ"/>
        </w:rPr>
        <w:t xml:space="preserve"> let (44 PTP ve věku </w:t>
      </w:r>
      <w:proofErr w:type="gramStart"/>
      <w:r w:rsidRPr="0028273C">
        <w:rPr>
          <w:sz w:val="22"/>
          <w:szCs w:val="22"/>
          <w:bdr w:val="nil"/>
          <w:lang w:val="cs-CZ"/>
        </w:rPr>
        <w:t>&lt;</w:t>
      </w:r>
      <w:r w:rsidR="00C4326A">
        <w:rPr>
          <w:sz w:val="22"/>
          <w:szCs w:val="22"/>
          <w:bdr w:val="nil"/>
          <w:lang w:val="cs-CZ"/>
        </w:rPr>
        <w:t> </w:t>
      </w:r>
      <w:r w:rsidRPr="0028273C">
        <w:rPr>
          <w:sz w:val="22"/>
          <w:szCs w:val="22"/>
          <w:bdr w:val="nil"/>
          <w:lang w:val="cs-CZ"/>
        </w:rPr>
        <w:t>6</w:t>
      </w:r>
      <w:proofErr w:type="gramEnd"/>
      <w:r w:rsidRPr="0028273C">
        <w:rPr>
          <w:sz w:val="22"/>
          <w:szCs w:val="22"/>
          <w:bdr w:val="nil"/>
          <w:lang w:val="cs-CZ"/>
        </w:rPr>
        <w:t> let, 29 PTP ve věku 6</w:t>
      </w:r>
      <w:proofErr w:type="gramStart"/>
      <w:r w:rsidRPr="0028273C">
        <w:rPr>
          <w:sz w:val="22"/>
          <w:szCs w:val="22"/>
          <w:bdr w:val="nil"/>
          <w:lang w:val="cs-CZ"/>
        </w:rPr>
        <w:t>–&lt;</w:t>
      </w:r>
      <w:r w:rsidR="00C4326A">
        <w:rPr>
          <w:sz w:val="22"/>
          <w:szCs w:val="22"/>
          <w:bdr w:val="nil"/>
          <w:lang w:val="cs-CZ"/>
        </w:rPr>
        <w:t> </w:t>
      </w:r>
      <w:r w:rsidRPr="0028273C">
        <w:rPr>
          <w:sz w:val="22"/>
          <w:szCs w:val="22"/>
          <w:bdr w:val="nil"/>
          <w:lang w:val="cs-CZ"/>
        </w:rPr>
        <w:t>12</w:t>
      </w:r>
      <w:proofErr w:type="gramEnd"/>
      <w:r w:rsidRPr="0028273C">
        <w:rPr>
          <w:sz w:val="22"/>
          <w:szCs w:val="22"/>
          <w:bdr w:val="nil"/>
          <w:lang w:val="cs-CZ"/>
        </w:rPr>
        <w:t xml:space="preserve"> let) byly nežádoucí </w:t>
      </w:r>
      <w:r w:rsidR="00F72682">
        <w:rPr>
          <w:sz w:val="22"/>
          <w:szCs w:val="22"/>
          <w:bdr w:val="nil"/>
          <w:lang w:val="cs-CZ"/>
        </w:rPr>
        <w:t xml:space="preserve">účinky </w:t>
      </w:r>
      <w:r w:rsidRPr="0028273C">
        <w:rPr>
          <w:sz w:val="22"/>
          <w:szCs w:val="22"/>
          <w:bdr w:val="nil"/>
          <w:lang w:val="cs-CZ"/>
        </w:rPr>
        <w:t>v důsledku imunitní odpovědi na PEG pozorovány u dětí mladších 6 let. U</w:t>
      </w:r>
      <w:r w:rsidR="00017E72" w:rsidRPr="0028273C">
        <w:rPr>
          <w:sz w:val="22"/>
          <w:szCs w:val="22"/>
          <w:bdr w:val="nil"/>
          <w:lang w:val="cs-CZ"/>
        </w:rPr>
        <w:t> </w:t>
      </w:r>
      <w:r w:rsidR="00247189" w:rsidRPr="0028273C">
        <w:rPr>
          <w:sz w:val="22"/>
          <w:szCs w:val="22"/>
          <w:bdr w:val="nil"/>
          <w:lang w:val="cs-CZ"/>
        </w:rPr>
        <w:t xml:space="preserve">10 ze </w:t>
      </w:r>
      <w:proofErr w:type="gramStart"/>
      <w:r w:rsidR="00247189" w:rsidRPr="0028273C">
        <w:rPr>
          <w:sz w:val="22"/>
          <w:szCs w:val="22"/>
          <w:bdr w:val="nil"/>
          <w:lang w:val="cs-CZ"/>
        </w:rPr>
        <w:t>44</w:t>
      </w:r>
      <w:r w:rsidR="00414ADA" w:rsidRPr="00124755">
        <w:rPr>
          <w:szCs w:val="22"/>
          <w:lang w:val="cs-CZ"/>
        </w:rPr>
        <w:t> </w:t>
      </w:r>
      <w:r w:rsidRPr="0028273C">
        <w:rPr>
          <w:sz w:val="22"/>
          <w:szCs w:val="22"/>
          <w:bdr w:val="nil"/>
          <w:lang w:val="cs-CZ"/>
        </w:rPr>
        <w:t xml:space="preserve"> pacientů</w:t>
      </w:r>
      <w:proofErr w:type="gramEnd"/>
      <w:r w:rsidR="00247189" w:rsidRPr="0028273C">
        <w:rPr>
          <w:sz w:val="22"/>
          <w:szCs w:val="22"/>
          <w:bdr w:val="nil"/>
          <w:lang w:val="cs-CZ"/>
        </w:rPr>
        <w:t xml:space="preserve"> (23 %)</w:t>
      </w:r>
      <w:r w:rsidRPr="0028273C">
        <w:rPr>
          <w:sz w:val="22"/>
          <w:szCs w:val="22"/>
          <w:bdr w:val="nil"/>
          <w:lang w:val="cs-CZ"/>
        </w:rPr>
        <w:t xml:space="preserve"> v</w:t>
      </w:r>
      <w:r w:rsidR="00247189" w:rsidRPr="0028273C">
        <w:rPr>
          <w:sz w:val="22"/>
          <w:szCs w:val="22"/>
          <w:bdr w:val="nil"/>
          <w:lang w:val="cs-CZ"/>
        </w:rPr>
        <w:t>e</w:t>
      </w:r>
      <w:r w:rsidRPr="0028273C">
        <w:rPr>
          <w:sz w:val="22"/>
          <w:szCs w:val="22"/>
          <w:bdr w:val="nil"/>
          <w:lang w:val="cs-CZ"/>
        </w:rPr>
        <w:t xml:space="preserve"> věkové skupině mladších než 6 let byla pozorována ztráta </w:t>
      </w:r>
      <w:r w:rsidR="00A25686">
        <w:rPr>
          <w:sz w:val="22"/>
          <w:szCs w:val="22"/>
          <w:bdr w:val="nil"/>
          <w:lang w:val="cs-CZ"/>
        </w:rPr>
        <w:t>léčebného účinku</w:t>
      </w:r>
      <w:r w:rsidRPr="0028273C">
        <w:rPr>
          <w:sz w:val="22"/>
          <w:szCs w:val="22"/>
          <w:bdr w:val="nil"/>
          <w:lang w:val="cs-CZ"/>
        </w:rPr>
        <w:t xml:space="preserve"> způsobená neutralizačními anti-PEG protilátkami během prvních 4 dnů expozice. U</w:t>
      </w:r>
      <w:r w:rsidR="00B76A69" w:rsidRPr="0028273C">
        <w:rPr>
          <w:sz w:val="22"/>
          <w:szCs w:val="22"/>
          <w:bdr w:val="nil"/>
          <w:lang w:val="cs-CZ"/>
        </w:rPr>
        <w:t> </w:t>
      </w:r>
      <w:r w:rsidR="00247189" w:rsidRPr="0028273C">
        <w:rPr>
          <w:sz w:val="22"/>
          <w:szCs w:val="22"/>
          <w:bdr w:val="nil"/>
          <w:lang w:val="cs-CZ"/>
        </w:rPr>
        <w:t>3 ze 44</w:t>
      </w:r>
      <w:r w:rsidRPr="0028273C">
        <w:rPr>
          <w:sz w:val="22"/>
          <w:szCs w:val="22"/>
          <w:bdr w:val="nil"/>
          <w:lang w:val="cs-CZ"/>
        </w:rPr>
        <w:t xml:space="preserve"> pacientů</w:t>
      </w:r>
      <w:r w:rsidR="00247189" w:rsidRPr="0028273C">
        <w:rPr>
          <w:sz w:val="22"/>
          <w:szCs w:val="22"/>
          <w:bdr w:val="nil"/>
          <w:lang w:val="cs-CZ"/>
        </w:rPr>
        <w:t xml:space="preserve"> (7 %)</w:t>
      </w:r>
      <w:r w:rsidRPr="0028273C">
        <w:rPr>
          <w:sz w:val="22"/>
          <w:szCs w:val="22"/>
          <w:bdr w:val="nil"/>
          <w:lang w:val="cs-CZ"/>
        </w:rPr>
        <w:t xml:space="preserve"> byla ztráta </w:t>
      </w:r>
      <w:r w:rsidR="00FE1C69">
        <w:rPr>
          <w:sz w:val="22"/>
          <w:szCs w:val="22"/>
          <w:bdr w:val="nil"/>
          <w:lang w:val="cs-CZ"/>
        </w:rPr>
        <w:t xml:space="preserve">léčebného </w:t>
      </w:r>
      <w:r w:rsidRPr="0028273C">
        <w:rPr>
          <w:sz w:val="22"/>
          <w:szCs w:val="22"/>
          <w:bdr w:val="nil"/>
          <w:lang w:val="cs-CZ"/>
        </w:rPr>
        <w:t>účinku kombinovaná s hypersenzitivními reakcemi (viz bod</w:t>
      </w:r>
      <w:r w:rsidR="00627764" w:rsidRPr="0028273C">
        <w:rPr>
          <w:sz w:val="22"/>
          <w:szCs w:val="22"/>
          <w:bdr w:val="nil"/>
          <w:lang w:val="cs-CZ"/>
        </w:rPr>
        <w:t> </w:t>
      </w:r>
      <w:r w:rsidRPr="0028273C">
        <w:rPr>
          <w:sz w:val="22"/>
          <w:szCs w:val="22"/>
          <w:bdr w:val="nil"/>
          <w:lang w:val="cs-CZ"/>
        </w:rPr>
        <w:t>4.4). Žádné spouštěcí faktory nebo prediktory imunitní odpovědi na PEG nebyly identifikovány.</w:t>
      </w:r>
    </w:p>
    <w:p w14:paraId="26002855" w14:textId="77777777" w:rsidR="003620C7" w:rsidRPr="0028273C" w:rsidRDefault="003620C7" w:rsidP="00735457">
      <w:pPr>
        <w:pStyle w:val="BayerBodyTextFull"/>
        <w:spacing w:before="0" w:after="0"/>
        <w:rPr>
          <w:szCs w:val="22"/>
          <w:lang w:val="cs-CZ"/>
        </w:rPr>
      </w:pPr>
    </w:p>
    <w:p w14:paraId="6F18199F" w14:textId="77777777" w:rsidR="00FE4EEB" w:rsidRPr="0028273C" w:rsidRDefault="00FE4EEB" w:rsidP="00735457">
      <w:pPr>
        <w:keepNext/>
        <w:autoSpaceDE w:val="0"/>
        <w:autoSpaceDN w:val="0"/>
        <w:adjustRightInd w:val="0"/>
        <w:jc w:val="both"/>
        <w:rPr>
          <w:noProof/>
          <w:szCs w:val="24"/>
          <w:u w:val="single"/>
          <w:lang w:val="cs-CZ"/>
        </w:rPr>
      </w:pPr>
      <w:r w:rsidRPr="0028273C">
        <w:rPr>
          <w:noProof/>
          <w:szCs w:val="24"/>
          <w:u w:val="single"/>
          <w:lang w:val="cs-CZ"/>
        </w:rPr>
        <w:t>Hlášení podezření na nežádoucí účinky</w:t>
      </w:r>
    </w:p>
    <w:p w14:paraId="0A9BD350" w14:textId="77777777" w:rsidR="00FE4EEB" w:rsidRPr="0028273C" w:rsidRDefault="00FE4EEB" w:rsidP="00735457">
      <w:pPr>
        <w:keepNext/>
        <w:autoSpaceDE w:val="0"/>
        <w:autoSpaceDN w:val="0"/>
        <w:adjustRightInd w:val="0"/>
        <w:jc w:val="both"/>
        <w:rPr>
          <w:szCs w:val="24"/>
          <w:u w:val="single"/>
          <w:lang w:val="cs-CZ"/>
        </w:rPr>
      </w:pPr>
    </w:p>
    <w:p w14:paraId="5460548E" w14:textId="0CDDCDD5" w:rsidR="00994069" w:rsidRPr="00994069" w:rsidRDefault="00FE4EEB" w:rsidP="00994069">
      <w:pPr>
        <w:keepNext/>
        <w:rPr>
          <w:noProof/>
          <w:lang w:val="cs-CZ"/>
        </w:rPr>
      </w:pPr>
      <w:r w:rsidRPr="0028273C">
        <w:rPr>
          <w:noProof/>
          <w:szCs w:val="24"/>
          <w:lang w:val="cs-CZ"/>
        </w:rPr>
        <w:t>Hlášení podezření na nežádoucí účinky po registraci léčivého přípravku je důležité. Umožňuje to pokračovat</w:t>
      </w:r>
      <w:r w:rsidRPr="0028273C">
        <w:rPr>
          <w:szCs w:val="24"/>
          <w:lang w:val="cs-CZ"/>
        </w:rPr>
        <w:t xml:space="preserve"> ve</w:t>
      </w:r>
      <w:r w:rsidRPr="0028273C">
        <w:rPr>
          <w:noProof/>
          <w:szCs w:val="24"/>
          <w:lang w:val="cs-CZ"/>
        </w:rPr>
        <w:t xml:space="preserve"> sledování poměru přínosů a rizik léčivého přípravku. Žádáme </w:t>
      </w:r>
      <w:r w:rsidRPr="0028273C">
        <w:rPr>
          <w:szCs w:val="24"/>
          <w:lang w:val="cs-CZ"/>
        </w:rPr>
        <w:t xml:space="preserve">zdravotnické pracovníky, aby hlásili podezření na nežádoucí účinky </w:t>
      </w:r>
      <w:r w:rsidRPr="0028273C">
        <w:rPr>
          <w:noProof/>
          <w:szCs w:val="24"/>
          <w:lang w:val="cs-CZ"/>
        </w:rPr>
        <w:t>prostřednictvím</w:t>
      </w:r>
      <w:r w:rsidR="00994069" w:rsidRPr="00994069">
        <w:rPr>
          <w:noProof/>
          <w:lang w:val="cs-CZ"/>
        </w:rPr>
        <w:t xml:space="preserve"> webového formuláře </w:t>
      </w:r>
      <w:hyperlink r:id="rId13" w:history="1">
        <w:r w:rsidR="00994069" w:rsidRPr="00994069">
          <w:rPr>
            <w:rStyle w:val="Hypertextovodkaz"/>
            <w:noProof/>
            <w:lang w:val="cs-CZ"/>
          </w:rPr>
          <w:t>sukl.gov.cz/nezadouciucinky</w:t>
        </w:r>
      </w:hyperlink>
    </w:p>
    <w:p w14:paraId="0E98A1FB" w14:textId="77777777" w:rsidR="00994069" w:rsidRDefault="00994069" w:rsidP="00994069">
      <w:pPr>
        <w:keepNext/>
        <w:rPr>
          <w:noProof/>
          <w:szCs w:val="24"/>
          <w:lang w:val="cs-CZ"/>
        </w:rPr>
      </w:pPr>
      <w:r w:rsidRPr="00994069">
        <w:rPr>
          <w:noProof/>
          <w:szCs w:val="24"/>
          <w:lang w:val="cs-CZ"/>
        </w:rPr>
        <w:t>případně na adresu:</w:t>
      </w:r>
    </w:p>
    <w:p w14:paraId="37A64BF2" w14:textId="77777777" w:rsidR="00994069" w:rsidRPr="00994069" w:rsidRDefault="00994069" w:rsidP="00994069">
      <w:pPr>
        <w:keepNext/>
        <w:rPr>
          <w:noProof/>
          <w:szCs w:val="24"/>
          <w:lang w:val="cs-CZ"/>
        </w:rPr>
      </w:pPr>
    </w:p>
    <w:p w14:paraId="108ADE39" w14:textId="77777777" w:rsidR="00994069" w:rsidRPr="00994069" w:rsidRDefault="00994069" w:rsidP="00994069">
      <w:pPr>
        <w:keepNext/>
        <w:rPr>
          <w:noProof/>
          <w:szCs w:val="24"/>
          <w:lang w:val="cs-CZ"/>
        </w:rPr>
      </w:pPr>
      <w:r w:rsidRPr="00994069">
        <w:rPr>
          <w:noProof/>
          <w:szCs w:val="24"/>
          <w:lang w:val="cs-CZ"/>
        </w:rPr>
        <w:t>Státní ústav pro kontrolu léčiv</w:t>
      </w:r>
      <w:r w:rsidRPr="00994069">
        <w:rPr>
          <w:noProof/>
          <w:szCs w:val="24"/>
          <w:lang w:val="cs-CZ"/>
        </w:rPr>
        <w:br/>
        <w:t>Šrobárova 49/48</w:t>
      </w:r>
      <w:r w:rsidRPr="00994069">
        <w:rPr>
          <w:noProof/>
          <w:szCs w:val="24"/>
          <w:lang w:val="cs-CZ"/>
        </w:rPr>
        <w:br/>
        <w:t>100 00 Praha 10</w:t>
      </w:r>
      <w:r w:rsidRPr="00994069">
        <w:rPr>
          <w:noProof/>
          <w:szCs w:val="24"/>
          <w:lang w:val="cs-CZ"/>
        </w:rPr>
        <w:br/>
        <w:t>e-mail: </w:t>
      </w:r>
      <w:hyperlink r:id="rId14" w:tgtFrame="_blank" w:history="1">
        <w:r w:rsidRPr="00994069">
          <w:rPr>
            <w:rStyle w:val="Hypertextovodkaz"/>
            <w:noProof/>
            <w:szCs w:val="24"/>
            <w:lang w:val="cs-CZ"/>
          </w:rPr>
          <w:t>farmakovigilance@sukl.gov.cz</w:t>
        </w:r>
      </w:hyperlink>
    </w:p>
    <w:p w14:paraId="6B0E0725" w14:textId="77777777" w:rsidR="00DD6503" w:rsidRPr="0028273C" w:rsidRDefault="00DD6503" w:rsidP="0005661C">
      <w:pPr>
        <w:keepNext/>
        <w:rPr>
          <w:szCs w:val="22"/>
          <w:lang w:val="cs-CZ"/>
        </w:rPr>
      </w:pPr>
    </w:p>
    <w:p w14:paraId="1435099C" w14:textId="77777777" w:rsidR="00DD6503" w:rsidRPr="0028273C" w:rsidRDefault="00DD6503" w:rsidP="00FA1963">
      <w:pPr>
        <w:keepNext/>
        <w:keepLines/>
        <w:tabs>
          <w:tab w:val="clear" w:pos="567"/>
        </w:tabs>
        <w:ind w:left="567" w:hanging="567"/>
        <w:outlineLvl w:val="2"/>
        <w:rPr>
          <w:b/>
          <w:szCs w:val="22"/>
          <w:lang w:val="cs-CZ"/>
        </w:rPr>
      </w:pPr>
      <w:r w:rsidRPr="0028273C">
        <w:rPr>
          <w:b/>
          <w:szCs w:val="22"/>
          <w:lang w:val="cs-CZ"/>
        </w:rPr>
        <w:t>4.9</w:t>
      </w:r>
      <w:r w:rsidRPr="0028273C">
        <w:rPr>
          <w:b/>
          <w:szCs w:val="22"/>
          <w:lang w:val="cs-CZ"/>
        </w:rPr>
        <w:tab/>
      </w:r>
      <w:r w:rsidR="00287DAB" w:rsidRPr="0028273C">
        <w:rPr>
          <w:b/>
          <w:szCs w:val="22"/>
          <w:lang w:val="cs-CZ"/>
        </w:rPr>
        <w:t>Předávkování</w:t>
      </w:r>
    </w:p>
    <w:p w14:paraId="51BE6031" w14:textId="77777777" w:rsidR="00DD6503" w:rsidRPr="0028273C" w:rsidRDefault="00DD6503" w:rsidP="00735457">
      <w:pPr>
        <w:keepNext/>
        <w:keepLines/>
        <w:tabs>
          <w:tab w:val="clear" w:pos="567"/>
        </w:tabs>
        <w:rPr>
          <w:szCs w:val="22"/>
          <w:lang w:val="cs-CZ"/>
        </w:rPr>
      </w:pPr>
    </w:p>
    <w:p w14:paraId="0F7D0C53" w14:textId="77777777" w:rsidR="00DD6503" w:rsidRPr="0028273C" w:rsidRDefault="00287DAB" w:rsidP="00735457">
      <w:pPr>
        <w:keepNext/>
        <w:tabs>
          <w:tab w:val="clear" w:pos="567"/>
        </w:tabs>
        <w:rPr>
          <w:szCs w:val="22"/>
          <w:lang w:val="cs-CZ"/>
        </w:rPr>
      </w:pPr>
      <w:r w:rsidRPr="0028273C">
        <w:rPr>
          <w:szCs w:val="22"/>
          <w:lang w:val="cs-CZ"/>
        </w:rPr>
        <w:t xml:space="preserve">V klinických studiích byl zaznamenán jeden případ předávkování. Nebyly hlášeny žádné nežádoucí </w:t>
      </w:r>
      <w:r w:rsidR="008F7731">
        <w:rPr>
          <w:szCs w:val="22"/>
          <w:lang w:val="cs-CZ"/>
        </w:rPr>
        <w:t>účinky</w:t>
      </w:r>
      <w:r w:rsidR="00EF5DE2" w:rsidRPr="0028273C">
        <w:rPr>
          <w:szCs w:val="22"/>
          <w:lang w:val="cs-CZ"/>
        </w:rPr>
        <w:t>.</w:t>
      </w:r>
    </w:p>
    <w:p w14:paraId="4B4E7B6F" w14:textId="77777777" w:rsidR="00DD6503" w:rsidRPr="0028273C" w:rsidRDefault="00DD6503" w:rsidP="00735457">
      <w:pPr>
        <w:tabs>
          <w:tab w:val="clear" w:pos="567"/>
        </w:tabs>
        <w:rPr>
          <w:szCs w:val="22"/>
          <w:lang w:val="cs-CZ"/>
        </w:rPr>
      </w:pPr>
    </w:p>
    <w:p w14:paraId="1CE21C68" w14:textId="77777777" w:rsidR="00DD6503" w:rsidRPr="0028273C" w:rsidRDefault="00DD6503" w:rsidP="00735457">
      <w:pPr>
        <w:tabs>
          <w:tab w:val="clear" w:pos="567"/>
        </w:tabs>
        <w:rPr>
          <w:szCs w:val="22"/>
          <w:lang w:val="cs-CZ"/>
        </w:rPr>
      </w:pPr>
    </w:p>
    <w:p w14:paraId="29687569" w14:textId="77777777" w:rsidR="00DD6503" w:rsidRPr="0028273C" w:rsidRDefault="00DD6503" w:rsidP="00FA1963">
      <w:pPr>
        <w:keepNext/>
        <w:keepLines/>
        <w:tabs>
          <w:tab w:val="clear" w:pos="567"/>
        </w:tabs>
        <w:ind w:left="567" w:hanging="567"/>
        <w:outlineLvl w:val="1"/>
        <w:rPr>
          <w:b/>
          <w:szCs w:val="22"/>
          <w:lang w:val="cs-CZ"/>
        </w:rPr>
      </w:pPr>
      <w:r w:rsidRPr="0028273C">
        <w:rPr>
          <w:b/>
          <w:szCs w:val="22"/>
          <w:lang w:val="cs-CZ"/>
        </w:rPr>
        <w:t>5.</w:t>
      </w:r>
      <w:r w:rsidRPr="0028273C">
        <w:rPr>
          <w:b/>
          <w:szCs w:val="22"/>
          <w:lang w:val="cs-CZ"/>
        </w:rPr>
        <w:tab/>
      </w:r>
      <w:r w:rsidR="00883D61" w:rsidRPr="0028273C">
        <w:rPr>
          <w:b/>
          <w:szCs w:val="22"/>
          <w:lang w:val="cs-CZ"/>
        </w:rPr>
        <w:t>FARMAKOLOGICKÉ VLASTNOSTI</w:t>
      </w:r>
    </w:p>
    <w:p w14:paraId="276CF664" w14:textId="77777777" w:rsidR="00DD6503" w:rsidRPr="0028273C" w:rsidRDefault="00DD6503" w:rsidP="00735457">
      <w:pPr>
        <w:keepNext/>
        <w:keepLines/>
        <w:tabs>
          <w:tab w:val="clear" w:pos="567"/>
        </w:tabs>
        <w:rPr>
          <w:szCs w:val="22"/>
          <w:lang w:val="cs-CZ"/>
        </w:rPr>
      </w:pPr>
    </w:p>
    <w:p w14:paraId="1A352B7A" w14:textId="77777777" w:rsidR="00DD6503" w:rsidRPr="0028273C" w:rsidRDefault="00DD6503" w:rsidP="00FA1963">
      <w:pPr>
        <w:keepNext/>
        <w:keepLines/>
        <w:tabs>
          <w:tab w:val="clear" w:pos="567"/>
        </w:tabs>
        <w:ind w:left="567" w:hanging="567"/>
        <w:outlineLvl w:val="2"/>
        <w:rPr>
          <w:b/>
          <w:szCs w:val="22"/>
          <w:lang w:val="cs-CZ"/>
        </w:rPr>
      </w:pPr>
      <w:r w:rsidRPr="0028273C">
        <w:rPr>
          <w:b/>
          <w:szCs w:val="22"/>
          <w:lang w:val="cs-CZ"/>
        </w:rPr>
        <w:t>5.1</w:t>
      </w:r>
      <w:r w:rsidRPr="0028273C">
        <w:rPr>
          <w:b/>
          <w:szCs w:val="22"/>
          <w:lang w:val="cs-CZ"/>
        </w:rPr>
        <w:tab/>
      </w:r>
      <w:r w:rsidR="00883D61" w:rsidRPr="0028273C">
        <w:rPr>
          <w:b/>
          <w:szCs w:val="22"/>
          <w:lang w:val="cs-CZ"/>
        </w:rPr>
        <w:t>Farmakodynamické vlastnosti</w:t>
      </w:r>
    </w:p>
    <w:p w14:paraId="04D1B64C" w14:textId="77777777" w:rsidR="00DD6503" w:rsidRPr="0028273C" w:rsidRDefault="00DD6503" w:rsidP="00735457">
      <w:pPr>
        <w:keepNext/>
        <w:keepLines/>
        <w:tabs>
          <w:tab w:val="clear" w:pos="567"/>
        </w:tabs>
        <w:rPr>
          <w:szCs w:val="22"/>
          <w:lang w:val="cs-CZ"/>
        </w:rPr>
      </w:pPr>
    </w:p>
    <w:p w14:paraId="7C4B4651" w14:textId="77777777" w:rsidR="00DD6503" w:rsidRPr="0028273C" w:rsidRDefault="00883D61" w:rsidP="00735457">
      <w:pPr>
        <w:keepNext/>
        <w:tabs>
          <w:tab w:val="clear" w:pos="567"/>
        </w:tabs>
        <w:rPr>
          <w:szCs w:val="22"/>
          <w:lang w:val="cs-CZ"/>
        </w:rPr>
      </w:pPr>
      <w:r w:rsidRPr="0028273C">
        <w:rPr>
          <w:szCs w:val="22"/>
          <w:lang w:val="cs-CZ"/>
        </w:rPr>
        <w:t>Farmakoterapeutická skupina</w:t>
      </w:r>
      <w:r w:rsidR="00DD6503" w:rsidRPr="0028273C">
        <w:rPr>
          <w:szCs w:val="22"/>
          <w:lang w:val="cs-CZ"/>
        </w:rPr>
        <w:t xml:space="preserve">: </w:t>
      </w:r>
      <w:r w:rsidRPr="0028273C">
        <w:rPr>
          <w:szCs w:val="22"/>
          <w:lang w:val="cs-CZ"/>
        </w:rPr>
        <w:t>hemostatika</w:t>
      </w:r>
      <w:r w:rsidR="00DD6503" w:rsidRPr="0028273C">
        <w:rPr>
          <w:szCs w:val="22"/>
          <w:lang w:val="cs-CZ"/>
        </w:rPr>
        <w:t xml:space="preserve">: </w:t>
      </w:r>
      <w:r w:rsidRPr="0028273C">
        <w:rPr>
          <w:szCs w:val="22"/>
          <w:lang w:val="cs-CZ"/>
        </w:rPr>
        <w:t>krevní koagulační faktor</w:t>
      </w:r>
      <w:r w:rsidR="001F3843" w:rsidRPr="0028273C">
        <w:rPr>
          <w:szCs w:val="22"/>
          <w:lang w:val="cs-CZ"/>
        </w:rPr>
        <w:t> </w:t>
      </w:r>
      <w:r w:rsidR="00DD6503" w:rsidRPr="0028273C">
        <w:rPr>
          <w:szCs w:val="22"/>
          <w:lang w:val="cs-CZ"/>
        </w:rPr>
        <w:t xml:space="preserve">VIII, </w:t>
      </w:r>
      <w:r w:rsidR="0007361C" w:rsidRPr="0028273C">
        <w:rPr>
          <w:szCs w:val="22"/>
          <w:lang w:val="cs-CZ" w:eastAsia="de-DE"/>
        </w:rPr>
        <w:t>ATC</w:t>
      </w:r>
      <w:r w:rsidR="0007361C" w:rsidRPr="0028273C">
        <w:rPr>
          <w:szCs w:val="22"/>
          <w:lang w:val="cs-CZ"/>
        </w:rPr>
        <w:t> </w:t>
      </w:r>
      <w:r w:rsidRPr="0028273C">
        <w:rPr>
          <w:szCs w:val="22"/>
          <w:lang w:val="cs-CZ" w:eastAsia="de-DE"/>
        </w:rPr>
        <w:t>kód</w:t>
      </w:r>
      <w:r w:rsidR="0007361C" w:rsidRPr="0028273C">
        <w:rPr>
          <w:szCs w:val="22"/>
          <w:lang w:val="cs-CZ" w:eastAsia="de-DE"/>
        </w:rPr>
        <w:t>:</w:t>
      </w:r>
      <w:r w:rsidR="0007361C" w:rsidRPr="0028273C">
        <w:rPr>
          <w:szCs w:val="22"/>
          <w:lang w:val="cs-CZ" w:eastAsia="en-US"/>
        </w:rPr>
        <w:t xml:space="preserve"> </w:t>
      </w:r>
      <w:r w:rsidR="0007361C" w:rsidRPr="0028273C">
        <w:rPr>
          <w:bCs/>
          <w:szCs w:val="22"/>
          <w:lang w:val="cs-CZ" w:eastAsia="en-US"/>
        </w:rPr>
        <w:t>B02BD02</w:t>
      </w:r>
      <w:r w:rsidR="0007361C" w:rsidRPr="0028273C">
        <w:rPr>
          <w:szCs w:val="22"/>
          <w:lang w:val="cs-CZ"/>
        </w:rPr>
        <w:t>.</w:t>
      </w:r>
    </w:p>
    <w:p w14:paraId="6ED580EB" w14:textId="77777777" w:rsidR="00DD6503" w:rsidRPr="0028273C" w:rsidRDefault="00DD6503" w:rsidP="00735457">
      <w:pPr>
        <w:tabs>
          <w:tab w:val="clear" w:pos="567"/>
        </w:tabs>
        <w:rPr>
          <w:szCs w:val="22"/>
          <w:lang w:val="cs-CZ"/>
        </w:rPr>
      </w:pPr>
    </w:p>
    <w:p w14:paraId="0FBF9C01" w14:textId="77777777" w:rsidR="00DD6503" w:rsidRPr="0028273C" w:rsidRDefault="00883D61" w:rsidP="00735457">
      <w:pPr>
        <w:keepNext/>
        <w:keepLines/>
        <w:tabs>
          <w:tab w:val="clear" w:pos="567"/>
        </w:tabs>
        <w:rPr>
          <w:szCs w:val="22"/>
          <w:u w:val="single"/>
          <w:lang w:val="cs-CZ"/>
        </w:rPr>
      </w:pPr>
      <w:r w:rsidRPr="0028273C">
        <w:rPr>
          <w:szCs w:val="22"/>
          <w:u w:val="single"/>
          <w:lang w:val="cs-CZ"/>
        </w:rPr>
        <w:lastRenderedPageBreak/>
        <w:t>Mechanismus účinku</w:t>
      </w:r>
    </w:p>
    <w:p w14:paraId="44D083BE" w14:textId="77777777" w:rsidR="00DD6503" w:rsidRPr="0028273C" w:rsidRDefault="00DD6503" w:rsidP="00735457">
      <w:pPr>
        <w:keepNext/>
        <w:keepLines/>
        <w:tabs>
          <w:tab w:val="clear" w:pos="567"/>
        </w:tabs>
        <w:rPr>
          <w:szCs w:val="22"/>
          <w:lang w:val="cs-CZ"/>
        </w:rPr>
      </w:pPr>
    </w:p>
    <w:p w14:paraId="0E5ADE67" w14:textId="2BB879D1" w:rsidR="00883D61" w:rsidRPr="0028273C" w:rsidRDefault="007714BE" w:rsidP="00735457">
      <w:pPr>
        <w:keepNext/>
        <w:keepLines/>
        <w:rPr>
          <w:lang w:val="cs-CZ"/>
        </w:rPr>
      </w:pPr>
      <w:r w:rsidRPr="00764A31">
        <w:rPr>
          <w:lang w:val="cs-CZ"/>
        </w:rPr>
        <w:t>Komplex faktoru VIII</w:t>
      </w:r>
      <w:r w:rsidR="00ED53EE">
        <w:rPr>
          <w:lang w:val="cs-CZ"/>
        </w:rPr>
        <w:t xml:space="preserve"> </w:t>
      </w:r>
      <w:r w:rsidRPr="00764A31">
        <w:rPr>
          <w:lang w:val="cs-CZ"/>
        </w:rPr>
        <w:t>/</w:t>
      </w:r>
      <w:r w:rsidR="00ED53EE">
        <w:rPr>
          <w:lang w:val="cs-CZ"/>
        </w:rPr>
        <w:t xml:space="preserve"> </w:t>
      </w:r>
      <w:r w:rsidRPr="00764A31">
        <w:rPr>
          <w:lang w:val="cs-CZ"/>
        </w:rPr>
        <w:t xml:space="preserve">von </w:t>
      </w:r>
      <w:proofErr w:type="spellStart"/>
      <w:r w:rsidRPr="00764A31">
        <w:rPr>
          <w:lang w:val="cs-CZ"/>
        </w:rPr>
        <w:t>Willebrandova</w:t>
      </w:r>
      <w:proofErr w:type="spellEnd"/>
      <w:r w:rsidRPr="00764A31">
        <w:rPr>
          <w:lang w:val="cs-CZ"/>
        </w:rPr>
        <w:t xml:space="preserve"> faktoru </w:t>
      </w:r>
      <w:r w:rsidR="00883D61" w:rsidRPr="0028273C">
        <w:rPr>
          <w:lang w:val="cs-CZ"/>
        </w:rPr>
        <w:t>se skládá ze dvou molekul (faktor VIII a</w:t>
      </w:r>
      <w:r w:rsidR="00B76A69" w:rsidRPr="0028273C">
        <w:rPr>
          <w:lang w:val="cs-CZ"/>
        </w:rPr>
        <w:t> </w:t>
      </w:r>
      <w:r w:rsidR="00247189" w:rsidRPr="0028273C">
        <w:rPr>
          <w:lang w:val="cs-CZ"/>
        </w:rPr>
        <w:t xml:space="preserve">von </w:t>
      </w:r>
      <w:proofErr w:type="spellStart"/>
      <w:r w:rsidR="00247189" w:rsidRPr="0028273C">
        <w:rPr>
          <w:lang w:val="cs-CZ"/>
        </w:rPr>
        <w:t>Willebrand</w:t>
      </w:r>
      <w:r w:rsidR="00B76A69" w:rsidRPr="0028273C">
        <w:rPr>
          <w:lang w:val="cs-CZ"/>
        </w:rPr>
        <w:t>ův</w:t>
      </w:r>
      <w:proofErr w:type="spellEnd"/>
      <w:r w:rsidR="00247189" w:rsidRPr="0028273C">
        <w:rPr>
          <w:lang w:val="cs-CZ"/>
        </w:rPr>
        <w:t xml:space="preserve"> faktor</w:t>
      </w:r>
      <w:r w:rsidR="00883D61" w:rsidRPr="0028273C">
        <w:rPr>
          <w:lang w:val="cs-CZ"/>
        </w:rPr>
        <w:t xml:space="preserve">) s různými fyziologickými funkcemi. Při aplikaci pacientovi s hemofilií se faktor VIII váže na </w:t>
      </w:r>
      <w:r w:rsidR="00114DA9" w:rsidRPr="0028273C">
        <w:rPr>
          <w:lang w:val="cs-CZ"/>
        </w:rPr>
        <w:t xml:space="preserve">von </w:t>
      </w:r>
      <w:proofErr w:type="spellStart"/>
      <w:r w:rsidR="00114DA9" w:rsidRPr="0028273C">
        <w:rPr>
          <w:lang w:val="cs-CZ"/>
        </w:rPr>
        <w:t>Willebrandův</w:t>
      </w:r>
      <w:proofErr w:type="spellEnd"/>
      <w:r w:rsidR="00114DA9" w:rsidRPr="0028273C">
        <w:rPr>
          <w:lang w:val="cs-CZ"/>
        </w:rPr>
        <w:t xml:space="preserve"> faktor</w:t>
      </w:r>
      <w:r w:rsidR="00883D61" w:rsidRPr="0028273C">
        <w:rPr>
          <w:lang w:val="cs-CZ"/>
        </w:rPr>
        <w:t xml:space="preserve"> </w:t>
      </w:r>
      <w:r w:rsidR="008F7731">
        <w:rPr>
          <w:lang w:val="cs-CZ"/>
        </w:rPr>
        <w:t xml:space="preserve">v oběhu </w:t>
      </w:r>
      <w:r w:rsidR="00883D61" w:rsidRPr="0028273C">
        <w:rPr>
          <w:lang w:val="cs-CZ"/>
        </w:rPr>
        <w:t>pacienta. Aktivovaný faktor VIII působí jako kofaktor pro aktivovaný faktor </w:t>
      </w:r>
      <w:proofErr w:type="spellStart"/>
      <w:proofErr w:type="gramStart"/>
      <w:r w:rsidR="00883D61" w:rsidRPr="0028273C">
        <w:rPr>
          <w:lang w:val="cs-CZ"/>
        </w:rPr>
        <w:t>IX,</w:t>
      </w:r>
      <w:r w:rsidR="00ED53EE">
        <w:rPr>
          <w:lang w:val="cs-CZ"/>
        </w:rPr>
        <w:t>a</w:t>
      </w:r>
      <w:proofErr w:type="spellEnd"/>
      <w:proofErr w:type="gramEnd"/>
      <w:r w:rsidR="00883D61" w:rsidRPr="0028273C">
        <w:rPr>
          <w:lang w:val="cs-CZ"/>
        </w:rPr>
        <w:t xml:space="preserve"> urychluj</w:t>
      </w:r>
      <w:r w:rsidR="00ED53EE">
        <w:rPr>
          <w:lang w:val="cs-CZ"/>
        </w:rPr>
        <w:t>e tak přeměnu</w:t>
      </w:r>
      <w:r w:rsidR="00883D61" w:rsidRPr="0028273C">
        <w:rPr>
          <w:lang w:val="cs-CZ"/>
        </w:rPr>
        <w:t xml:space="preserve"> faktoru X na aktivovaný faktor </w:t>
      </w:r>
      <w:proofErr w:type="spellStart"/>
      <w:r w:rsidR="00883D61" w:rsidRPr="0028273C">
        <w:rPr>
          <w:lang w:val="cs-CZ"/>
        </w:rPr>
        <w:t>X.Aktivovaný</w:t>
      </w:r>
      <w:proofErr w:type="spellEnd"/>
      <w:r w:rsidR="00883D61" w:rsidRPr="0028273C">
        <w:rPr>
          <w:lang w:val="cs-CZ"/>
        </w:rPr>
        <w:t xml:space="preserve"> faktor X přeměňuje protrombin na trombin. Trombin pak přeměňuje fibrinogen na fibrin a může dojít k vytvoření sraženiny. Hemofilie A je pohlavně vázaná dědičná porucha srážlivosti krve způsobená sníženou hladinou faktoru VIII:C, následkem čehož dochází k</w:t>
      </w:r>
      <w:r w:rsidR="00B76A69" w:rsidRPr="0028273C">
        <w:rPr>
          <w:lang w:val="cs-CZ"/>
        </w:rPr>
        <w:t>e</w:t>
      </w:r>
      <w:r w:rsidR="00883D61" w:rsidRPr="0028273C">
        <w:rPr>
          <w:lang w:val="cs-CZ"/>
        </w:rPr>
        <w:t xml:space="preserve"> krvácení do kloubů, svalů nebo vnitřních orgánů, buď spontánn</w:t>
      </w:r>
      <w:r>
        <w:rPr>
          <w:lang w:val="cs-CZ"/>
        </w:rPr>
        <w:t>ě</w:t>
      </w:r>
      <w:r w:rsidR="00883D61" w:rsidRPr="0028273C">
        <w:rPr>
          <w:lang w:val="cs-CZ"/>
        </w:rPr>
        <w:t xml:space="preserve">, nebo jako následek </w:t>
      </w:r>
      <w:r w:rsidR="003E5FAC">
        <w:rPr>
          <w:lang w:val="cs-CZ"/>
        </w:rPr>
        <w:t>poranění</w:t>
      </w:r>
      <w:r w:rsidR="00595A9B">
        <w:rPr>
          <w:lang w:val="cs-CZ"/>
        </w:rPr>
        <w:t xml:space="preserve"> </w:t>
      </w:r>
      <w:r w:rsidR="00883D61" w:rsidRPr="0028273C">
        <w:rPr>
          <w:lang w:val="cs-CZ"/>
        </w:rPr>
        <w:t xml:space="preserve">při </w:t>
      </w:r>
      <w:r w:rsidR="00393B0D">
        <w:rPr>
          <w:lang w:val="cs-CZ"/>
        </w:rPr>
        <w:t>úrazu</w:t>
      </w:r>
      <w:r w:rsidR="00393B0D" w:rsidRPr="0028273C" w:rsidDel="003E5FAC">
        <w:rPr>
          <w:lang w:val="cs-CZ"/>
        </w:rPr>
        <w:t xml:space="preserve"> </w:t>
      </w:r>
      <w:r w:rsidR="00883D61" w:rsidRPr="0028273C">
        <w:rPr>
          <w:lang w:val="cs-CZ"/>
        </w:rPr>
        <w:t>nebo chirurgickém</w:t>
      </w:r>
      <w:r w:rsidR="00393B0D">
        <w:rPr>
          <w:lang w:val="cs-CZ"/>
        </w:rPr>
        <w:t xml:space="preserve"> </w:t>
      </w:r>
      <w:r w:rsidR="00656427">
        <w:rPr>
          <w:lang w:val="cs-CZ"/>
        </w:rPr>
        <w:t>výkonu</w:t>
      </w:r>
      <w:r w:rsidR="00883D61" w:rsidRPr="0028273C">
        <w:rPr>
          <w:lang w:val="cs-CZ"/>
        </w:rPr>
        <w:t>. Substituční léčbou se hladiny faktoru VIII v plazmě zvýší, čímž je umožněna přechodná úprava nedostatku faktoru VIII a úprava sklonů ke krvácení.</w:t>
      </w:r>
    </w:p>
    <w:p w14:paraId="4F12C8BE" w14:textId="77777777" w:rsidR="00DD6503" w:rsidRPr="0028273C" w:rsidRDefault="00DD6503" w:rsidP="00735457">
      <w:pPr>
        <w:tabs>
          <w:tab w:val="clear" w:pos="567"/>
        </w:tabs>
        <w:rPr>
          <w:szCs w:val="22"/>
          <w:lang w:val="cs-CZ"/>
        </w:rPr>
      </w:pPr>
    </w:p>
    <w:p w14:paraId="1EAC0B20" w14:textId="7EE49C96" w:rsidR="00DD6503" w:rsidRPr="0028273C" w:rsidRDefault="000D4AA5" w:rsidP="00735457">
      <w:pPr>
        <w:tabs>
          <w:tab w:val="clear" w:pos="567"/>
        </w:tabs>
        <w:rPr>
          <w:szCs w:val="22"/>
          <w:lang w:val="cs-CZ"/>
        </w:rPr>
      </w:pPr>
      <w:proofErr w:type="spellStart"/>
      <w:r w:rsidRPr="0028273C">
        <w:rPr>
          <w:szCs w:val="22"/>
          <w:lang w:val="cs-CZ"/>
        </w:rPr>
        <w:t>Damo</w:t>
      </w:r>
      <w:r w:rsidR="009F2675">
        <w:rPr>
          <w:szCs w:val="22"/>
          <w:lang w:val="cs-CZ"/>
        </w:rPr>
        <w:t>k</w:t>
      </w:r>
      <w:r w:rsidRPr="0028273C">
        <w:rPr>
          <w:szCs w:val="22"/>
          <w:lang w:val="cs-CZ"/>
        </w:rPr>
        <w:t>to</w:t>
      </w:r>
      <w:r w:rsidR="00A67024">
        <w:rPr>
          <w:szCs w:val="22"/>
          <w:lang w:val="cs-CZ"/>
        </w:rPr>
        <w:t>k</w:t>
      </w:r>
      <w:r w:rsidRPr="0028273C">
        <w:rPr>
          <w:szCs w:val="22"/>
          <w:lang w:val="cs-CZ"/>
        </w:rPr>
        <w:t>og</w:t>
      </w:r>
      <w:proofErr w:type="spellEnd"/>
      <w:r w:rsidRPr="0028273C">
        <w:rPr>
          <w:szCs w:val="22"/>
          <w:lang w:val="cs-CZ"/>
        </w:rPr>
        <w:t xml:space="preserve"> alfa </w:t>
      </w:r>
      <w:proofErr w:type="spellStart"/>
      <w:r w:rsidRPr="0028273C">
        <w:rPr>
          <w:szCs w:val="22"/>
          <w:lang w:val="cs-CZ"/>
        </w:rPr>
        <w:t>pegol</w:t>
      </w:r>
      <w:proofErr w:type="spellEnd"/>
      <w:r w:rsidR="00325EF7" w:rsidRPr="0028273C">
        <w:rPr>
          <w:szCs w:val="22"/>
          <w:lang w:val="cs-CZ"/>
        </w:rPr>
        <w:t xml:space="preserve"> </w:t>
      </w:r>
      <w:r w:rsidR="005A51A7" w:rsidRPr="0028273C">
        <w:rPr>
          <w:szCs w:val="22"/>
          <w:lang w:val="cs-CZ"/>
        </w:rPr>
        <w:t xml:space="preserve">je </w:t>
      </w:r>
      <w:proofErr w:type="spellStart"/>
      <w:r w:rsidR="00073ECC">
        <w:rPr>
          <w:szCs w:val="22"/>
          <w:lang w:val="cs-CZ"/>
        </w:rPr>
        <w:t>peg</w:t>
      </w:r>
      <w:r w:rsidR="005A51A7" w:rsidRPr="0028273C">
        <w:rPr>
          <w:szCs w:val="22"/>
          <w:lang w:val="cs-CZ"/>
        </w:rPr>
        <w:t>ylovan</w:t>
      </w:r>
      <w:r w:rsidR="00ED53EE">
        <w:rPr>
          <w:szCs w:val="22"/>
          <w:lang w:val="cs-CZ"/>
        </w:rPr>
        <w:t>ý</w:t>
      </w:r>
      <w:proofErr w:type="spellEnd"/>
      <w:r w:rsidR="00261801">
        <w:rPr>
          <w:szCs w:val="22"/>
          <w:lang w:val="cs-CZ"/>
        </w:rPr>
        <w:t xml:space="preserve"> </w:t>
      </w:r>
      <w:r w:rsidR="00ED53EE">
        <w:rPr>
          <w:szCs w:val="22"/>
          <w:lang w:val="cs-CZ"/>
        </w:rPr>
        <w:t xml:space="preserve">rekombinantní lidský faktor </w:t>
      </w:r>
      <w:r w:rsidR="00EC37C5" w:rsidRPr="0028273C">
        <w:rPr>
          <w:szCs w:val="22"/>
          <w:lang w:val="cs-CZ"/>
        </w:rPr>
        <w:t>FVIII</w:t>
      </w:r>
      <w:r w:rsidR="00325EF7" w:rsidRPr="0028273C">
        <w:rPr>
          <w:szCs w:val="22"/>
          <w:lang w:val="cs-CZ"/>
        </w:rPr>
        <w:t>.</w:t>
      </w:r>
      <w:r w:rsidR="00114DA9" w:rsidRPr="0028273C">
        <w:rPr>
          <w:szCs w:val="22"/>
          <w:lang w:val="cs-CZ"/>
        </w:rPr>
        <w:t xml:space="preserve"> </w:t>
      </w:r>
      <w:r w:rsidR="008F7731">
        <w:rPr>
          <w:szCs w:val="22"/>
          <w:lang w:val="cs-CZ"/>
        </w:rPr>
        <w:t xml:space="preserve">Specifická místní </w:t>
      </w:r>
      <w:proofErr w:type="spellStart"/>
      <w:r w:rsidR="00417639">
        <w:rPr>
          <w:szCs w:val="22"/>
          <w:lang w:val="cs-CZ"/>
        </w:rPr>
        <w:t>peg</w:t>
      </w:r>
      <w:r w:rsidR="00D25916" w:rsidRPr="0028273C">
        <w:rPr>
          <w:szCs w:val="22"/>
          <w:lang w:val="cs-CZ"/>
        </w:rPr>
        <w:t>ylace</w:t>
      </w:r>
      <w:proofErr w:type="spellEnd"/>
      <w:r w:rsidR="00D25916" w:rsidRPr="0028273C">
        <w:rPr>
          <w:szCs w:val="22"/>
          <w:lang w:val="cs-CZ"/>
        </w:rPr>
        <w:t xml:space="preserve"> snižuje clearance faktoru</w:t>
      </w:r>
      <w:r w:rsidR="00B76A69" w:rsidRPr="0028273C">
        <w:rPr>
          <w:szCs w:val="22"/>
          <w:lang w:val="cs-CZ"/>
        </w:rPr>
        <w:t> </w:t>
      </w:r>
      <w:r w:rsidR="00D25916" w:rsidRPr="0028273C">
        <w:rPr>
          <w:szCs w:val="22"/>
          <w:lang w:val="cs-CZ"/>
        </w:rPr>
        <w:t>VIII</w:t>
      </w:r>
      <w:r w:rsidR="00114DA9" w:rsidRPr="0028273C">
        <w:rPr>
          <w:szCs w:val="22"/>
          <w:lang w:val="cs-CZ"/>
        </w:rPr>
        <w:t xml:space="preserve">, což vede k prodlouženému </w:t>
      </w:r>
      <w:r w:rsidR="00ED53EE">
        <w:rPr>
          <w:szCs w:val="22"/>
          <w:lang w:val="cs-CZ"/>
        </w:rPr>
        <w:t>plazmatickému</w:t>
      </w:r>
      <w:r w:rsidR="00ED53EE" w:rsidRPr="0028273C">
        <w:rPr>
          <w:szCs w:val="22"/>
          <w:lang w:val="cs-CZ"/>
        </w:rPr>
        <w:t xml:space="preserve"> </w:t>
      </w:r>
      <w:r w:rsidR="00114DA9" w:rsidRPr="0028273C">
        <w:rPr>
          <w:szCs w:val="22"/>
          <w:lang w:val="cs-CZ"/>
        </w:rPr>
        <w:t>poločasu</w:t>
      </w:r>
      <w:r w:rsidR="00D25916" w:rsidRPr="0028273C">
        <w:rPr>
          <w:szCs w:val="22"/>
          <w:lang w:val="cs-CZ"/>
        </w:rPr>
        <w:t xml:space="preserve"> při </w:t>
      </w:r>
      <w:r w:rsidR="008F7731">
        <w:rPr>
          <w:szCs w:val="22"/>
          <w:lang w:val="cs-CZ"/>
        </w:rPr>
        <w:t>zachování</w:t>
      </w:r>
      <w:r w:rsidR="00D25916" w:rsidRPr="0028273C">
        <w:rPr>
          <w:szCs w:val="22"/>
          <w:lang w:val="cs-CZ"/>
        </w:rPr>
        <w:t xml:space="preserve"> normálních funkcí molekuly </w:t>
      </w:r>
      <w:proofErr w:type="spellStart"/>
      <w:r w:rsidR="00D25916" w:rsidRPr="0028273C">
        <w:rPr>
          <w:szCs w:val="22"/>
          <w:lang w:val="cs-CZ"/>
        </w:rPr>
        <w:t>rFVIII</w:t>
      </w:r>
      <w:proofErr w:type="spellEnd"/>
      <w:r w:rsidR="00D25916" w:rsidRPr="0028273C">
        <w:rPr>
          <w:szCs w:val="22"/>
          <w:lang w:val="cs-CZ"/>
        </w:rPr>
        <w:t xml:space="preserve"> </w:t>
      </w:r>
      <w:r w:rsidR="00B733CB">
        <w:rPr>
          <w:szCs w:val="22"/>
          <w:lang w:val="cs-CZ"/>
        </w:rPr>
        <w:t>bez B-domény</w:t>
      </w:r>
      <w:r w:rsidR="008F7731">
        <w:rPr>
          <w:szCs w:val="22"/>
          <w:lang w:val="cs-CZ"/>
        </w:rPr>
        <w:t xml:space="preserve"> </w:t>
      </w:r>
      <w:r w:rsidR="00D25916" w:rsidRPr="0028273C">
        <w:rPr>
          <w:szCs w:val="22"/>
          <w:lang w:val="cs-CZ"/>
        </w:rPr>
        <w:t>(viz bod</w:t>
      </w:r>
      <w:r w:rsidR="00627764" w:rsidRPr="0028273C">
        <w:rPr>
          <w:szCs w:val="22"/>
          <w:lang w:val="cs-CZ"/>
        </w:rPr>
        <w:t> </w:t>
      </w:r>
      <w:r w:rsidR="00D25916" w:rsidRPr="0028273C">
        <w:rPr>
          <w:szCs w:val="22"/>
          <w:lang w:val="cs-CZ"/>
        </w:rPr>
        <w:t>5.2)</w:t>
      </w:r>
      <w:r w:rsidR="00184B95" w:rsidRPr="0028273C">
        <w:rPr>
          <w:szCs w:val="22"/>
          <w:lang w:val="cs-CZ"/>
        </w:rPr>
        <w:t>.</w:t>
      </w:r>
      <w:r w:rsidR="00114DA9" w:rsidRPr="0028273C">
        <w:rPr>
          <w:szCs w:val="22"/>
          <w:lang w:val="cs-CZ"/>
        </w:rPr>
        <w:t xml:space="preserve"> </w:t>
      </w:r>
      <w:proofErr w:type="spellStart"/>
      <w:r w:rsidRPr="0028273C">
        <w:rPr>
          <w:szCs w:val="22"/>
          <w:lang w:val="cs-CZ"/>
        </w:rPr>
        <w:t>Damo</w:t>
      </w:r>
      <w:r w:rsidR="00DC7841">
        <w:rPr>
          <w:szCs w:val="22"/>
          <w:lang w:val="cs-CZ"/>
        </w:rPr>
        <w:t>k</w:t>
      </w:r>
      <w:r w:rsidRPr="0028273C">
        <w:rPr>
          <w:szCs w:val="22"/>
          <w:lang w:val="cs-CZ"/>
        </w:rPr>
        <w:t>to</w:t>
      </w:r>
      <w:r w:rsidR="00417639">
        <w:rPr>
          <w:szCs w:val="22"/>
          <w:lang w:val="cs-CZ"/>
        </w:rPr>
        <w:t>k</w:t>
      </w:r>
      <w:r w:rsidRPr="0028273C">
        <w:rPr>
          <w:szCs w:val="22"/>
          <w:lang w:val="cs-CZ"/>
        </w:rPr>
        <w:t>og</w:t>
      </w:r>
      <w:proofErr w:type="spellEnd"/>
      <w:r w:rsidRPr="0028273C">
        <w:rPr>
          <w:szCs w:val="22"/>
          <w:lang w:val="cs-CZ"/>
        </w:rPr>
        <w:t xml:space="preserve"> alfa </w:t>
      </w:r>
      <w:proofErr w:type="spellStart"/>
      <w:r w:rsidRPr="0028273C">
        <w:rPr>
          <w:szCs w:val="22"/>
          <w:lang w:val="cs-CZ"/>
        </w:rPr>
        <w:t>pegol</w:t>
      </w:r>
      <w:proofErr w:type="spellEnd"/>
      <w:r w:rsidR="00B07BA7" w:rsidRPr="0028273C">
        <w:rPr>
          <w:szCs w:val="22"/>
          <w:lang w:val="cs-CZ"/>
        </w:rPr>
        <w:t xml:space="preserve"> </w:t>
      </w:r>
      <w:r w:rsidR="00883D61" w:rsidRPr="0028273C">
        <w:rPr>
          <w:szCs w:val="22"/>
          <w:lang w:val="cs-CZ"/>
        </w:rPr>
        <w:t>neobsahuje</w:t>
      </w:r>
      <w:r w:rsidR="00DD6503" w:rsidRPr="0028273C">
        <w:rPr>
          <w:szCs w:val="22"/>
          <w:lang w:val="cs-CZ"/>
        </w:rPr>
        <w:t xml:space="preserve"> von </w:t>
      </w:r>
      <w:proofErr w:type="spellStart"/>
      <w:r w:rsidR="00DD6503" w:rsidRPr="0028273C">
        <w:rPr>
          <w:szCs w:val="22"/>
          <w:lang w:val="cs-CZ"/>
        </w:rPr>
        <w:t>Willebrand</w:t>
      </w:r>
      <w:r w:rsidR="00883D61" w:rsidRPr="0028273C">
        <w:rPr>
          <w:szCs w:val="22"/>
          <w:lang w:val="cs-CZ"/>
        </w:rPr>
        <w:t>ův</w:t>
      </w:r>
      <w:proofErr w:type="spellEnd"/>
      <w:r w:rsidR="00DD6503" w:rsidRPr="0028273C">
        <w:rPr>
          <w:szCs w:val="22"/>
          <w:lang w:val="cs-CZ"/>
        </w:rPr>
        <w:t xml:space="preserve"> fa</w:t>
      </w:r>
      <w:r w:rsidR="00883D61" w:rsidRPr="0028273C">
        <w:rPr>
          <w:szCs w:val="22"/>
          <w:lang w:val="cs-CZ"/>
        </w:rPr>
        <w:t>k</w:t>
      </w:r>
      <w:r w:rsidR="00DD6503" w:rsidRPr="0028273C">
        <w:rPr>
          <w:szCs w:val="22"/>
          <w:lang w:val="cs-CZ"/>
        </w:rPr>
        <w:t>tor.</w:t>
      </w:r>
    </w:p>
    <w:p w14:paraId="493385E5" w14:textId="77777777" w:rsidR="00DD6503" w:rsidRPr="0028273C" w:rsidRDefault="00DD6503" w:rsidP="00735457">
      <w:pPr>
        <w:tabs>
          <w:tab w:val="clear" w:pos="567"/>
        </w:tabs>
        <w:rPr>
          <w:szCs w:val="22"/>
          <w:lang w:val="cs-CZ"/>
        </w:rPr>
      </w:pPr>
    </w:p>
    <w:p w14:paraId="58A46FAB" w14:textId="77777777" w:rsidR="00DD6503" w:rsidRPr="0028273C" w:rsidRDefault="00883D61" w:rsidP="00735457">
      <w:pPr>
        <w:keepNext/>
        <w:tabs>
          <w:tab w:val="clear" w:pos="567"/>
        </w:tabs>
        <w:rPr>
          <w:szCs w:val="22"/>
          <w:u w:val="single"/>
          <w:lang w:val="cs-CZ"/>
        </w:rPr>
      </w:pPr>
      <w:r w:rsidRPr="0028273C">
        <w:rPr>
          <w:szCs w:val="22"/>
          <w:u w:val="single"/>
          <w:lang w:val="cs-CZ"/>
        </w:rPr>
        <w:t>Klinická účinnost a bezpečnost</w:t>
      </w:r>
    </w:p>
    <w:p w14:paraId="375CC5EB" w14:textId="77777777" w:rsidR="00DD6503" w:rsidRPr="0028273C" w:rsidRDefault="00DD6503" w:rsidP="00735457">
      <w:pPr>
        <w:keepNext/>
        <w:tabs>
          <w:tab w:val="clear" w:pos="567"/>
        </w:tabs>
        <w:rPr>
          <w:szCs w:val="22"/>
          <w:lang w:val="cs-CZ"/>
        </w:rPr>
      </w:pPr>
    </w:p>
    <w:p w14:paraId="7D219731" w14:textId="77777777" w:rsidR="00567EEE" w:rsidRPr="0028273C" w:rsidRDefault="00883D61" w:rsidP="00735457">
      <w:pPr>
        <w:pStyle w:val="BayerBodyTextFull"/>
        <w:keepNext/>
        <w:spacing w:before="0" w:after="0"/>
        <w:rPr>
          <w:i/>
          <w:sz w:val="22"/>
          <w:szCs w:val="22"/>
          <w:lang w:val="cs-CZ"/>
        </w:rPr>
      </w:pPr>
      <w:r w:rsidRPr="0028273C">
        <w:rPr>
          <w:i/>
          <w:sz w:val="22"/>
          <w:szCs w:val="22"/>
          <w:lang w:val="cs-CZ"/>
        </w:rPr>
        <w:t>Klinické studie</w:t>
      </w:r>
    </w:p>
    <w:p w14:paraId="0CB2364E" w14:textId="77777777" w:rsidR="00114DA9" w:rsidRPr="0028273C" w:rsidRDefault="00114DA9" w:rsidP="00735457">
      <w:pPr>
        <w:pStyle w:val="BayerBodyTextFull"/>
        <w:keepNext/>
        <w:spacing w:before="0" w:after="0"/>
        <w:rPr>
          <w:i/>
          <w:sz w:val="22"/>
          <w:szCs w:val="22"/>
          <w:lang w:val="cs-CZ"/>
        </w:rPr>
      </w:pPr>
    </w:p>
    <w:p w14:paraId="2BD9F96C" w14:textId="30964E0A" w:rsidR="00114DA9" w:rsidRPr="0028273C" w:rsidRDefault="00B76A69" w:rsidP="00735457">
      <w:pPr>
        <w:pStyle w:val="BayerBodyTextFull"/>
        <w:keepNext/>
        <w:spacing w:before="0" w:after="0"/>
        <w:rPr>
          <w:szCs w:val="22"/>
          <w:lang w:val="cs-CZ"/>
        </w:rPr>
      </w:pPr>
      <w:r w:rsidRPr="0028273C">
        <w:rPr>
          <w:sz w:val="22"/>
          <w:szCs w:val="22"/>
          <w:lang w:val="cs-CZ"/>
        </w:rPr>
        <w:t>V</w:t>
      </w:r>
      <w:r w:rsidR="00017E72" w:rsidRPr="0028273C">
        <w:rPr>
          <w:sz w:val="22"/>
          <w:szCs w:val="22"/>
          <w:lang w:val="cs-CZ"/>
        </w:rPr>
        <w:t xml:space="preserve"> programu </w:t>
      </w:r>
      <w:r w:rsidR="00114DA9" w:rsidRPr="0028273C">
        <w:rPr>
          <w:sz w:val="22"/>
          <w:szCs w:val="22"/>
          <w:lang w:val="cs-CZ"/>
        </w:rPr>
        <w:t>klinick</w:t>
      </w:r>
      <w:r w:rsidR="00017E72" w:rsidRPr="0028273C">
        <w:rPr>
          <w:sz w:val="22"/>
          <w:szCs w:val="22"/>
          <w:lang w:val="cs-CZ"/>
        </w:rPr>
        <w:t>ých hodnocení</w:t>
      </w:r>
      <w:r w:rsidR="00114DA9" w:rsidRPr="0028273C">
        <w:rPr>
          <w:sz w:val="22"/>
          <w:szCs w:val="22"/>
          <w:lang w:val="cs-CZ"/>
        </w:rPr>
        <w:t xml:space="preserve">, který zahrnoval </w:t>
      </w:r>
      <w:r w:rsidR="0012412D">
        <w:rPr>
          <w:sz w:val="22"/>
          <w:szCs w:val="22"/>
          <w:lang w:val="cs-CZ"/>
        </w:rPr>
        <w:t>1</w:t>
      </w:r>
      <w:r w:rsidR="001520C6">
        <w:rPr>
          <w:sz w:val="22"/>
          <w:szCs w:val="22"/>
          <w:lang w:val="cs-CZ"/>
        </w:rPr>
        <w:t> </w:t>
      </w:r>
      <w:r w:rsidR="00114DA9" w:rsidRPr="0028273C">
        <w:rPr>
          <w:sz w:val="22"/>
          <w:szCs w:val="22"/>
          <w:lang w:val="cs-CZ"/>
        </w:rPr>
        <w:t>studii fáze</w:t>
      </w:r>
      <w:r w:rsidRPr="0028273C">
        <w:rPr>
          <w:sz w:val="22"/>
          <w:szCs w:val="22"/>
          <w:lang w:val="cs-CZ"/>
        </w:rPr>
        <w:t> </w:t>
      </w:r>
      <w:r w:rsidR="00114DA9" w:rsidRPr="0028273C">
        <w:rPr>
          <w:sz w:val="22"/>
          <w:szCs w:val="22"/>
          <w:lang w:val="cs-CZ"/>
        </w:rPr>
        <w:t>I a</w:t>
      </w:r>
      <w:r w:rsidRPr="0028273C">
        <w:rPr>
          <w:sz w:val="22"/>
          <w:szCs w:val="22"/>
          <w:lang w:val="cs-CZ"/>
        </w:rPr>
        <w:t> </w:t>
      </w:r>
      <w:r w:rsidR="0012412D">
        <w:rPr>
          <w:sz w:val="22"/>
          <w:szCs w:val="22"/>
          <w:lang w:val="cs-CZ"/>
        </w:rPr>
        <w:t>3</w:t>
      </w:r>
      <w:r w:rsidR="001520C6">
        <w:rPr>
          <w:sz w:val="22"/>
          <w:szCs w:val="22"/>
          <w:lang w:val="cs-CZ"/>
        </w:rPr>
        <w:t> </w:t>
      </w:r>
      <w:r w:rsidR="00114DA9" w:rsidRPr="0028273C">
        <w:rPr>
          <w:sz w:val="22"/>
          <w:szCs w:val="22"/>
          <w:lang w:val="cs-CZ"/>
        </w:rPr>
        <w:t>studie fáze</w:t>
      </w:r>
      <w:r w:rsidRPr="0028273C">
        <w:rPr>
          <w:sz w:val="22"/>
          <w:szCs w:val="22"/>
          <w:lang w:val="cs-CZ"/>
        </w:rPr>
        <w:t> </w:t>
      </w:r>
      <w:r w:rsidR="00114DA9" w:rsidRPr="0028273C">
        <w:rPr>
          <w:sz w:val="22"/>
          <w:szCs w:val="22"/>
          <w:lang w:val="cs-CZ"/>
        </w:rPr>
        <w:t>II/III</w:t>
      </w:r>
      <w:r w:rsidRPr="0028273C">
        <w:rPr>
          <w:sz w:val="22"/>
          <w:szCs w:val="22"/>
          <w:lang w:val="cs-CZ"/>
        </w:rPr>
        <w:t xml:space="preserve">, bylo exponováno celkem </w:t>
      </w:r>
      <w:r w:rsidR="0012412D">
        <w:rPr>
          <w:sz w:val="22"/>
          <w:szCs w:val="22"/>
          <w:lang w:val="cs-CZ"/>
        </w:rPr>
        <w:t>267</w:t>
      </w:r>
      <w:r w:rsidR="0012412D" w:rsidRPr="0028273C">
        <w:rPr>
          <w:sz w:val="22"/>
          <w:szCs w:val="22"/>
          <w:lang w:val="cs-CZ"/>
        </w:rPr>
        <w:t> </w:t>
      </w:r>
      <w:r w:rsidRPr="0028273C">
        <w:rPr>
          <w:sz w:val="22"/>
          <w:szCs w:val="22"/>
          <w:lang w:val="cs-CZ"/>
        </w:rPr>
        <w:t>dříve léčených pacientů se závažnou hemofilií A</w:t>
      </w:r>
      <w:r w:rsidR="00114DA9" w:rsidRPr="0028273C">
        <w:rPr>
          <w:sz w:val="22"/>
          <w:szCs w:val="22"/>
          <w:lang w:val="cs-CZ"/>
        </w:rPr>
        <w:t xml:space="preserve">. </w:t>
      </w:r>
      <w:r w:rsidR="00936906">
        <w:rPr>
          <w:sz w:val="22"/>
          <w:szCs w:val="22"/>
          <w:lang w:val="cs-CZ"/>
        </w:rPr>
        <w:t>219</w:t>
      </w:r>
      <w:r w:rsidR="00114DA9" w:rsidRPr="0028273C">
        <w:rPr>
          <w:sz w:val="22"/>
          <w:szCs w:val="22"/>
          <w:lang w:val="cs-CZ"/>
        </w:rPr>
        <w:t xml:space="preserve"> pacientů bylo ve věku ≥</w:t>
      </w:r>
      <w:r w:rsidR="006339B2">
        <w:rPr>
          <w:sz w:val="22"/>
          <w:szCs w:val="22"/>
          <w:lang w:val="cs-CZ"/>
        </w:rPr>
        <w:t> </w:t>
      </w:r>
      <w:r w:rsidR="00164AB8">
        <w:rPr>
          <w:sz w:val="22"/>
          <w:szCs w:val="22"/>
          <w:lang w:val="cs-CZ"/>
        </w:rPr>
        <w:t>7</w:t>
      </w:r>
      <w:r w:rsidR="00164AB8" w:rsidRPr="0028273C">
        <w:rPr>
          <w:sz w:val="22"/>
          <w:szCs w:val="22"/>
          <w:lang w:val="cs-CZ"/>
        </w:rPr>
        <w:t> </w:t>
      </w:r>
      <w:r w:rsidR="00114DA9" w:rsidRPr="0028273C">
        <w:rPr>
          <w:sz w:val="22"/>
          <w:szCs w:val="22"/>
          <w:lang w:val="cs-CZ"/>
        </w:rPr>
        <w:t>let</w:t>
      </w:r>
      <w:r w:rsidR="00114DA9" w:rsidRPr="0028273C">
        <w:rPr>
          <w:szCs w:val="22"/>
          <w:lang w:val="cs-CZ"/>
        </w:rPr>
        <w:t>.</w:t>
      </w:r>
    </w:p>
    <w:p w14:paraId="644268B8" w14:textId="77777777" w:rsidR="00114DA9" w:rsidRPr="0028273C" w:rsidRDefault="00114DA9" w:rsidP="00735457">
      <w:pPr>
        <w:pStyle w:val="BayerBodyTextFull"/>
        <w:keepNext/>
        <w:spacing w:before="0" w:after="0"/>
        <w:rPr>
          <w:sz w:val="22"/>
          <w:szCs w:val="22"/>
          <w:lang w:val="cs-CZ"/>
        </w:rPr>
      </w:pPr>
    </w:p>
    <w:p w14:paraId="1F19EC04" w14:textId="77777777" w:rsidR="00FD3343" w:rsidRPr="0005661C" w:rsidRDefault="00424D46" w:rsidP="00735457">
      <w:pPr>
        <w:tabs>
          <w:tab w:val="left" w:pos="993"/>
        </w:tabs>
        <w:autoSpaceDE w:val="0"/>
        <w:autoSpaceDN w:val="0"/>
        <w:adjustRightInd w:val="0"/>
        <w:ind w:left="993" w:hanging="993"/>
        <w:rPr>
          <w:i/>
          <w:iCs/>
          <w:szCs w:val="22"/>
          <w:u w:val="single"/>
          <w:bdr w:val="nil"/>
          <w:lang w:val="cs-CZ" w:eastAsia="en-US"/>
        </w:rPr>
      </w:pPr>
      <w:bookmarkStart w:id="1" w:name="_Hlk516329313"/>
      <w:r w:rsidRPr="0005661C">
        <w:rPr>
          <w:i/>
          <w:iCs/>
          <w:szCs w:val="22"/>
          <w:u w:val="single"/>
          <w:bdr w:val="nil"/>
          <w:lang w:val="cs-CZ" w:eastAsia="en-US"/>
        </w:rPr>
        <w:t>Fáze </w:t>
      </w:r>
      <w:r w:rsidR="0042266D" w:rsidRPr="0005661C">
        <w:rPr>
          <w:i/>
          <w:iCs/>
          <w:szCs w:val="22"/>
          <w:u w:val="single"/>
          <w:bdr w:val="nil"/>
          <w:lang w:val="cs-CZ" w:eastAsia="en-US"/>
        </w:rPr>
        <w:t>II</w:t>
      </w:r>
      <w:r w:rsidRPr="0005661C">
        <w:rPr>
          <w:i/>
          <w:iCs/>
          <w:szCs w:val="22"/>
          <w:u w:val="single"/>
          <w:bdr w:val="nil"/>
          <w:lang w:val="cs-CZ" w:eastAsia="en-US"/>
        </w:rPr>
        <w:t>/</w:t>
      </w:r>
      <w:r w:rsidR="0042266D" w:rsidRPr="0005661C">
        <w:rPr>
          <w:i/>
          <w:iCs/>
          <w:szCs w:val="22"/>
          <w:u w:val="single"/>
          <w:bdr w:val="nil"/>
          <w:lang w:val="cs-CZ" w:eastAsia="en-US"/>
        </w:rPr>
        <w:t>III</w:t>
      </w:r>
      <w:r w:rsidR="00573F4D" w:rsidRPr="0005661C">
        <w:rPr>
          <w:i/>
          <w:iCs/>
          <w:szCs w:val="22"/>
          <w:u w:val="single"/>
          <w:bdr w:val="nil"/>
          <w:lang w:val="cs-CZ" w:eastAsia="en-US"/>
        </w:rPr>
        <w:t xml:space="preserve"> </w:t>
      </w:r>
    </w:p>
    <w:p w14:paraId="7E6826A5" w14:textId="7C9F8CA3" w:rsidR="00D65183" w:rsidRDefault="00D65183" w:rsidP="00124755">
      <w:pPr>
        <w:tabs>
          <w:tab w:val="left" w:pos="993"/>
        </w:tabs>
        <w:autoSpaceDE w:val="0"/>
        <w:autoSpaceDN w:val="0"/>
        <w:adjustRightInd w:val="0"/>
        <w:rPr>
          <w:szCs w:val="22"/>
          <w:bdr w:val="nil"/>
          <w:lang w:val="cs-CZ" w:eastAsia="en-US"/>
        </w:rPr>
      </w:pPr>
    </w:p>
    <w:p w14:paraId="62B8356E" w14:textId="5CA0CF1B" w:rsidR="00424D46" w:rsidRPr="0028273C" w:rsidRDefault="00724098" w:rsidP="00124755">
      <w:pPr>
        <w:tabs>
          <w:tab w:val="left" w:pos="993"/>
        </w:tabs>
        <w:autoSpaceDE w:val="0"/>
        <w:autoSpaceDN w:val="0"/>
        <w:adjustRightInd w:val="0"/>
        <w:rPr>
          <w:lang w:val="cs-CZ"/>
        </w:rPr>
      </w:pPr>
      <w:r w:rsidRPr="0005661C">
        <w:rPr>
          <w:szCs w:val="22"/>
          <w:u w:val="single"/>
          <w:bdr w:val="nil"/>
          <w:lang w:val="cs-CZ" w:eastAsia="en-US"/>
        </w:rPr>
        <w:t>PROTECT VIII:</w:t>
      </w:r>
      <w:r>
        <w:rPr>
          <w:szCs w:val="22"/>
          <w:bdr w:val="nil"/>
          <w:lang w:val="cs-CZ" w:eastAsia="en-US"/>
        </w:rPr>
        <w:t xml:space="preserve"> </w:t>
      </w:r>
      <w:r w:rsidR="00424D46" w:rsidRPr="0028273C">
        <w:rPr>
          <w:szCs w:val="22"/>
          <w:bdr w:val="nil"/>
          <w:lang w:val="cs-CZ" w:eastAsia="en-US"/>
        </w:rPr>
        <w:t xml:space="preserve">Mezinárodní, otevřená, nekontrolovaná, částečně randomizovaná studie hodnotila farmakokinetiku, bezpečnost a účinnost přípravku </w:t>
      </w:r>
      <w:proofErr w:type="spellStart"/>
      <w:r w:rsidR="00424D46" w:rsidRPr="0028273C">
        <w:rPr>
          <w:szCs w:val="22"/>
          <w:bdr w:val="nil"/>
          <w:lang w:val="cs-CZ" w:eastAsia="en-US"/>
        </w:rPr>
        <w:t>Jivi</w:t>
      </w:r>
      <w:proofErr w:type="spellEnd"/>
      <w:r w:rsidR="00424D46" w:rsidRPr="0028273C">
        <w:rPr>
          <w:szCs w:val="22"/>
          <w:bdr w:val="nil"/>
          <w:lang w:val="cs-CZ" w:eastAsia="en-US"/>
        </w:rPr>
        <w:t xml:space="preserve"> v léčbě podle potřeby</w:t>
      </w:r>
      <w:r w:rsidR="0042266D" w:rsidRPr="0028273C">
        <w:rPr>
          <w:szCs w:val="22"/>
          <w:bdr w:val="nil"/>
          <w:lang w:val="cs-CZ" w:eastAsia="en-US"/>
        </w:rPr>
        <w:t>,</w:t>
      </w:r>
      <w:r w:rsidR="00424D46" w:rsidRPr="0028273C">
        <w:rPr>
          <w:szCs w:val="22"/>
          <w:bdr w:val="nil"/>
          <w:lang w:val="cs-CZ" w:eastAsia="en-US"/>
        </w:rPr>
        <w:t xml:space="preserve"> profylaxi třemi režimy (dvakrát týdně</w:t>
      </w:r>
      <w:r w:rsidR="0042266D" w:rsidRPr="0028273C">
        <w:rPr>
          <w:szCs w:val="22"/>
          <w:bdr w:val="nil"/>
          <w:lang w:val="cs-CZ" w:eastAsia="en-US"/>
        </w:rPr>
        <w:t xml:space="preserve"> 30–40 IU/kg</w:t>
      </w:r>
      <w:r w:rsidR="00424D46" w:rsidRPr="0028273C">
        <w:rPr>
          <w:szCs w:val="22"/>
          <w:bdr w:val="nil"/>
          <w:lang w:val="cs-CZ" w:eastAsia="en-US"/>
        </w:rPr>
        <w:t>, každých 5</w:t>
      </w:r>
      <w:r w:rsidR="00627764" w:rsidRPr="0028273C">
        <w:rPr>
          <w:szCs w:val="22"/>
          <w:bdr w:val="nil"/>
          <w:lang w:val="cs-CZ" w:eastAsia="en-US"/>
        </w:rPr>
        <w:t> </w:t>
      </w:r>
      <w:r w:rsidR="00424D46" w:rsidRPr="0028273C">
        <w:rPr>
          <w:szCs w:val="22"/>
          <w:bdr w:val="nil"/>
          <w:lang w:val="cs-CZ" w:eastAsia="en-US"/>
        </w:rPr>
        <w:t>dní</w:t>
      </w:r>
      <w:r w:rsidR="0042266D" w:rsidRPr="0028273C">
        <w:rPr>
          <w:szCs w:val="22"/>
          <w:bdr w:val="nil"/>
          <w:lang w:val="cs-CZ" w:eastAsia="en-US"/>
        </w:rPr>
        <w:t xml:space="preserve"> 45–60 IU/kg</w:t>
      </w:r>
      <w:r w:rsidR="00424D46" w:rsidRPr="0028273C">
        <w:rPr>
          <w:szCs w:val="22"/>
          <w:bdr w:val="nil"/>
          <w:lang w:val="cs-CZ" w:eastAsia="en-US"/>
        </w:rPr>
        <w:t xml:space="preserve"> a každých 7</w:t>
      </w:r>
      <w:r w:rsidR="00627764" w:rsidRPr="0028273C">
        <w:rPr>
          <w:szCs w:val="22"/>
          <w:bdr w:val="nil"/>
          <w:lang w:val="cs-CZ" w:eastAsia="en-US"/>
        </w:rPr>
        <w:t> </w:t>
      </w:r>
      <w:r w:rsidR="00424D46" w:rsidRPr="0028273C">
        <w:rPr>
          <w:szCs w:val="22"/>
          <w:bdr w:val="nil"/>
          <w:lang w:val="cs-CZ" w:eastAsia="en-US"/>
        </w:rPr>
        <w:t>dní</w:t>
      </w:r>
      <w:r w:rsidR="0042266D" w:rsidRPr="0028273C">
        <w:rPr>
          <w:szCs w:val="22"/>
          <w:bdr w:val="nil"/>
          <w:lang w:val="cs-CZ" w:eastAsia="en-US"/>
        </w:rPr>
        <w:t xml:space="preserve"> 60 IU/kg</w:t>
      </w:r>
      <w:r w:rsidR="00424D46" w:rsidRPr="0028273C">
        <w:rPr>
          <w:szCs w:val="22"/>
          <w:bdr w:val="nil"/>
          <w:lang w:val="cs-CZ" w:eastAsia="en-US"/>
        </w:rPr>
        <w:t>)</w:t>
      </w:r>
      <w:r w:rsidR="0042266D" w:rsidRPr="0028273C">
        <w:rPr>
          <w:szCs w:val="22"/>
          <w:bdr w:val="nil"/>
          <w:lang w:val="cs-CZ" w:eastAsia="en-US"/>
        </w:rPr>
        <w:t xml:space="preserve"> a</w:t>
      </w:r>
      <w:r w:rsidR="001B58FF" w:rsidRPr="0028273C">
        <w:rPr>
          <w:szCs w:val="22"/>
          <w:bdr w:val="nil"/>
          <w:lang w:val="cs-CZ" w:eastAsia="en-US"/>
        </w:rPr>
        <w:t> </w:t>
      </w:r>
      <w:r w:rsidR="00424D46" w:rsidRPr="0028273C">
        <w:rPr>
          <w:szCs w:val="22"/>
          <w:bdr w:val="nil"/>
          <w:lang w:val="cs-CZ" w:eastAsia="en-US"/>
        </w:rPr>
        <w:t>hemostáz</w:t>
      </w:r>
      <w:r w:rsidR="0042266D" w:rsidRPr="0028273C">
        <w:rPr>
          <w:szCs w:val="22"/>
          <w:bdr w:val="nil"/>
          <w:lang w:val="cs-CZ" w:eastAsia="en-US"/>
        </w:rPr>
        <w:t>u</w:t>
      </w:r>
      <w:r w:rsidR="00424D46" w:rsidRPr="0028273C">
        <w:rPr>
          <w:szCs w:val="22"/>
          <w:bdr w:val="nil"/>
          <w:lang w:val="cs-CZ" w:eastAsia="en-US"/>
        </w:rPr>
        <w:t xml:space="preserve"> během velk</w:t>
      </w:r>
      <w:r w:rsidR="0042266D" w:rsidRPr="0028273C">
        <w:rPr>
          <w:szCs w:val="22"/>
          <w:bdr w:val="nil"/>
          <w:lang w:val="cs-CZ" w:eastAsia="en-US"/>
        </w:rPr>
        <w:t>ých</w:t>
      </w:r>
      <w:r w:rsidR="00424D46" w:rsidRPr="0028273C">
        <w:rPr>
          <w:szCs w:val="22"/>
          <w:bdr w:val="nil"/>
          <w:lang w:val="cs-CZ" w:eastAsia="en-US"/>
        </w:rPr>
        <w:t xml:space="preserve"> chirurgick</w:t>
      </w:r>
      <w:r w:rsidR="0042266D" w:rsidRPr="0028273C">
        <w:rPr>
          <w:szCs w:val="22"/>
          <w:bdr w:val="nil"/>
          <w:lang w:val="cs-CZ" w:eastAsia="en-US"/>
        </w:rPr>
        <w:t>ých</w:t>
      </w:r>
      <w:r w:rsidR="00424D46" w:rsidRPr="0028273C">
        <w:rPr>
          <w:szCs w:val="22"/>
          <w:bdr w:val="nil"/>
          <w:lang w:val="cs-CZ" w:eastAsia="en-US"/>
        </w:rPr>
        <w:t xml:space="preserve"> </w:t>
      </w:r>
      <w:r w:rsidR="00B23134">
        <w:rPr>
          <w:szCs w:val="22"/>
          <w:bdr w:val="nil"/>
          <w:lang w:val="cs-CZ" w:eastAsia="en-US"/>
        </w:rPr>
        <w:t>výkonů</w:t>
      </w:r>
      <w:r w:rsidR="00424D46" w:rsidRPr="0028273C">
        <w:rPr>
          <w:szCs w:val="22"/>
          <w:bdr w:val="nil"/>
          <w:lang w:val="cs-CZ" w:eastAsia="en-US"/>
        </w:rPr>
        <w:t xml:space="preserve">. Tato studie byla provedena v souladu se schváleným výzkumným pediatrickým plánem. </w:t>
      </w:r>
      <w:r w:rsidR="0042266D" w:rsidRPr="0028273C">
        <w:rPr>
          <w:szCs w:val="22"/>
          <w:bdr w:val="nil"/>
          <w:lang w:val="cs-CZ" w:eastAsia="en-US"/>
        </w:rPr>
        <w:t>P</w:t>
      </w:r>
      <w:r w:rsidR="00424D46" w:rsidRPr="0028273C">
        <w:rPr>
          <w:szCs w:val="22"/>
          <w:bdr w:val="nil"/>
          <w:lang w:val="cs-CZ" w:eastAsia="en-US"/>
        </w:rPr>
        <w:t xml:space="preserve">rodloužení studie zahrnovalo pacienty, kteří dokončili </w:t>
      </w:r>
      <w:r w:rsidR="0042266D" w:rsidRPr="0028273C">
        <w:rPr>
          <w:szCs w:val="22"/>
          <w:bdr w:val="nil"/>
          <w:lang w:val="cs-CZ" w:eastAsia="en-US"/>
        </w:rPr>
        <w:t xml:space="preserve">hlavní </w:t>
      </w:r>
      <w:r w:rsidR="005D70A6" w:rsidRPr="0028273C">
        <w:rPr>
          <w:szCs w:val="22"/>
          <w:bdr w:val="nil"/>
          <w:lang w:val="cs-CZ" w:eastAsia="en-US"/>
        </w:rPr>
        <w:t>studii</w:t>
      </w:r>
      <w:r w:rsidR="0042266D" w:rsidRPr="0028273C">
        <w:rPr>
          <w:szCs w:val="22"/>
          <w:bdr w:val="nil"/>
          <w:lang w:val="cs-CZ" w:eastAsia="en-US"/>
        </w:rPr>
        <w:t xml:space="preserve">. </w:t>
      </w:r>
      <w:r w:rsidR="00424D46" w:rsidRPr="0028273C">
        <w:rPr>
          <w:szCs w:val="22"/>
          <w:bdr w:val="nil"/>
          <w:lang w:val="cs-CZ" w:eastAsia="en-US"/>
        </w:rPr>
        <w:t xml:space="preserve">Primární parametr účinnosti byla </w:t>
      </w:r>
      <w:r w:rsidR="008F7731">
        <w:rPr>
          <w:szCs w:val="22"/>
          <w:bdr w:val="nil"/>
          <w:lang w:val="cs-CZ" w:eastAsia="en-US"/>
        </w:rPr>
        <w:t>roční</w:t>
      </w:r>
      <w:r w:rsidR="008F7731" w:rsidRPr="0028273C">
        <w:rPr>
          <w:szCs w:val="22"/>
          <w:bdr w:val="nil"/>
          <w:lang w:val="cs-CZ" w:eastAsia="en-US"/>
        </w:rPr>
        <w:t xml:space="preserve"> </w:t>
      </w:r>
      <w:r w:rsidR="00424D46" w:rsidRPr="0028273C">
        <w:rPr>
          <w:szCs w:val="22"/>
          <w:bdr w:val="nil"/>
          <w:lang w:val="cs-CZ" w:eastAsia="en-US"/>
        </w:rPr>
        <w:t>četnost krvácení (ABR).</w:t>
      </w:r>
    </w:p>
    <w:p w14:paraId="4FE6ADF4" w14:textId="77777777" w:rsidR="00424D46" w:rsidRPr="0028273C" w:rsidRDefault="00424D46">
      <w:pPr>
        <w:tabs>
          <w:tab w:val="left" w:pos="993"/>
        </w:tabs>
        <w:autoSpaceDE w:val="0"/>
        <w:autoSpaceDN w:val="0"/>
        <w:adjustRightInd w:val="0"/>
        <w:ind w:left="993"/>
        <w:rPr>
          <w:highlight w:val="green"/>
          <w:lang w:val="cs-CZ"/>
        </w:rPr>
      </w:pPr>
    </w:p>
    <w:p w14:paraId="5FAC402E" w14:textId="77777777" w:rsidR="008D1FE5" w:rsidRPr="0028273C" w:rsidRDefault="0042266D" w:rsidP="00124755">
      <w:pPr>
        <w:tabs>
          <w:tab w:val="clear" w:pos="567"/>
          <w:tab w:val="left" w:pos="1701"/>
        </w:tabs>
        <w:autoSpaceDE w:val="0"/>
        <w:autoSpaceDN w:val="0"/>
        <w:adjustRightInd w:val="0"/>
        <w:rPr>
          <w:szCs w:val="22"/>
          <w:highlight w:val="green"/>
          <w:lang w:val="cs-CZ"/>
        </w:rPr>
      </w:pPr>
      <w:r w:rsidRPr="0028273C">
        <w:rPr>
          <w:szCs w:val="22"/>
          <w:bdr w:val="nil"/>
          <w:lang w:val="cs-CZ" w:eastAsia="en-US"/>
        </w:rPr>
        <w:t>Sto</w:t>
      </w:r>
      <w:r w:rsidR="001B58FF" w:rsidRPr="0028273C">
        <w:rPr>
          <w:szCs w:val="22"/>
          <w:bdr w:val="nil"/>
          <w:lang w:val="cs-CZ" w:eastAsia="en-US"/>
        </w:rPr>
        <w:t xml:space="preserve"> </w:t>
      </w:r>
      <w:r w:rsidRPr="0028273C">
        <w:rPr>
          <w:szCs w:val="22"/>
          <w:bdr w:val="nil"/>
          <w:lang w:val="cs-CZ" w:eastAsia="en-US"/>
        </w:rPr>
        <w:t>třicet</w:t>
      </w:r>
      <w:r w:rsidR="001B58FF" w:rsidRPr="0028273C">
        <w:rPr>
          <w:szCs w:val="22"/>
          <w:bdr w:val="nil"/>
          <w:lang w:val="cs-CZ" w:eastAsia="en-US"/>
        </w:rPr>
        <w:t xml:space="preserve"> </w:t>
      </w:r>
      <w:r w:rsidRPr="0028273C">
        <w:rPr>
          <w:szCs w:val="22"/>
          <w:bdr w:val="nil"/>
          <w:lang w:val="cs-CZ" w:eastAsia="en-US"/>
        </w:rPr>
        <w:t xml:space="preserve">čtyři </w:t>
      </w:r>
      <w:r w:rsidR="00424D46" w:rsidRPr="0028273C">
        <w:rPr>
          <w:szCs w:val="22"/>
          <w:bdr w:val="nil"/>
          <w:lang w:val="cs-CZ" w:eastAsia="en-US"/>
        </w:rPr>
        <w:t xml:space="preserve">PTP mužského pohlaví </w:t>
      </w:r>
      <w:r w:rsidRPr="0028273C">
        <w:rPr>
          <w:szCs w:val="22"/>
          <w:bdr w:val="nil"/>
          <w:lang w:val="cs-CZ" w:eastAsia="en-US"/>
        </w:rPr>
        <w:t>dost</w:t>
      </w:r>
      <w:r w:rsidR="007E19A0" w:rsidRPr="0028273C">
        <w:rPr>
          <w:szCs w:val="22"/>
          <w:bdr w:val="nil"/>
          <w:lang w:val="cs-CZ" w:eastAsia="en-US"/>
        </w:rPr>
        <w:t>áv</w:t>
      </w:r>
      <w:r w:rsidRPr="0028273C">
        <w:rPr>
          <w:szCs w:val="22"/>
          <w:bdr w:val="nil"/>
          <w:lang w:val="cs-CZ" w:eastAsia="en-US"/>
        </w:rPr>
        <w:t xml:space="preserve">alo </w:t>
      </w:r>
      <w:r w:rsidR="00424D46" w:rsidRPr="0028273C">
        <w:rPr>
          <w:szCs w:val="22"/>
          <w:bdr w:val="nil"/>
          <w:lang w:val="cs-CZ" w:eastAsia="en-US"/>
        </w:rPr>
        <w:t xml:space="preserve">nejméně jednu injekci přípravku </w:t>
      </w:r>
      <w:proofErr w:type="spellStart"/>
      <w:r w:rsidR="00424D46" w:rsidRPr="0028273C">
        <w:rPr>
          <w:szCs w:val="22"/>
          <w:bdr w:val="nil"/>
          <w:lang w:val="cs-CZ" w:eastAsia="en-US"/>
        </w:rPr>
        <w:t>Jivi</w:t>
      </w:r>
      <w:proofErr w:type="spellEnd"/>
      <w:r w:rsidRPr="0028273C">
        <w:rPr>
          <w:szCs w:val="22"/>
          <w:bdr w:val="nil"/>
          <w:lang w:val="cs-CZ" w:eastAsia="en-US"/>
        </w:rPr>
        <w:t xml:space="preserve"> (</w:t>
      </w:r>
      <w:r w:rsidR="00424D46" w:rsidRPr="0028273C">
        <w:rPr>
          <w:szCs w:val="22"/>
          <w:bdr w:val="nil"/>
          <w:lang w:val="cs-CZ" w:eastAsia="en-US"/>
        </w:rPr>
        <w:t>včetně 13 pacientů ve věku 12 až 17 let</w:t>
      </w:r>
      <w:r w:rsidRPr="0028273C">
        <w:rPr>
          <w:szCs w:val="22"/>
          <w:bdr w:val="nil"/>
          <w:lang w:val="cs-CZ" w:eastAsia="en-US"/>
        </w:rPr>
        <w:t xml:space="preserve">) </w:t>
      </w:r>
      <w:r w:rsidR="001B58FF" w:rsidRPr="0028273C">
        <w:rPr>
          <w:szCs w:val="22"/>
          <w:bdr w:val="nil"/>
          <w:lang w:val="cs-CZ" w:eastAsia="en-US"/>
        </w:rPr>
        <w:t xml:space="preserve">pro </w:t>
      </w:r>
      <w:r w:rsidRPr="0028273C">
        <w:rPr>
          <w:szCs w:val="22"/>
          <w:bdr w:val="nil"/>
          <w:lang w:val="cs-CZ" w:eastAsia="en-US"/>
        </w:rPr>
        <w:t>profylaxi (n=114) nebo léčb</w:t>
      </w:r>
      <w:r w:rsidR="001B58FF" w:rsidRPr="0028273C">
        <w:rPr>
          <w:szCs w:val="22"/>
          <w:bdr w:val="nil"/>
          <w:lang w:val="cs-CZ" w:eastAsia="en-US"/>
        </w:rPr>
        <w:t>u</w:t>
      </w:r>
      <w:r w:rsidRPr="0028273C">
        <w:rPr>
          <w:szCs w:val="22"/>
          <w:bdr w:val="nil"/>
          <w:lang w:val="cs-CZ" w:eastAsia="en-US"/>
        </w:rPr>
        <w:t xml:space="preserve"> podle potřeby (n=20) po dobu 36 </w:t>
      </w:r>
      <w:r w:rsidRPr="008B1D56">
        <w:rPr>
          <w:szCs w:val="22"/>
          <w:bdr w:val="nil"/>
          <w:lang w:val="cs-CZ" w:eastAsia="en-US"/>
        </w:rPr>
        <w:t xml:space="preserve">týdnů. </w:t>
      </w:r>
      <w:r w:rsidR="00424D46" w:rsidRPr="00042C6C">
        <w:rPr>
          <w:szCs w:val="22"/>
          <w:bdr w:val="nil"/>
          <w:lang w:val="cs-CZ" w:eastAsia="en-US"/>
        </w:rPr>
        <w:t>Léčbu během prodloužené studie</w:t>
      </w:r>
      <w:r w:rsidR="001B58FF" w:rsidRPr="00042C6C">
        <w:rPr>
          <w:szCs w:val="22"/>
          <w:bdr w:val="nil"/>
          <w:lang w:val="cs-CZ" w:eastAsia="en-US"/>
        </w:rPr>
        <w:t xml:space="preserve"> </w:t>
      </w:r>
      <w:r w:rsidR="00424D46" w:rsidRPr="00FE182C">
        <w:rPr>
          <w:szCs w:val="22"/>
          <w:bdr w:val="nil"/>
          <w:lang w:val="cs-CZ" w:eastAsia="en-US"/>
        </w:rPr>
        <w:t>dostalo celkem 121 pacientů</w:t>
      </w:r>
      <w:r w:rsidR="00D96FE8" w:rsidRPr="001B22F6">
        <w:rPr>
          <w:szCs w:val="22"/>
          <w:bdr w:val="nil"/>
          <w:lang w:val="cs-CZ" w:eastAsia="en-US"/>
        </w:rPr>
        <w:t>, profylaxi dostalo 10</w:t>
      </w:r>
      <w:r w:rsidR="00DE229D">
        <w:rPr>
          <w:szCs w:val="22"/>
          <w:bdr w:val="nil"/>
          <w:lang w:val="cs-CZ" w:eastAsia="en-US"/>
        </w:rPr>
        <w:t>7</w:t>
      </w:r>
      <w:r w:rsidR="00D96FE8" w:rsidRPr="001B22F6">
        <w:rPr>
          <w:szCs w:val="22"/>
          <w:bdr w:val="nil"/>
          <w:lang w:val="cs-CZ" w:eastAsia="en-US"/>
        </w:rPr>
        <w:t xml:space="preserve"> pacientů a 14 </w:t>
      </w:r>
      <w:r w:rsidR="008B1D56" w:rsidRPr="001B22F6">
        <w:rPr>
          <w:szCs w:val="22"/>
          <w:bdr w:val="nil"/>
          <w:lang w:val="cs-CZ" w:eastAsia="en-US"/>
        </w:rPr>
        <w:t>pacientů léčb</w:t>
      </w:r>
      <w:r w:rsidR="002232D8">
        <w:rPr>
          <w:szCs w:val="22"/>
          <w:bdr w:val="nil"/>
          <w:lang w:val="cs-CZ" w:eastAsia="en-US"/>
        </w:rPr>
        <w:t>u podle potřeby</w:t>
      </w:r>
      <w:r w:rsidR="008B1D56" w:rsidRPr="001B22F6">
        <w:rPr>
          <w:szCs w:val="22"/>
          <w:bdr w:val="nil"/>
          <w:lang w:val="cs-CZ" w:eastAsia="en-US"/>
        </w:rPr>
        <w:t>.</w:t>
      </w:r>
      <w:r w:rsidR="008B1D56" w:rsidRPr="00042C6C">
        <w:rPr>
          <w:szCs w:val="22"/>
          <w:bdr w:val="nil"/>
          <w:lang w:val="cs-CZ" w:eastAsia="en-US"/>
        </w:rPr>
        <w:t xml:space="preserve"> Třicet šest pacientů dost</w:t>
      </w:r>
      <w:r w:rsidR="008B1D56" w:rsidRPr="00FE182C">
        <w:rPr>
          <w:szCs w:val="22"/>
          <w:bdr w:val="nil"/>
          <w:lang w:val="cs-CZ" w:eastAsia="en-US"/>
        </w:rPr>
        <w:t xml:space="preserve">ávalo profylaxi po dobu </w:t>
      </w:r>
      <w:r w:rsidR="008B1D56" w:rsidRPr="00DA5B94">
        <w:rPr>
          <w:szCs w:val="22"/>
          <w:bdr w:val="nil"/>
          <w:lang w:val="cs-CZ" w:eastAsia="en-US"/>
        </w:rPr>
        <w:t>&gt;5 let a</w:t>
      </w:r>
      <w:r w:rsidR="008B1D56" w:rsidRPr="00FE182C">
        <w:rPr>
          <w:szCs w:val="22"/>
          <w:bdr w:val="nil"/>
          <w:lang w:val="cs-CZ" w:eastAsia="en-US"/>
        </w:rPr>
        <w:t>ž 7 let. Celkový medián (rozmezí) času</w:t>
      </w:r>
      <w:r w:rsidR="008B1D56">
        <w:rPr>
          <w:szCs w:val="22"/>
          <w:bdr w:val="nil"/>
          <w:lang w:val="cs-CZ" w:eastAsia="en-US"/>
        </w:rPr>
        <w:t xml:space="preserve"> ve studii byl 3</w:t>
      </w:r>
      <w:r w:rsidR="00FE182C">
        <w:rPr>
          <w:szCs w:val="22"/>
          <w:bdr w:val="nil"/>
          <w:lang w:val="cs-CZ" w:eastAsia="en-US"/>
        </w:rPr>
        <w:t>,</w:t>
      </w:r>
      <w:r w:rsidR="008B1D56">
        <w:rPr>
          <w:szCs w:val="22"/>
          <w:bdr w:val="nil"/>
          <w:lang w:val="cs-CZ" w:eastAsia="en-US"/>
        </w:rPr>
        <w:t>9 let (0</w:t>
      </w:r>
      <w:r w:rsidR="00FE182C">
        <w:rPr>
          <w:szCs w:val="22"/>
          <w:bdr w:val="nil"/>
          <w:lang w:val="cs-CZ" w:eastAsia="en-US"/>
        </w:rPr>
        <w:t>,</w:t>
      </w:r>
      <w:r w:rsidR="008B1D56">
        <w:rPr>
          <w:szCs w:val="22"/>
          <w:bdr w:val="nil"/>
          <w:lang w:val="cs-CZ" w:eastAsia="en-US"/>
        </w:rPr>
        <w:t>8 – 7</w:t>
      </w:r>
      <w:r w:rsidR="00FE182C">
        <w:rPr>
          <w:szCs w:val="22"/>
          <w:bdr w:val="nil"/>
          <w:lang w:val="cs-CZ" w:eastAsia="en-US"/>
        </w:rPr>
        <w:t>,</w:t>
      </w:r>
      <w:r w:rsidR="008B1D56">
        <w:rPr>
          <w:szCs w:val="22"/>
          <w:bdr w:val="nil"/>
          <w:lang w:val="cs-CZ" w:eastAsia="en-US"/>
        </w:rPr>
        <w:t>0 let) pro všech 121 pacientů.</w:t>
      </w:r>
      <w:r w:rsidR="00042C6C">
        <w:rPr>
          <w:szCs w:val="22"/>
          <w:bdr w:val="nil"/>
          <w:lang w:val="cs-CZ" w:eastAsia="en-US"/>
        </w:rPr>
        <w:t xml:space="preserve"> </w:t>
      </w:r>
      <w:r w:rsidR="00424D46" w:rsidRPr="0028273C">
        <w:rPr>
          <w:szCs w:val="22"/>
          <w:bdr w:val="nil"/>
          <w:lang w:val="cs-CZ" w:eastAsia="en-US"/>
        </w:rPr>
        <w:t>Hemostáz</w:t>
      </w:r>
      <w:r w:rsidR="00424D46" w:rsidRPr="0028273C">
        <w:rPr>
          <w:bdr w:val="nil"/>
          <w:lang w:val="cs-CZ"/>
        </w:rPr>
        <w:t>a</w:t>
      </w:r>
      <w:r w:rsidR="00424D46" w:rsidRPr="0028273C">
        <w:rPr>
          <w:szCs w:val="22"/>
          <w:bdr w:val="nil"/>
          <w:lang w:val="cs-CZ" w:eastAsia="en-US"/>
        </w:rPr>
        <w:t xml:space="preserve"> během 20 velkých operací</w:t>
      </w:r>
      <w:r w:rsidRPr="0028273C">
        <w:rPr>
          <w:szCs w:val="22"/>
          <w:bdr w:val="nil"/>
          <w:lang w:val="cs-CZ" w:eastAsia="en-US"/>
        </w:rPr>
        <w:t xml:space="preserve"> u</w:t>
      </w:r>
      <w:r w:rsidR="001B58FF" w:rsidRPr="0028273C">
        <w:rPr>
          <w:szCs w:val="22"/>
          <w:bdr w:val="nil"/>
          <w:lang w:val="cs-CZ" w:eastAsia="en-US"/>
        </w:rPr>
        <w:t> </w:t>
      </w:r>
      <w:r w:rsidRPr="0028273C">
        <w:rPr>
          <w:szCs w:val="22"/>
          <w:bdr w:val="nil"/>
          <w:lang w:val="cs-CZ" w:eastAsia="en-US"/>
        </w:rPr>
        <w:t>17 pacientů</w:t>
      </w:r>
      <w:r w:rsidR="00424D46" w:rsidRPr="0028273C">
        <w:rPr>
          <w:szCs w:val="22"/>
          <w:bdr w:val="nil"/>
          <w:lang w:val="cs-CZ" w:eastAsia="en-US"/>
        </w:rPr>
        <w:t xml:space="preserve"> </w:t>
      </w:r>
      <w:r w:rsidR="001B58FF" w:rsidRPr="0028273C">
        <w:rPr>
          <w:szCs w:val="22"/>
          <w:bdr w:val="nil"/>
          <w:lang w:val="cs-CZ" w:eastAsia="en-US"/>
        </w:rPr>
        <w:t xml:space="preserve">byla hodnocena </w:t>
      </w:r>
      <w:r w:rsidR="00424D46" w:rsidRPr="0028273C">
        <w:rPr>
          <w:szCs w:val="22"/>
          <w:bdr w:val="nil"/>
          <w:lang w:val="cs-CZ" w:eastAsia="en-US"/>
        </w:rPr>
        <w:t>v</w:t>
      </w:r>
      <w:r w:rsidRPr="0028273C">
        <w:rPr>
          <w:szCs w:val="22"/>
          <w:bdr w:val="nil"/>
          <w:lang w:val="cs-CZ" w:eastAsia="en-US"/>
        </w:rPr>
        <w:t xml:space="preserve"> operační </w:t>
      </w:r>
      <w:r w:rsidR="00424D46" w:rsidRPr="0028273C">
        <w:rPr>
          <w:szCs w:val="22"/>
          <w:bdr w:val="nil"/>
          <w:lang w:val="cs-CZ" w:eastAsia="en-US"/>
        </w:rPr>
        <w:t>části.</w:t>
      </w:r>
    </w:p>
    <w:p w14:paraId="6E271D0B" w14:textId="77777777" w:rsidR="00567EEE" w:rsidRPr="0028273C" w:rsidRDefault="00567EEE" w:rsidP="00735457">
      <w:pPr>
        <w:autoSpaceDE w:val="0"/>
        <w:autoSpaceDN w:val="0"/>
        <w:adjustRightInd w:val="0"/>
        <w:rPr>
          <w:szCs w:val="22"/>
          <w:highlight w:val="green"/>
          <w:lang w:val="cs-CZ"/>
        </w:rPr>
      </w:pPr>
    </w:p>
    <w:bookmarkEnd w:id="1"/>
    <w:p w14:paraId="6514BF71" w14:textId="77777777" w:rsidR="00D65183" w:rsidRPr="0005661C" w:rsidRDefault="00424D46" w:rsidP="00735457">
      <w:pPr>
        <w:tabs>
          <w:tab w:val="left" w:pos="993"/>
        </w:tabs>
        <w:autoSpaceDE w:val="0"/>
        <w:autoSpaceDN w:val="0"/>
        <w:adjustRightInd w:val="0"/>
        <w:ind w:left="993" w:hanging="993"/>
        <w:rPr>
          <w:i/>
          <w:iCs/>
          <w:szCs w:val="22"/>
          <w:u w:val="single"/>
          <w:bdr w:val="nil"/>
          <w:lang w:val="cs-CZ" w:eastAsia="en-US"/>
        </w:rPr>
      </w:pPr>
      <w:r w:rsidRPr="0005661C">
        <w:rPr>
          <w:i/>
          <w:iCs/>
          <w:szCs w:val="22"/>
          <w:u w:val="single"/>
          <w:bdr w:val="nil"/>
          <w:lang w:val="cs-CZ" w:eastAsia="en-US"/>
        </w:rPr>
        <w:t>Fáze</w:t>
      </w:r>
      <w:r w:rsidR="00627764" w:rsidRPr="0005661C">
        <w:rPr>
          <w:i/>
          <w:iCs/>
          <w:szCs w:val="22"/>
          <w:u w:val="single"/>
          <w:bdr w:val="nil"/>
          <w:lang w:val="cs-CZ" w:eastAsia="en-US"/>
        </w:rPr>
        <w:t> </w:t>
      </w:r>
      <w:r w:rsidR="0042266D" w:rsidRPr="0005661C">
        <w:rPr>
          <w:i/>
          <w:iCs/>
          <w:szCs w:val="22"/>
          <w:u w:val="single"/>
          <w:bdr w:val="nil"/>
          <w:lang w:val="cs-CZ" w:eastAsia="en-US"/>
        </w:rPr>
        <w:t xml:space="preserve">III </w:t>
      </w:r>
    </w:p>
    <w:p w14:paraId="0806C761" w14:textId="77777777" w:rsidR="001B25E4" w:rsidRDefault="001B25E4" w:rsidP="001B25E4">
      <w:pPr>
        <w:tabs>
          <w:tab w:val="left" w:pos="993"/>
        </w:tabs>
        <w:autoSpaceDE w:val="0"/>
        <w:autoSpaceDN w:val="0"/>
        <w:adjustRightInd w:val="0"/>
        <w:jc w:val="both"/>
        <w:rPr>
          <w:szCs w:val="22"/>
          <w:u w:val="single"/>
          <w:bdr w:val="nil"/>
          <w:lang w:val="cs-CZ" w:eastAsia="en-US"/>
        </w:rPr>
      </w:pPr>
    </w:p>
    <w:p w14:paraId="6D922442" w14:textId="55667C66" w:rsidR="00424D46" w:rsidRDefault="00641E87" w:rsidP="00124755">
      <w:pPr>
        <w:tabs>
          <w:tab w:val="left" w:pos="993"/>
        </w:tabs>
        <w:autoSpaceDE w:val="0"/>
        <w:autoSpaceDN w:val="0"/>
        <w:adjustRightInd w:val="0"/>
        <w:jc w:val="both"/>
        <w:rPr>
          <w:szCs w:val="22"/>
          <w:bdr w:val="nil"/>
          <w:lang w:val="cs-CZ" w:eastAsia="en-US"/>
        </w:rPr>
      </w:pPr>
      <w:r>
        <w:rPr>
          <w:szCs w:val="22"/>
          <w:u w:val="single"/>
          <w:bdr w:val="nil"/>
          <w:lang w:val="cs-CZ" w:eastAsia="en-US"/>
        </w:rPr>
        <w:t xml:space="preserve">PROTECT </w:t>
      </w:r>
      <w:proofErr w:type="spellStart"/>
      <w:r>
        <w:rPr>
          <w:szCs w:val="22"/>
          <w:u w:val="single"/>
          <w:bdr w:val="nil"/>
          <w:lang w:val="cs-CZ" w:eastAsia="en-US"/>
        </w:rPr>
        <w:t>Kids</w:t>
      </w:r>
      <w:proofErr w:type="spellEnd"/>
      <w:r w:rsidR="00424D46" w:rsidRPr="0028273C">
        <w:rPr>
          <w:szCs w:val="22"/>
          <w:u w:val="single"/>
          <w:bdr w:val="nil"/>
          <w:lang w:val="cs-CZ" w:eastAsia="en-US"/>
        </w:rPr>
        <w:t>:</w:t>
      </w:r>
      <w:r w:rsidR="00424D46" w:rsidRPr="0028273C">
        <w:rPr>
          <w:szCs w:val="22"/>
          <w:bdr w:val="nil"/>
          <w:lang w:val="cs-CZ" w:eastAsia="en-US"/>
        </w:rPr>
        <w:t xml:space="preserve"> Mezinárodní, nekontrolovaná, otevřená studie u </w:t>
      </w:r>
      <w:r w:rsidR="0042266D" w:rsidRPr="0028273C">
        <w:rPr>
          <w:szCs w:val="22"/>
          <w:bdr w:val="nil"/>
          <w:lang w:val="cs-CZ" w:eastAsia="en-US"/>
        </w:rPr>
        <w:t>73</w:t>
      </w:r>
      <w:r w:rsidR="00D61E64" w:rsidRPr="0028273C">
        <w:rPr>
          <w:szCs w:val="22"/>
          <w:bdr w:val="nil"/>
          <w:lang w:val="cs-CZ" w:eastAsia="en-US"/>
        </w:rPr>
        <w:t> </w:t>
      </w:r>
      <w:r w:rsidR="00424D46" w:rsidRPr="0028273C">
        <w:rPr>
          <w:szCs w:val="22"/>
          <w:bdr w:val="nil"/>
          <w:lang w:val="cs-CZ" w:eastAsia="en-US"/>
        </w:rPr>
        <w:t>pediatrických pacientů (&lt;12 let</w:t>
      </w:r>
      <w:r w:rsidR="007E19A0" w:rsidRPr="0028273C">
        <w:rPr>
          <w:szCs w:val="22"/>
          <w:bdr w:val="nil"/>
          <w:lang w:val="cs-CZ" w:eastAsia="en-US"/>
        </w:rPr>
        <w:t xml:space="preserve"> věku</w:t>
      </w:r>
      <w:r w:rsidR="00424D46" w:rsidRPr="0028273C">
        <w:rPr>
          <w:szCs w:val="22"/>
          <w:bdr w:val="nil"/>
          <w:lang w:val="cs-CZ" w:eastAsia="en-US"/>
        </w:rPr>
        <w:t xml:space="preserve">) hodnotila farmakokinetiku, bezpečnost a účinnost přípravku </w:t>
      </w:r>
      <w:proofErr w:type="spellStart"/>
      <w:r w:rsidR="00424D46" w:rsidRPr="0028273C">
        <w:rPr>
          <w:szCs w:val="22"/>
          <w:bdr w:val="nil"/>
          <w:lang w:val="cs-CZ" w:eastAsia="en-US"/>
        </w:rPr>
        <w:t>Jivi</w:t>
      </w:r>
      <w:proofErr w:type="spellEnd"/>
      <w:r w:rsidR="00424D46" w:rsidRPr="0028273C">
        <w:rPr>
          <w:szCs w:val="22"/>
          <w:bdr w:val="nil"/>
          <w:lang w:val="cs-CZ" w:eastAsia="en-US"/>
        </w:rPr>
        <w:t xml:space="preserve"> u tří profylaktických režimů (dvakrát týdně</w:t>
      </w:r>
      <w:r w:rsidR="0042266D" w:rsidRPr="0028273C">
        <w:rPr>
          <w:szCs w:val="22"/>
          <w:bdr w:val="nil"/>
          <w:lang w:val="cs-CZ" w:eastAsia="en-US"/>
        </w:rPr>
        <w:t>,</w:t>
      </w:r>
      <w:r w:rsidR="00424D46" w:rsidRPr="0028273C">
        <w:rPr>
          <w:szCs w:val="22"/>
          <w:bdr w:val="nil"/>
          <w:lang w:val="cs-CZ" w:eastAsia="en-US"/>
        </w:rPr>
        <w:t xml:space="preserve"> každých 5 a každých 7 dnů) a </w:t>
      </w:r>
      <w:r w:rsidR="00424D46" w:rsidRPr="0028273C">
        <w:rPr>
          <w:bdr w:val="nil"/>
          <w:lang w:val="cs-CZ"/>
        </w:rPr>
        <w:t xml:space="preserve">u </w:t>
      </w:r>
      <w:r w:rsidR="00424D46" w:rsidRPr="0028273C">
        <w:rPr>
          <w:szCs w:val="22"/>
          <w:bdr w:val="nil"/>
          <w:lang w:val="cs-CZ" w:eastAsia="en-US"/>
        </w:rPr>
        <w:t xml:space="preserve">léčby krvácení během období 50 ED </w:t>
      </w:r>
      <w:r w:rsidR="00D61E64" w:rsidRPr="0028273C">
        <w:rPr>
          <w:szCs w:val="22"/>
          <w:bdr w:val="nil"/>
          <w:lang w:val="cs-CZ" w:eastAsia="en-US"/>
        </w:rPr>
        <w:t>a </w:t>
      </w:r>
      <w:r w:rsidR="00424D46" w:rsidRPr="0028273C">
        <w:rPr>
          <w:szCs w:val="22"/>
          <w:bdr w:val="nil"/>
          <w:lang w:val="cs-CZ" w:eastAsia="en-US"/>
        </w:rPr>
        <w:t xml:space="preserve">po dobu minimálně 6 měsíců. Tato studie byla provedena v souladu se schváleným výzkumným pediatrickým plánem. </w:t>
      </w:r>
      <w:r w:rsidR="0042266D" w:rsidRPr="0028273C">
        <w:rPr>
          <w:szCs w:val="22"/>
          <w:bdr w:val="nil"/>
          <w:lang w:val="cs-CZ" w:eastAsia="en-US"/>
        </w:rPr>
        <w:t>Šedesát</w:t>
      </w:r>
      <w:r w:rsidR="00D61E64" w:rsidRPr="0028273C">
        <w:rPr>
          <w:szCs w:val="22"/>
          <w:bdr w:val="nil"/>
          <w:lang w:val="cs-CZ" w:eastAsia="en-US"/>
        </w:rPr>
        <w:t xml:space="preserve"> </w:t>
      </w:r>
      <w:r w:rsidR="0042266D" w:rsidRPr="0028273C">
        <w:rPr>
          <w:szCs w:val="22"/>
          <w:bdr w:val="nil"/>
          <w:lang w:val="cs-CZ" w:eastAsia="en-US"/>
        </w:rPr>
        <w:t>jed</w:t>
      </w:r>
      <w:r w:rsidR="000D0E4E">
        <w:rPr>
          <w:szCs w:val="22"/>
          <w:bdr w:val="nil"/>
          <w:lang w:val="cs-CZ" w:eastAsia="en-US"/>
        </w:rPr>
        <w:t>na</w:t>
      </w:r>
      <w:r w:rsidR="0042266D" w:rsidRPr="0028273C">
        <w:rPr>
          <w:szCs w:val="22"/>
          <w:bdr w:val="nil"/>
          <w:lang w:val="cs-CZ" w:eastAsia="en-US"/>
        </w:rPr>
        <w:t xml:space="preserve"> pacient</w:t>
      </w:r>
      <w:r w:rsidR="005822EC">
        <w:rPr>
          <w:szCs w:val="22"/>
          <w:bdr w:val="nil"/>
          <w:lang w:val="cs-CZ" w:eastAsia="en-US"/>
        </w:rPr>
        <w:t>ů</w:t>
      </w:r>
      <w:r w:rsidR="0042266D" w:rsidRPr="0028273C">
        <w:rPr>
          <w:szCs w:val="22"/>
          <w:bdr w:val="nil"/>
          <w:lang w:val="cs-CZ" w:eastAsia="en-US"/>
        </w:rPr>
        <w:t xml:space="preserve"> (83,6 %) dokončil</w:t>
      </w:r>
      <w:r w:rsidR="005822EC">
        <w:rPr>
          <w:szCs w:val="22"/>
          <w:bdr w:val="nil"/>
          <w:lang w:val="cs-CZ" w:eastAsia="en-US"/>
        </w:rPr>
        <w:t>o</w:t>
      </w:r>
      <w:r w:rsidR="0042266D" w:rsidRPr="0028273C">
        <w:rPr>
          <w:szCs w:val="22"/>
          <w:bdr w:val="nil"/>
          <w:lang w:val="cs-CZ" w:eastAsia="en-US"/>
        </w:rPr>
        <w:t xml:space="preserve"> hlavní studii a</w:t>
      </w:r>
      <w:r w:rsidR="00D61E64" w:rsidRPr="0028273C">
        <w:rPr>
          <w:szCs w:val="22"/>
          <w:bdr w:val="nil"/>
          <w:lang w:val="cs-CZ" w:eastAsia="en-US"/>
        </w:rPr>
        <w:t> </w:t>
      </w:r>
      <w:r w:rsidR="0042266D" w:rsidRPr="0028273C">
        <w:rPr>
          <w:szCs w:val="22"/>
          <w:bdr w:val="nil"/>
          <w:lang w:val="cs-CZ" w:eastAsia="en-US"/>
        </w:rPr>
        <w:t xml:space="preserve">59 pacientů pokračovalo </w:t>
      </w:r>
      <w:r w:rsidR="0042266D" w:rsidRPr="0028273C">
        <w:rPr>
          <w:bdr w:val="nil"/>
          <w:lang w:val="cs-CZ"/>
        </w:rPr>
        <w:t>v</w:t>
      </w:r>
      <w:r w:rsidR="00D61E64" w:rsidRPr="0028273C">
        <w:rPr>
          <w:bdr w:val="nil"/>
          <w:lang w:val="cs-CZ"/>
        </w:rPr>
        <w:t> </w:t>
      </w:r>
      <w:r w:rsidR="00424D46" w:rsidRPr="0028273C">
        <w:rPr>
          <w:bdr w:val="nil"/>
          <w:lang w:val="cs-CZ"/>
        </w:rPr>
        <w:t>účast</w:t>
      </w:r>
      <w:r w:rsidR="0042266D" w:rsidRPr="0028273C">
        <w:rPr>
          <w:bdr w:val="nil"/>
          <w:lang w:val="cs-CZ"/>
        </w:rPr>
        <w:t>i</w:t>
      </w:r>
      <w:r w:rsidR="00424D46" w:rsidRPr="0028273C">
        <w:rPr>
          <w:bdr w:val="nil"/>
          <w:lang w:val="cs-CZ"/>
        </w:rPr>
        <w:t xml:space="preserve"> ve</w:t>
      </w:r>
      <w:r w:rsidR="00424D46" w:rsidRPr="0028273C">
        <w:rPr>
          <w:szCs w:val="22"/>
          <w:bdr w:val="nil"/>
          <w:lang w:val="cs-CZ" w:eastAsia="en-US"/>
        </w:rPr>
        <w:t xml:space="preserve"> volitelné</w:t>
      </w:r>
      <w:r w:rsidR="00424D46" w:rsidRPr="0028273C">
        <w:rPr>
          <w:bdr w:val="nil"/>
          <w:lang w:val="cs-CZ"/>
        </w:rPr>
        <w:t>m</w:t>
      </w:r>
      <w:r w:rsidR="00424D46" w:rsidRPr="0028273C">
        <w:rPr>
          <w:szCs w:val="22"/>
          <w:bdr w:val="nil"/>
          <w:lang w:val="cs-CZ" w:eastAsia="en-US"/>
        </w:rPr>
        <w:t xml:space="preserve"> prodloužení studie</w:t>
      </w:r>
      <w:r w:rsidR="0019660F">
        <w:rPr>
          <w:szCs w:val="22"/>
          <w:bdr w:val="nil"/>
          <w:lang w:val="cs-CZ" w:eastAsia="en-US"/>
        </w:rPr>
        <w:t xml:space="preserve"> </w:t>
      </w:r>
      <w:r w:rsidR="0019660F" w:rsidRPr="0019660F">
        <w:rPr>
          <w:szCs w:val="22"/>
          <w:bdr w:val="nil"/>
          <w:lang w:val="cs-CZ" w:eastAsia="en-US"/>
        </w:rPr>
        <w:t>s celkovým mediánem ve studii 5,8 roku (rozmezí 1,0-6,6 roku)</w:t>
      </w:r>
      <w:r w:rsidR="00424D46" w:rsidRPr="0028273C">
        <w:rPr>
          <w:szCs w:val="22"/>
          <w:bdr w:val="nil"/>
          <w:lang w:val="cs-CZ" w:eastAsia="en-US"/>
        </w:rPr>
        <w:t>.</w:t>
      </w:r>
    </w:p>
    <w:p w14:paraId="6C6FD151" w14:textId="77777777" w:rsidR="003B0082" w:rsidRDefault="003B0082" w:rsidP="00124755">
      <w:pPr>
        <w:tabs>
          <w:tab w:val="left" w:pos="993"/>
        </w:tabs>
        <w:autoSpaceDE w:val="0"/>
        <w:autoSpaceDN w:val="0"/>
        <w:adjustRightInd w:val="0"/>
        <w:jc w:val="both"/>
        <w:rPr>
          <w:szCs w:val="22"/>
          <w:bdr w:val="nil"/>
          <w:lang w:val="cs-CZ" w:eastAsia="en-US"/>
        </w:rPr>
      </w:pPr>
    </w:p>
    <w:p w14:paraId="2B0E9C85" w14:textId="46CE3C50" w:rsidR="003B0082" w:rsidRPr="0028273C" w:rsidRDefault="003B0082" w:rsidP="00124755">
      <w:pPr>
        <w:tabs>
          <w:tab w:val="left" w:pos="993"/>
        </w:tabs>
        <w:autoSpaceDE w:val="0"/>
        <w:autoSpaceDN w:val="0"/>
        <w:adjustRightInd w:val="0"/>
        <w:jc w:val="both"/>
        <w:rPr>
          <w:szCs w:val="22"/>
          <w:bdr w:val="nil"/>
          <w:lang w:val="cs-CZ" w:eastAsia="en-US"/>
        </w:rPr>
      </w:pPr>
      <w:r w:rsidRPr="0005661C">
        <w:rPr>
          <w:szCs w:val="22"/>
          <w:u w:val="single"/>
          <w:bdr w:val="nil"/>
          <w:lang w:val="cs-CZ" w:eastAsia="en-US"/>
        </w:rPr>
        <w:t>Alfa PROTECT:</w:t>
      </w:r>
      <w:r w:rsidRPr="003B0082">
        <w:rPr>
          <w:szCs w:val="22"/>
          <w:bdr w:val="nil"/>
          <w:lang w:val="cs-CZ" w:eastAsia="en-US"/>
        </w:rPr>
        <w:t xml:space="preserve"> V</w:t>
      </w:r>
      <w:r>
        <w:rPr>
          <w:szCs w:val="22"/>
          <w:bdr w:val="nil"/>
          <w:lang w:val="cs-CZ" w:eastAsia="en-US"/>
        </w:rPr>
        <w:t> </w:t>
      </w:r>
      <w:r w:rsidRPr="003B0082">
        <w:rPr>
          <w:szCs w:val="22"/>
          <w:bdr w:val="nil"/>
          <w:lang w:val="cs-CZ" w:eastAsia="en-US"/>
        </w:rPr>
        <w:t xml:space="preserve">rámci otevřené studie </w:t>
      </w:r>
      <w:r w:rsidR="006339B2">
        <w:rPr>
          <w:szCs w:val="22"/>
          <w:bdr w:val="nil"/>
          <w:lang w:val="cs-CZ" w:eastAsia="en-US"/>
        </w:rPr>
        <w:t xml:space="preserve">s jednou skupinou </w:t>
      </w:r>
      <w:r w:rsidRPr="003B0082">
        <w:rPr>
          <w:szCs w:val="22"/>
          <w:bdr w:val="nil"/>
          <w:lang w:val="cs-CZ" w:eastAsia="en-US"/>
        </w:rPr>
        <w:t xml:space="preserve">zaměřené na hodnocení bezpečnosti infuzí </w:t>
      </w:r>
      <w:r>
        <w:rPr>
          <w:szCs w:val="22"/>
          <w:bdr w:val="nil"/>
          <w:lang w:val="cs-CZ" w:eastAsia="en-US"/>
        </w:rPr>
        <w:t xml:space="preserve">přípravku </w:t>
      </w:r>
      <w:proofErr w:type="spellStart"/>
      <w:r w:rsidRPr="003B0082">
        <w:rPr>
          <w:szCs w:val="22"/>
          <w:bdr w:val="nil"/>
          <w:lang w:val="cs-CZ" w:eastAsia="en-US"/>
        </w:rPr>
        <w:t>Jivi</w:t>
      </w:r>
      <w:proofErr w:type="spellEnd"/>
      <w:r w:rsidRPr="003B0082">
        <w:rPr>
          <w:szCs w:val="22"/>
          <w:bdr w:val="nil"/>
          <w:lang w:val="cs-CZ" w:eastAsia="en-US"/>
        </w:rPr>
        <w:t xml:space="preserve"> </w:t>
      </w:r>
      <w:r w:rsidR="006339B2">
        <w:rPr>
          <w:szCs w:val="22"/>
          <w:bdr w:val="nil"/>
          <w:lang w:val="cs-CZ" w:eastAsia="en-US"/>
        </w:rPr>
        <w:t>při</w:t>
      </w:r>
      <w:r w:rsidRPr="003B0082">
        <w:rPr>
          <w:szCs w:val="22"/>
          <w:bdr w:val="nil"/>
          <w:lang w:val="cs-CZ" w:eastAsia="en-US"/>
        </w:rPr>
        <w:t xml:space="preserve"> profylaxi a</w:t>
      </w:r>
      <w:r>
        <w:rPr>
          <w:szCs w:val="22"/>
          <w:bdr w:val="nil"/>
          <w:lang w:val="cs-CZ" w:eastAsia="en-US"/>
        </w:rPr>
        <w:t> </w:t>
      </w:r>
      <w:r w:rsidRPr="003B0082">
        <w:rPr>
          <w:szCs w:val="22"/>
          <w:bdr w:val="nil"/>
          <w:lang w:val="cs-CZ" w:eastAsia="en-US"/>
        </w:rPr>
        <w:t>léčb</w:t>
      </w:r>
      <w:r w:rsidR="006339B2">
        <w:rPr>
          <w:szCs w:val="22"/>
          <w:bdr w:val="nil"/>
          <w:lang w:val="cs-CZ" w:eastAsia="en-US"/>
        </w:rPr>
        <w:t>ě</w:t>
      </w:r>
      <w:r w:rsidRPr="003B0082">
        <w:rPr>
          <w:szCs w:val="22"/>
          <w:bdr w:val="nil"/>
          <w:lang w:val="cs-CZ" w:eastAsia="en-US"/>
        </w:rPr>
        <w:t xml:space="preserve"> krvácení u</w:t>
      </w:r>
      <w:r>
        <w:rPr>
          <w:szCs w:val="22"/>
          <w:bdr w:val="nil"/>
          <w:lang w:val="cs-CZ" w:eastAsia="en-US"/>
        </w:rPr>
        <w:t> </w:t>
      </w:r>
      <w:r w:rsidRPr="003B0082">
        <w:rPr>
          <w:szCs w:val="22"/>
          <w:bdr w:val="nil"/>
          <w:lang w:val="cs-CZ" w:eastAsia="en-US"/>
        </w:rPr>
        <w:t>dříve léčených dětí ve věku</w:t>
      </w:r>
      <w:r w:rsidR="006339B2">
        <w:rPr>
          <w:szCs w:val="22"/>
          <w:bdr w:val="nil"/>
          <w:lang w:val="cs-CZ" w:eastAsia="en-US"/>
        </w:rPr>
        <w:t xml:space="preserve"> </w:t>
      </w:r>
      <w:r w:rsidRPr="003B0082">
        <w:rPr>
          <w:szCs w:val="22"/>
          <w:bdr w:val="nil"/>
          <w:lang w:val="cs-CZ" w:eastAsia="en-US"/>
        </w:rPr>
        <w:t>7</w:t>
      </w:r>
      <w:r w:rsidR="006339B2">
        <w:rPr>
          <w:szCs w:val="22"/>
          <w:bdr w:val="nil"/>
          <w:lang w:val="cs-CZ" w:eastAsia="en-US"/>
        </w:rPr>
        <w:t> </w:t>
      </w:r>
      <w:r w:rsidRPr="003B0082">
        <w:rPr>
          <w:szCs w:val="22"/>
          <w:bdr w:val="nil"/>
          <w:lang w:val="cs-CZ" w:eastAsia="en-US"/>
        </w:rPr>
        <w:t xml:space="preserve">až </w:t>
      </w:r>
      <w:proofErr w:type="gramStart"/>
      <w:r w:rsidRPr="003B0082">
        <w:rPr>
          <w:szCs w:val="22"/>
          <w:bdr w:val="nil"/>
          <w:lang w:val="cs-CZ" w:eastAsia="en-US"/>
        </w:rPr>
        <w:t>&lt;</w:t>
      </w:r>
      <w:r>
        <w:rPr>
          <w:szCs w:val="22"/>
          <w:bdr w:val="nil"/>
          <w:lang w:val="cs-CZ" w:eastAsia="en-US"/>
        </w:rPr>
        <w:t> </w:t>
      </w:r>
      <w:r w:rsidRPr="003B0082">
        <w:rPr>
          <w:szCs w:val="22"/>
          <w:bdr w:val="nil"/>
          <w:lang w:val="cs-CZ" w:eastAsia="en-US"/>
        </w:rPr>
        <w:t>12</w:t>
      </w:r>
      <w:proofErr w:type="gramEnd"/>
      <w:r>
        <w:rPr>
          <w:szCs w:val="22"/>
          <w:bdr w:val="nil"/>
          <w:lang w:val="cs-CZ" w:eastAsia="en-US"/>
        </w:rPr>
        <w:t> </w:t>
      </w:r>
      <w:r w:rsidRPr="003B0082">
        <w:rPr>
          <w:szCs w:val="22"/>
          <w:bdr w:val="nil"/>
          <w:lang w:val="cs-CZ" w:eastAsia="en-US"/>
        </w:rPr>
        <w:t>let s</w:t>
      </w:r>
      <w:r>
        <w:rPr>
          <w:szCs w:val="22"/>
          <w:bdr w:val="nil"/>
          <w:lang w:val="cs-CZ" w:eastAsia="en-US"/>
        </w:rPr>
        <w:t> </w:t>
      </w:r>
      <w:r w:rsidRPr="003B0082">
        <w:rPr>
          <w:szCs w:val="22"/>
          <w:bdr w:val="nil"/>
          <w:lang w:val="cs-CZ" w:eastAsia="en-US"/>
        </w:rPr>
        <w:t>těžkou hemofilií</w:t>
      </w:r>
      <w:r>
        <w:rPr>
          <w:szCs w:val="22"/>
          <w:bdr w:val="nil"/>
          <w:lang w:val="cs-CZ" w:eastAsia="en-US"/>
        </w:rPr>
        <w:t> </w:t>
      </w:r>
      <w:r w:rsidRPr="003B0082">
        <w:rPr>
          <w:szCs w:val="22"/>
          <w:bdr w:val="nil"/>
          <w:lang w:val="cs-CZ" w:eastAsia="en-US"/>
        </w:rPr>
        <w:t xml:space="preserve">A bylo hodnoceno potenciální riziko </w:t>
      </w:r>
      <w:r w:rsidR="006339B2">
        <w:rPr>
          <w:szCs w:val="22"/>
          <w:bdr w:val="nil"/>
          <w:lang w:val="cs-CZ" w:eastAsia="en-US"/>
        </w:rPr>
        <w:t>hypersenzitivity</w:t>
      </w:r>
      <w:r w:rsidRPr="003B0082">
        <w:rPr>
          <w:szCs w:val="22"/>
          <w:bdr w:val="nil"/>
          <w:lang w:val="cs-CZ" w:eastAsia="en-US"/>
        </w:rPr>
        <w:t xml:space="preserve"> a</w:t>
      </w:r>
      <w:r>
        <w:rPr>
          <w:szCs w:val="22"/>
          <w:bdr w:val="nil"/>
          <w:lang w:val="cs-CZ" w:eastAsia="en-US"/>
        </w:rPr>
        <w:t> </w:t>
      </w:r>
      <w:r w:rsidRPr="003B0082">
        <w:rPr>
          <w:szCs w:val="22"/>
          <w:bdr w:val="nil"/>
          <w:lang w:val="cs-CZ" w:eastAsia="en-US"/>
        </w:rPr>
        <w:t>ztráty účinku léku spojené s</w:t>
      </w:r>
      <w:r w:rsidR="009B4DC4">
        <w:rPr>
          <w:szCs w:val="22"/>
          <w:bdr w:val="nil"/>
          <w:lang w:val="cs-CZ" w:eastAsia="en-US"/>
        </w:rPr>
        <w:t> </w:t>
      </w:r>
      <w:r w:rsidRPr="003B0082">
        <w:rPr>
          <w:szCs w:val="22"/>
          <w:bdr w:val="nil"/>
          <w:lang w:val="cs-CZ" w:eastAsia="en-US"/>
        </w:rPr>
        <w:t xml:space="preserve">imunitní </w:t>
      </w:r>
      <w:r w:rsidR="005E7E8D">
        <w:rPr>
          <w:szCs w:val="22"/>
          <w:bdr w:val="nil"/>
          <w:lang w:val="cs-CZ" w:eastAsia="en-US"/>
        </w:rPr>
        <w:t>odpovědí</w:t>
      </w:r>
      <w:r w:rsidRPr="003B0082">
        <w:rPr>
          <w:szCs w:val="22"/>
          <w:bdr w:val="nil"/>
          <w:lang w:val="cs-CZ" w:eastAsia="en-US"/>
        </w:rPr>
        <w:t xml:space="preserve"> na </w:t>
      </w:r>
      <w:proofErr w:type="spellStart"/>
      <w:r w:rsidRPr="003B0082">
        <w:rPr>
          <w:szCs w:val="22"/>
          <w:bdr w:val="nil"/>
          <w:lang w:val="cs-CZ" w:eastAsia="en-US"/>
        </w:rPr>
        <w:t>polyet</w:t>
      </w:r>
      <w:r w:rsidR="006339B2">
        <w:rPr>
          <w:szCs w:val="22"/>
          <w:bdr w:val="nil"/>
          <w:lang w:val="cs-CZ" w:eastAsia="en-US"/>
        </w:rPr>
        <w:t>h</w:t>
      </w:r>
      <w:r w:rsidRPr="003B0082">
        <w:rPr>
          <w:szCs w:val="22"/>
          <w:bdr w:val="nil"/>
          <w:lang w:val="cs-CZ" w:eastAsia="en-US"/>
        </w:rPr>
        <w:t>ylenglykol</w:t>
      </w:r>
      <w:proofErr w:type="spellEnd"/>
      <w:r w:rsidRPr="003B0082">
        <w:rPr>
          <w:szCs w:val="22"/>
          <w:bdr w:val="nil"/>
          <w:lang w:val="cs-CZ" w:eastAsia="en-US"/>
        </w:rPr>
        <w:t xml:space="preserve"> (PEG) během prvních 4</w:t>
      </w:r>
      <w:r>
        <w:rPr>
          <w:szCs w:val="22"/>
          <w:bdr w:val="nil"/>
          <w:lang w:val="cs-CZ" w:eastAsia="en-US"/>
        </w:rPr>
        <w:t> </w:t>
      </w:r>
      <w:r w:rsidRPr="003B0082">
        <w:rPr>
          <w:szCs w:val="22"/>
          <w:bdr w:val="nil"/>
          <w:lang w:val="cs-CZ" w:eastAsia="en-US"/>
        </w:rPr>
        <w:t xml:space="preserve">expozic </w:t>
      </w:r>
      <w:r>
        <w:rPr>
          <w:szCs w:val="22"/>
          <w:bdr w:val="nil"/>
          <w:lang w:val="cs-CZ" w:eastAsia="en-US"/>
        </w:rPr>
        <w:t xml:space="preserve">přípravku </w:t>
      </w:r>
      <w:proofErr w:type="spellStart"/>
      <w:r w:rsidRPr="003B0082">
        <w:rPr>
          <w:szCs w:val="22"/>
          <w:bdr w:val="nil"/>
          <w:lang w:val="cs-CZ" w:eastAsia="en-US"/>
        </w:rPr>
        <w:t>Jivi</w:t>
      </w:r>
      <w:proofErr w:type="spellEnd"/>
      <w:r w:rsidRPr="003B0082">
        <w:rPr>
          <w:szCs w:val="22"/>
          <w:bdr w:val="nil"/>
          <w:lang w:val="cs-CZ" w:eastAsia="en-US"/>
        </w:rPr>
        <w:t>. Pacienti byli léčeni profylakticky po dobu 6</w:t>
      </w:r>
      <w:r>
        <w:rPr>
          <w:szCs w:val="22"/>
          <w:bdr w:val="nil"/>
          <w:lang w:val="cs-CZ" w:eastAsia="en-US"/>
        </w:rPr>
        <w:t> </w:t>
      </w:r>
      <w:r w:rsidRPr="003B0082">
        <w:rPr>
          <w:szCs w:val="22"/>
          <w:bdr w:val="nil"/>
          <w:lang w:val="cs-CZ" w:eastAsia="en-US"/>
        </w:rPr>
        <w:t>měsíců a</w:t>
      </w:r>
      <w:r>
        <w:rPr>
          <w:szCs w:val="22"/>
          <w:bdr w:val="nil"/>
          <w:lang w:val="cs-CZ" w:eastAsia="en-US"/>
        </w:rPr>
        <w:t> </w:t>
      </w:r>
      <w:r w:rsidRPr="003B0082">
        <w:rPr>
          <w:szCs w:val="22"/>
          <w:bdr w:val="nil"/>
          <w:lang w:val="cs-CZ" w:eastAsia="en-US"/>
        </w:rPr>
        <w:t>bylo jim nabídnuto pokračování v</w:t>
      </w:r>
      <w:r>
        <w:rPr>
          <w:szCs w:val="22"/>
          <w:bdr w:val="nil"/>
          <w:lang w:val="cs-CZ" w:eastAsia="en-US"/>
        </w:rPr>
        <w:t> </w:t>
      </w:r>
      <w:r w:rsidRPr="003B0082">
        <w:rPr>
          <w:szCs w:val="22"/>
          <w:bdr w:val="nil"/>
          <w:lang w:val="cs-CZ" w:eastAsia="en-US"/>
        </w:rPr>
        <w:t xml:space="preserve">18měsíční </w:t>
      </w:r>
      <w:r w:rsidR="00533341">
        <w:rPr>
          <w:szCs w:val="22"/>
          <w:bdr w:val="nil"/>
          <w:lang w:val="cs-CZ" w:eastAsia="en-US"/>
        </w:rPr>
        <w:t>prodloužené části</w:t>
      </w:r>
      <w:r>
        <w:rPr>
          <w:szCs w:val="22"/>
          <w:bdr w:val="nil"/>
          <w:lang w:val="cs-CZ" w:eastAsia="en-US"/>
        </w:rPr>
        <w:t xml:space="preserve"> </w:t>
      </w:r>
      <w:r w:rsidRPr="003B0082">
        <w:rPr>
          <w:szCs w:val="22"/>
          <w:bdr w:val="nil"/>
          <w:lang w:val="cs-CZ" w:eastAsia="en-US"/>
        </w:rPr>
        <w:t>studi</w:t>
      </w:r>
      <w:r w:rsidR="00533341">
        <w:rPr>
          <w:szCs w:val="22"/>
          <w:bdr w:val="nil"/>
          <w:lang w:val="cs-CZ" w:eastAsia="en-US"/>
        </w:rPr>
        <w:t>e</w:t>
      </w:r>
      <w:r w:rsidRPr="003B0082">
        <w:rPr>
          <w:szCs w:val="22"/>
          <w:bdr w:val="nil"/>
          <w:lang w:val="cs-CZ" w:eastAsia="en-US"/>
        </w:rPr>
        <w:t>.</w:t>
      </w:r>
    </w:p>
    <w:p w14:paraId="1A85DC29" w14:textId="77777777" w:rsidR="00B264B0" w:rsidRPr="0028273C" w:rsidRDefault="00B264B0" w:rsidP="00124755">
      <w:pPr>
        <w:pStyle w:val="BayerBodyTextFull"/>
        <w:spacing w:before="0" w:after="0"/>
        <w:jc w:val="both"/>
        <w:rPr>
          <w:sz w:val="22"/>
          <w:szCs w:val="22"/>
          <w:highlight w:val="green"/>
          <w:lang w:val="cs-CZ"/>
        </w:rPr>
      </w:pPr>
    </w:p>
    <w:p w14:paraId="1C5BBED4" w14:textId="0CE03958" w:rsidR="002A240A" w:rsidRPr="0028273C" w:rsidRDefault="00287DAB" w:rsidP="00735457">
      <w:pPr>
        <w:pStyle w:val="BayerBodyTextFull"/>
        <w:keepNext/>
        <w:spacing w:before="0" w:after="0"/>
        <w:rPr>
          <w:i/>
          <w:sz w:val="22"/>
          <w:szCs w:val="22"/>
          <w:lang w:val="cs-CZ"/>
        </w:rPr>
      </w:pPr>
      <w:r w:rsidRPr="0028273C">
        <w:rPr>
          <w:i/>
          <w:sz w:val="22"/>
          <w:szCs w:val="22"/>
          <w:lang w:val="cs-CZ"/>
        </w:rPr>
        <w:lastRenderedPageBreak/>
        <w:t>Profylaktická léčba</w:t>
      </w:r>
      <w:r w:rsidR="008E25ED" w:rsidRPr="0028273C">
        <w:rPr>
          <w:i/>
          <w:sz w:val="22"/>
          <w:szCs w:val="22"/>
          <w:lang w:val="cs-CZ"/>
        </w:rPr>
        <w:t xml:space="preserve"> u</w:t>
      </w:r>
      <w:r w:rsidR="00D61E64" w:rsidRPr="0028273C">
        <w:rPr>
          <w:i/>
          <w:sz w:val="22"/>
          <w:szCs w:val="22"/>
          <w:lang w:val="cs-CZ"/>
        </w:rPr>
        <w:t> </w:t>
      </w:r>
      <w:r w:rsidR="008E25ED" w:rsidRPr="0028273C">
        <w:rPr>
          <w:i/>
          <w:sz w:val="22"/>
          <w:szCs w:val="22"/>
          <w:lang w:val="cs-CZ"/>
        </w:rPr>
        <w:t>pacie</w:t>
      </w:r>
      <w:r w:rsidR="00D61E64" w:rsidRPr="0028273C">
        <w:rPr>
          <w:i/>
          <w:sz w:val="22"/>
          <w:szCs w:val="22"/>
          <w:lang w:val="cs-CZ"/>
        </w:rPr>
        <w:t>n</w:t>
      </w:r>
      <w:r w:rsidR="008E25ED" w:rsidRPr="0028273C">
        <w:rPr>
          <w:i/>
          <w:sz w:val="22"/>
          <w:szCs w:val="22"/>
          <w:lang w:val="cs-CZ"/>
        </w:rPr>
        <w:t>tů ve věku ≥</w:t>
      </w:r>
      <w:r w:rsidR="00883798" w:rsidRPr="00331C04">
        <w:rPr>
          <w:szCs w:val="22"/>
          <w:lang w:val="cs-CZ"/>
        </w:rPr>
        <w:t> </w:t>
      </w:r>
      <w:r w:rsidR="008E25ED" w:rsidRPr="0028273C">
        <w:rPr>
          <w:i/>
          <w:sz w:val="22"/>
          <w:szCs w:val="22"/>
          <w:lang w:val="cs-CZ"/>
        </w:rPr>
        <w:t>12 let</w:t>
      </w:r>
    </w:p>
    <w:p w14:paraId="06B48BC2" w14:textId="77777777" w:rsidR="008005B1" w:rsidRPr="0028273C" w:rsidRDefault="008005B1" w:rsidP="00735457">
      <w:pPr>
        <w:pStyle w:val="BayerBodyTextFull"/>
        <w:keepNext/>
        <w:spacing w:before="0" w:after="0"/>
        <w:rPr>
          <w:sz w:val="22"/>
          <w:szCs w:val="22"/>
          <w:lang w:val="cs-CZ"/>
        </w:rPr>
      </w:pPr>
    </w:p>
    <w:p w14:paraId="5762428E" w14:textId="3E81AC5B" w:rsidR="008E25ED" w:rsidRPr="0028273C" w:rsidRDefault="008E25ED" w:rsidP="00735457">
      <w:pPr>
        <w:pStyle w:val="BayerBodyTextFull"/>
        <w:keepNext/>
        <w:spacing w:before="0" w:after="0"/>
        <w:rPr>
          <w:sz w:val="22"/>
          <w:szCs w:val="22"/>
          <w:lang w:val="cs-CZ"/>
        </w:rPr>
      </w:pPr>
      <w:r w:rsidRPr="0028273C">
        <w:rPr>
          <w:sz w:val="22"/>
          <w:szCs w:val="22"/>
          <w:lang w:val="cs-CZ"/>
        </w:rPr>
        <w:t>Během hlavní</w:t>
      </w:r>
      <w:r w:rsidR="004B20FF" w:rsidRPr="0028273C">
        <w:rPr>
          <w:sz w:val="22"/>
          <w:szCs w:val="22"/>
          <w:lang w:val="cs-CZ"/>
        </w:rPr>
        <w:t xml:space="preserve"> </w:t>
      </w:r>
      <w:r w:rsidR="00F520FF">
        <w:rPr>
          <w:sz w:val="22"/>
          <w:szCs w:val="22"/>
          <w:lang w:val="cs-CZ"/>
        </w:rPr>
        <w:t>části</w:t>
      </w:r>
      <w:r w:rsidRPr="0028273C">
        <w:rPr>
          <w:sz w:val="22"/>
          <w:szCs w:val="22"/>
          <w:lang w:val="cs-CZ"/>
        </w:rPr>
        <w:t xml:space="preserve"> studie byli </w:t>
      </w:r>
      <w:r w:rsidR="00B264B0" w:rsidRPr="0028273C">
        <w:rPr>
          <w:sz w:val="22"/>
          <w:szCs w:val="22"/>
          <w:lang w:val="cs-CZ"/>
        </w:rPr>
        <w:t>pacienti</w:t>
      </w:r>
      <w:r w:rsidRPr="0028273C">
        <w:rPr>
          <w:sz w:val="22"/>
          <w:szCs w:val="22"/>
          <w:lang w:val="cs-CZ"/>
        </w:rPr>
        <w:t xml:space="preserve"> zařazeni do </w:t>
      </w:r>
      <w:r w:rsidR="004B20FF" w:rsidRPr="0028273C">
        <w:rPr>
          <w:sz w:val="22"/>
          <w:szCs w:val="22"/>
          <w:lang w:val="cs-CZ"/>
        </w:rPr>
        <w:t>skupiny s </w:t>
      </w:r>
      <w:r w:rsidRPr="0028273C">
        <w:rPr>
          <w:sz w:val="22"/>
          <w:szCs w:val="22"/>
          <w:lang w:val="cs-CZ"/>
        </w:rPr>
        <w:t>profylax</w:t>
      </w:r>
      <w:r w:rsidR="004B20FF" w:rsidRPr="0028273C">
        <w:rPr>
          <w:sz w:val="22"/>
          <w:szCs w:val="22"/>
          <w:lang w:val="cs-CZ"/>
        </w:rPr>
        <w:t>í</w:t>
      </w:r>
      <w:r w:rsidRPr="0028273C">
        <w:rPr>
          <w:sz w:val="22"/>
          <w:szCs w:val="22"/>
          <w:lang w:val="cs-CZ"/>
        </w:rPr>
        <w:t xml:space="preserve"> 2</w:t>
      </w:r>
      <w:r w:rsidR="00B264B0" w:rsidRPr="0028273C">
        <w:rPr>
          <w:sz w:val="22"/>
          <w:szCs w:val="22"/>
          <w:lang w:val="cs-CZ"/>
        </w:rPr>
        <w:t>krát</w:t>
      </w:r>
      <w:r w:rsidRPr="0028273C">
        <w:rPr>
          <w:sz w:val="22"/>
          <w:szCs w:val="22"/>
          <w:lang w:val="cs-CZ"/>
        </w:rPr>
        <w:t>/týden (n=24) nebo</w:t>
      </w:r>
      <w:r w:rsidR="00284E52" w:rsidRPr="0028273C">
        <w:rPr>
          <w:sz w:val="22"/>
          <w:szCs w:val="22"/>
          <w:lang w:val="cs-CZ"/>
        </w:rPr>
        <w:t xml:space="preserve"> </w:t>
      </w:r>
      <w:r w:rsidRPr="0028273C">
        <w:rPr>
          <w:sz w:val="22"/>
          <w:szCs w:val="22"/>
          <w:lang w:val="cs-CZ"/>
        </w:rPr>
        <w:t xml:space="preserve">randomizováni </w:t>
      </w:r>
      <w:r w:rsidR="004B20FF" w:rsidRPr="0028273C">
        <w:rPr>
          <w:sz w:val="22"/>
          <w:szCs w:val="22"/>
          <w:lang w:val="cs-CZ"/>
        </w:rPr>
        <w:t xml:space="preserve">k léčbě </w:t>
      </w:r>
      <w:r w:rsidRPr="0028273C">
        <w:rPr>
          <w:sz w:val="22"/>
          <w:szCs w:val="22"/>
          <w:lang w:val="cs-CZ"/>
        </w:rPr>
        <w:t>každých 5</w:t>
      </w:r>
      <w:r w:rsidR="004B20FF" w:rsidRPr="0028273C">
        <w:rPr>
          <w:sz w:val="22"/>
          <w:szCs w:val="22"/>
          <w:lang w:val="cs-CZ"/>
        </w:rPr>
        <w:t> </w:t>
      </w:r>
      <w:r w:rsidRPr="0028273C">
        <w:rPr>
          <w:sz w:val="22"/>
          <w:szCs w:val="22"/>
          <w:lang w:val="cs-CZ"/>
        </w:rPr>
        <w:t xml:space="preserve">dní (n=43) </w:t>
      </w:r>
      <w:r w:rsidR="007E19A0" w:rsidRPr="0028273C">
        <w:rPr>
          <w:sz w:val="22"/>
          <w:szCs w:val="22"/>
          <w:lang w:val="cs-CZ"/>
        </w:rPr>
        <w:t>či</w:t>
      </w:r>
      <w:r w:rsidRPr="0028273C">
        <w:rPr>
          <w:sz w:val="22"/>
          <w:szCs w:val="22"/>
          <w:lang w:val="cs-CZ"/>
        </w:rPr>
        <w:t xml:space="preserve"> každých 7</w:t>
      </w:r>
      <w:r w:rsidR="004B20FF" w:rsidRPr="0028273C">
        <w:rPr>
          <w:sz w:val="22"/>
          <w:szCs w:val="22"/>
          <w:lang w:val="cs-CZ"/>
        </w:rPr>
        <w:t> </w:t>
      </w:r>
      <w:r w:rsidRPr="0028273C">
        <w:rPr>
          <w:sz w:val="22"/>
          <w:szCs w:val="22"/>
          <w:lang w:val="cs-CZ"/>
        </w:rPr>
        <w:t>dní (n=43)</w:t>
      </w:r>
      <w:r w:rsidR="00284E52" w:rsidRPr="0028273C">
        <w:rPr>
          <w:sz w:val="22"/>
          <w:szCs w:val="22"/>
          <w:lang w:val="cs-CZ"/>
        </w:rPr>
        <w:t xml:space="preserve"> nebo dost</w:t>
      </w:r>
      <w:r w:rsidR="007E19A0" w:rsidRPr="0028273C">
        <w:rPr>
          <w:sz w:val="22"/>
          <w:szCs w:val="22"/>
          <w:lang w:val="cs-CZ"/>
        </w:rPr>
        <w:t>áv</w:t>
      </w:r>
      <w:r w:rsidR="00284E52" w:rsidRPr="0028273C">
        <w:rPr>
          <w:sz w:val="22"/>
          <w:szCs w:val="22"/>
          <w:lang w:val="cs-CZ"/>
        </w:rPr>
        <w:t xml:space="preserve">ali léčbu </w:t>
      </w:r>
      <w:r w:rsidR="004B20FF" w:rsidRPr="0028273C">
        <w:rPr>
          <w:sz w:val="22"/>
          <w:szCs w:val="22"/>
          <w:lang w:val="cs-CZ"/>
        </w:rPr>
        <w:t xml:space="preserve">přípravkem </w:t>
      </w:r>
      <w:proofErr w:type="spellStart"/>
      <w:r w:rsidR="004B20FF" w:rsidRPr="0028273C">
        <w:rPr>
          <w:sz w:val="22"/>
          <w:szCs w:val="22"/>
          <w:lang w:val="cs-CZ"/>
        </w:rPr>
        <w:t>Jivi</w:t>
      </w:r>
      <w:proofErr w:type="spellEnd"/>
      <w:r w:rsidR="004B20FF" w:rsidRPr="0028273C">
        <w:rPr>
          <w:sz w:val="22"/>
          <w:szCs w:val="22"/>
          <w:lang w:val="cs-CZ"/>
        </w:rPr>
        <w:t xml:space="preserve"> </w:t>
      </w:r>
      <w:r w:rsidR="00284E52" w:rsidRPr="0028273C">
        <w:rPr>
          <w:sz w:val="22"/>
          <w:szCs w:val="22"/>
          <w:lang w:val="cs-CZ"/>
        </w:rPr>
        <w:t>podle potřeby (n=20)</w:t>
      </w:r>
      <w:r w:rsidRPr="0028273C">
        <w:rPr>
          <w:sz w:val="22"/>
          <w:szCs w:val="22"/>
          <w:lang w:val="cs-CZ"/>
        </w:rPr>
        <w:t>. Devadesát devět z</w:t>
      </w:r>
      <w:r w:rsidR="00284E52" w:rsidRPr="0028273C">
        <w:rPr>
          <w:sz w:val="22"/>
          <w:szCs w:val="22"/>
          <w:lang w:val="cs-CZ"/>
        </w:rPr>
        <w:t>e</w:t>
      </w:r>
      <w:r w:rsidRPr="0028273C">
        <w:rPr>
          <w:sz w:val="22"/>
          <w:szCs w:val="22"/>
          <w:lang w:val="cs-CZ"/>
        </w:rPr>
        <w:t xml:space="preserve"> 110</w:t>
      </w:r>
      <w:r w:rsidR="00284E52" w:rsidRPr="0028273C">
        <w:rPr>
          <w:sz w:val="22"/>
          <w:szCs w:val="22"/>
          <w:lang w:val="cs-CZ"/>
        </w:rPr>
        <w:t> </w:t>
      </w:r>
      <w:r w:rsidRPr="0028273C">
        <w:rPr>
          <w:sz w:val="22"/>
          <w:szCs w:val="22"/>
          <w:lang w:val="cs-CZ"/>
        </w:rPr>
        <w:t>pacientů (90</w:t>
      </w:r>
      <w:r w:rsidR="00284E52" w:rsidRPr="0028273C">
        <w:rPr>
          <w:sz w:val="22"/>
          <w:szCs w:val="22"/>
          <w:lang w:val="cs-CZ"/>
        </w:rPr>
        <w:t> </w:t>
      </w:r>
      <w:r w:rsidRPr="0028273C">
        <w:rPr>
          <w:sz w:val="22"/>
          <w:szCs w:val="22"/>
          <w:lang w:val="cs-CZ"/>
        </w:rPr>
        <w:t xml:space="preserve">%) zůstalo </w:t>
      </w:r>
      <w:r w:rsidR="00CF356F" w:rsidRPr="0028273C">
        <w:rPr>
          <w:sz w:val="22"/>
          <w:szCs w:val="22"/>
          <w:lang w:val="cs-CZ"/>
        </w:rPr>
        <w:t>v</w:t>
      </w:r>
      <w:r w:rsidR="007E19A0" w:rsidRPr="0028273C">
        <w:rPr>
          <w:sz w:val="22"/>
          <w:szCs w:val="22"/>
          <w:lang w:val="cs-CZ"/>
        </w:rPr>
        <w:t xml:space="preserve"> přiřazeném </w:t>
      </w:r>
      <w:r w:rsidR="00F520FF">
        <w:rPr>
          <w:sz w:val="22"/>
          <w:szCs w:val="22"/>
          <w:lang w:val="cs-CZ"/>
        </w:rPr>
        <w:t>léčebn</w:t>
      </w:r>
      <w:r w:rsidR="00176811">
        <w:rPr>
          <w:sz w:val="22"/>
          <w:szCs w:val="22"/>
          <w:lang w:val="cs-CZ"/>
        </w:rPr>
        <w:t>é</w:t>
      </w:r>
      <w:r w:rsidR="00F520FF">
        <w:rPr>
          <w:sz w:val="22"/>
          <w:szCs w:val="22"/>
          <w:lang w:val="cs-CZ"/>
        </w:rPr>
        <w:t xml:space="preserve">m </w:t>
      </w:r>
      <w:r w:rsidRPr="0028273C">
        <w:rPr>
          <w:sz w:val="22"/>
          <w:szCs w:val="22"/>
          <w:lang w:val="cs-CZ"/>
        </w:rPr>
        <w:t>režimu. Jedenáct pacientů v</w:t>
      </w:r>
      <w:r w:rsidR="00284E52" w:rsidRPr="0028273C">
        <w:rPr>
          <w:sz w:val="22"/>
          <w:szCs w:val="22"/>
          <w:lang w:val="cs-CZ"/>
        </w:rPr>
        <w:t> ramen</w:t>
      </w:r>
      <w:r w:rsidR="00CF356F" w:rsidRPr="0028273C">
        <w:rPr>
          <w:sz w:val="22"/>
          <w:szCs w:val="22"/>
          <w:lang w:val="cs-CZ"/>
        </w:rPr>
        <w:t>i</w:t>
      </w:r>
      <w:r w:rsidR="00284E52" w:rsidRPr="0028273C">
        <w:rPr>
          <w:sz w:val="22"/>
          <w:szCs w:val="22"/>
          <w:lang w:val="cs-CZ"/>
        </w:rPr>
        <w:t xml:space="preserve"> podávání </w:t>
      </w:r>
      <w:r w:rsidRPr="0028273C">
        <w:rPr>
          <w:sz w:val="22"/>
          <w:szCs w:val="22"/>
          <w:lang w:val="cs-CZ"/>
        </w:rPr>
        <w:t>každých 7</w:t>
      </w:r>
      <w:r w:rsidR="00284E52" w:rsidRPr="0028273C">
        <w:rPr>
          <w:sz w:val="22"/>
          <w:szCs w:val="22"/>
          <w:lang w:val="cs-CZ"/>
        </w:rPr>
        <w:t> </w:t>
      </w:r>
      <w:r w:rsidRPr="0028273C">
        <w:rPr>
          <w:sz w:val="22"/>
          <w:szCs w:val="22"/>
          <w:lang w:val="cs-CZ"/>
        </w:rPr>
        <w:t>dn</w:t>
      </w:r>
      <w:r w:rsidR="00284E52" w:rsidRPr="0028273C">
        <w:rPr>
          <w:sz w:val="22"/>
          <w:szCs w:val="22"/>
          <w:lang w:val="cs-CZ"/>
        </w:rPr>
        <w:t>ů</w:t>
      </w:r>
      <w:r w:rsidRPr="0028273C">
        <w:rPr>
          <w:sz w:val="22"/>
          <w:szCs w:val="22"/>
          <w:lang w:val="cs-CZ"/>
        </w:rPr>
        <w:t xml:space="preserve"> zvýšilo frekvenci. </w:t>
      </w:r>
      <w:r w:rsidR="00CF356F" w:rsidRPr="0028273C">
        <w:rPr>
          <w:sz w:val="22"/>
          <w:szCs w:val="22"/>
          <w:lang w:val="cs-CZ"/>
        </w:rPr>
        <w:t xml:space="preserve">Medián </w:t>
      </w:r>
      <w:r w:rsidRPr="0028273C">
        <w:rPr>
          <w:sz w:val="22"/>
          <w:szCs w:val="22"/>
          <w:lang w:val="cs-CZ"/>
        </w:rPr>
        <w:t>dávk</w:t>
      </w:r>
      <w:r w:rsidR="00CF356F" w:rsidRPr="0028273C">
        <w:rPr>
          <w:sz w:val="22"/>
          <w:szCs w:val="22"/>
          <w:lang w:val="cs-CZ"/>
        </w:rPr>
        <w:t>y</w:t>
      </w:r>
      <w:r w:rsidRPr="0028273C">
        <w:rPr>
          <w:sz w:val="22"/>
          <w:szCs w:val="22"/>
          <w:lang w:val="cs-CZ"/>
        </w:rPr>
        <w:t xml:space="preserve"> pro všechny režimy profylaxe byl 46,9</w:t>
      </w:r>
      <w:r w:rsidR="00284E52" w:rsidRPr="0028273C">
        <w:rPr>
          <w:sz w:val="22"/>
          <w:szCs w:val="22"/>
          <w:lang w:val="cs-CZ"/>
        </w:rPr>
        <w:t> </w:t>
      </w:r>
      <w:r w:rsidRPr="0028273C">
        <w:rPr>
          <w:sz w:val="22"/>
          <w:szCs w:val="22"/>
          <w:lang w:val="cs-CZ"/>
        </w:rPr>
        <w:t>IU/kg/injekc</w:t>
      </w:r>
      <w:r w:rsidR="00284E52" w:rsidRPr="0028273C">
        <w:rPr>
          <w:sz w:val="22"/>
          <w:szCs w:val="22"/>
          <w:lang w:val="cs-CZ"/>
        </w:rPr>
        <w:t>i</w:t>
      </w:r>
      <w:r w:rsidRPr="0028273C">
        <w:rPr>
          <w:sz w:val="22"/>
          <w:szCs w:val="22"/>
          <w:lang w:val="cs-CZ"/>
        </w:rPr>
        <w:t xml:space="preserve">. </w:t>
      </w:r>
      <w:r w:rsidR="00284E52" w:rsidRPr="0028273C">
        <w:rPr>
          <w:sz w:val="22"/>
          <w:szCs w:val="22"/>
          <w:lang w:val="cs-CZ"/>
        </w:rPr>
        <w:t>Medián</w:t>
      </w:r>
      <w:r w:rsidRPr="0028273C">
        <w:rPr>
          <w:sz w:val="22"/>
          <w:szCs w:val="22"/>
          <w:lang w:val="cs-CZ"/>
        </w:rPr>
        <w:t xml:space="preserve"> (Q1; Q3) ABR během profylaxe byl 2,09 (0,0; 6,1) pro všechna krvácení a</w:t>
      </w:r>
      <w:r w:rsidR="00CF356F" w:rsidRPr="0028273C">
        <w:rPr>
          <w:sz w:val="22"/>
          <w:szCs w:val="22"/>
          <w:lang w:val="cs-CZ"/>
        </w:rPr>
        <w:t> </w:t>
      </w:r>
      <w:r w:rsidRPr="0028273C">
        <w:rPr>
          <w:sz w:val="22"/>
          <w:szCs w:val="22"/>
          <w:lang w:val="cs-CZ"/>
        </w:rPr>
        <w:t>0,0 (0,</w:t>
      </w:r>
      <w:r w:rsidR="00CF356F" w:rsidRPr="0028273C">
        <w:rPr>
          <w:sz w:val="22"/>
          <w:szCs w:val="22"/>
          <w:lang w:val="cs-CZ"/>
        </w:rPr>
        <w:t xml:space="preserve">0; </w:t>
      </w:r>
      <w:r w:rsidRPr="0028273C">
        <w:rPr>
          <w:sz w:val="22"/>
          <w:szCs w:val="22"/>
          <w:lang w:val="cs-CZ"/>
        </w:rPr>
        <w:t>4,2) pro spontánní krvácení ve srovnání s</w:t>
      </w:r>
      <w:r w:rsidR="007E19A0" w:rsidRPr="0028273C">
        <w:rPr>
          <w:sz w:val="22"/>
          <w:szCs w:val="22"/>
          <w:lang w:val="cs-CZ"/>
        </w:rPr>
        <w:t xml:space="preserve"> hodnotou </w:t>
      </w:r>
      <w:r w:rsidRPr="0028273C">
        <w:rPr>
          <w:sz w:val="22"/>
          <w:szCs w:val="22"/>
          <w:lang w:val="cs-CZ"/>
        </w:rPr>
        <w:t>23,4 (18;</w:t>
      </w:r>
      <w:r w:rsidR="00284E52" w:rsidRPr="0028273C">
        <w:rPr>
          <w:sz w:val="22"/>
          <w:szCs w:val="22"/>
          <w:lang w:val="cs-CZ"/>
        </w:rPr>
        <w:t xml:space="preserve"> 37) </w:t>
      </w:r>
      <w:r w:rsidR="007E19A0" w:rsidRPr="0028273C">
        <w:rPr>
          <w:sz w:val="22"/>
          <w:szCs w:val="22"/>
          <w:lang w:val="cs-CZ"/>
        </w:rPr>
        <w:t>pro všechna</w:t>
      </w:r>
      <w:r w:rsidR="00284E52" w:rsidRPr="0028273C">
        <w:rPr>
          <w:sz w:val="22"/>
          <w:szCs w:val="22"/>
          <w:lang w:val="cs-CZ"/>
        </w:rPr>
        <w:t xml:space="preserve"> krvácení ve skupině </w:t>
      </w:r>
      <w:r w:rsidR="00CF356F" w:rsidRPr="0028273C">
        <w:rPr>
          <w:sz w:val="22"/>
          <w:szCs w:val="22"/>
          <w:lang w:val="cs-CZ"/>
        </w:rPr>
        <w:t xml:space="preserve">léčby </w:t>
      </w:r>
      <w:r w:rsidR="00284E52" w:rsidRPr="0028273C">
        <w:rPr>
          <w:sz w:val="22"/>
          <w:szCs w:val="22"/>
          <w:lang w:val="cs-CZ"/>
        </w:rPr>
        <w:t>podle potřeby.</w:t>
      </w:r>
      <w:r w:rsidRPr="0028273C">
        <w:rPr>
          <w:sz w:val="22"/>
          <w:szCs w:val="22"/>
          <w:lang w:val="cs-CZ"/>
        </w:rPr>
        <w:t xml:space="preserve"> Čtyřicet dva ze 110</w:t>
      </w:r>
      <w:r w:rsidR="00CF356F" w:rsidRPr="0028273C">
        <w:rPr>
          <w:sz w:val="22"/>
          <w:szCs w:val="22"/>
          <w:lang w:val="cs-CZ"/>
        </w:rPr>
        <w:t> </w:t>
      </w:r>
      <w:r w:rsidRPr="0028273C">
        <w:rPr>
          <w:sz w:val="22"/>
          <w:szCs w:val="22"/>
          <w:lang w:val="cs-CZ"/>
        </w:rPr>
        <w:t>pacientů v</w:t>
      </w:r>
      <w:r w:rsidR="00CF356F" w:rsidRPr="0028273C">
        <w:rPr>
          <w:sz w:val="22"/>
          <w:szCs w:val="22"/>
          <w:lang w:val="cs-CZ"/>
        </w:rPr>
        <w:t> rameni</w:t>
      </w:r>
      <w:r w:rsidRPr="0028273C">
        <w:rPr>
          <w:sz w:val="22"/>
          <w:szCs w:val="22"/>
          <w:lang w:val="cs-CZ"/>
        </w:rPr>
        <w:t xml:space="preserve"> </w:t>
      </w:r>
      <w:r w:rsidR="00CF356F" w:rsidRPr="0028273C">
        <w:rPr>
          <w:sz w:val="22"/>
          <w:szCs w:val="22"/>
          <w:lang w:val="cs-CZ"/>
        </w:rPr>
        <w:t>s </w:t>
      </w:r>
      <w:r w:rsidRPr="0028273C">
        <w:rPr>
          <w:sz w:val="22"/>
          <w:szCs w:val="22"/>
          <w:lang w:val="cs-CZ"/>
        </w:rPr>
        <w:t>profylax</w:t>
      </w:r>
      <w:r w:rsidR="00CF356F" w:rsidRPr="0028273C">
        <w:rPr>
          <w:sz w:val="22"/>
          <w:szCs w:val="22"/>
          <w:lang w:val="cs-CZ"/>
        </w:rPr>
        <w:t>í</w:t>
      </w:r>
      <w:r w:rsidRPr="0028273C">
        <w:rPr>
          <w:sz w:val="22"/>
          <w:szCs w:val="22"/>
          <w:lang w:val="cs-CZ"/>
        </w:rPr>
        <w:t xml:space="preserve"> (38,2</w:t>
      </w:r>
      <w:r w:rsidR="00284E52" w:rsidRPr="0028273C">
        <w:rPr>
          <w:sz w:val="22"/>
          <w:szCs w:val="22"/>
          <w:lang w:val="cs-CZ"/>
        </w:rPr>
        <w:t> </w:t>
      </w:r>
      <w:r w:rsidRPr="0028273C">
        <w:rPr>
          <w:sz w:val="22"/>
          <w:szCs w:val="22"/>
          <w:lang w:val="cs-CZ"/>
        </w:rPr>
        <w:t>%) nemělo žádnou epizodu</w:t>
      </w:r>
      <w:r w:rsidR="00284E52" w:rsidRPr="0028273C">
        <w:rPr>
          <w:sz w:val="22"/>
          <w:szCs w:val="22"/>
          <w:lang w:val="cs-CZ"/>
        </w:rPr>
        <w:t xml:space="preserve"> krvácení</w:t>
      </w:r>
      <w:r w:rsidRPr="0028273C">
        <w:rPr>
          <w:sz w:val="22"/>
          <w:szCs w:val="22"/>
          <w:lang w:val="cs-CZ"/>
        </w:rPr>
        <w:t>.</w:t>
      </w:r>
    </w:p>
    <w:p w14:paraId="6FA01A73" w14:textId="77777777" w:rsidR="00AB4CBC" w:rsidRPr="0028273C" w:rsidRDefault="00AB4CBC" w:rsidP="00735457">
      <w:pPr>
        <w:pStyle w:val="BayerBodyTextFull"/>
        <w:widowControl w:val="0"/>
        <w:spacing w:before="0" w:after="0"/>
        <w:rPr>
          <w:sz w:val="22"/>
          <w:szCs w:val="22"/>
          <w:lang w:val="cs-CZ"/>
        </w:rPr>
      </w:pPr>
    </w:p>
    <w:p w14:paraId="6C2397F3" w14:textId="77777777" w:rsidR="007C6AD1" w:rsidRPr="002232D8" w:rsidRDefault="00AB4CBC" w:rsidP="00735457">
      <w:pPr>
        <w:pStyle w:val="BayerBodyTextFull"/>
        <w:widowControl w:val="0"/>
        <w:spacing w:before="0" w:after="0"/>
        <w:rPr>
          <w:sz w:val="22"/>
          <w:szCs w:val="22"/>
          <w:lang w:val="cs-CZ"/>
        </w:rPr>
      </w:pPr>
      <w:r w:rsidRPr="002232D8">
        <w:rPr>
          <w:sz w:val="22"/>
          <w:szCs w:val="22"/>
          <w:lang w:val="cs-CZ"/>
        </w:rPr>
        <w:t>Během prodloužené</w:t>
      </w:r>
      <w:r w:rsidR="00660EF2" w:rsidRPr="002232D8">
        <w:rPr>
          <w:sz w:val="22"/>
          <w:szCs w:val="22"/>
          <w:lang w:val="cs-CZ"/>
        </w:rPr>
        <w:t xml:space="preserve"> části</w:t>
      </w:r>
      <w:r w:rsidRPr="002232D8">
        <w:rPr>
          <w:sz w:val="22"/>
          <w:szCs w:val="22"/>
          <w:lang w:val="cs-CZ"/>
        </w:rPr>
        <w:t xml:space="preserve"> studie </w:t>
      </w:r>
      <w:r w:rsidR="00FE182C" w:rsidRPr="002232D8">
        <w:rPr>
          <w:sz w:val="22"/>
          <w:szCs w:val="22"/>
          <w:lang w:val="cs-CZ"/>
        </w:rPr>
        <w:t xml:space="preserve">(medián trvání 3,2 let, rozmezí 0,1 – 6,3 let), </w:t>
      </w:r>
      <w:r w:rsidRPr="002232D8">
        <w:rPr>
          <w:sz w:val="22"/>
          <w:szCs w:val="22"/>
          <w:lang w:val="cs-CZ"/>
        </w:rPr>
        <w:t>2</w:t>
      </w:r>
      <w:r w:rsidR="00FE182C" w:rsidRPr="002232D8">
        <w:rPr>
          <w:sz w:val="22"/>
          <w:szCs w:val="22"/>
          <w:lang w:val="cs-CZ"/>
        </w:rPr>
        <w:t>3</w:t>
      </w:r>
      <w:r w:rsidR="00135B28" w:rsidRPr="002232D8">
        <w:rPr>
          <w:sz w:val="22"/>
          <w:szCs w:val="22"/>
          <w:lang w:val="cs-CZ"/>
        </w:rPr>
        <w:t> </w:t>
      </w:r>
      <w:r w:rsidRPr="002232D8">
        <w:rPr>
          <w:sz w:val="22"/>
          <w:szCs w:val="22"/>
          <w:lang w:val="cs-CZ"/>
        </w:rPr>
        <w:t xml:space="preserve">pacientů </w:t>
      </w:r>
      <w:r w:rsidR="00FE182C" w:rsidRPr="002232D8">
        <w:rPr>
          <w:sz w:val="22"/>
          <w:szCs w:val="22"/>
          <w:lang w:val="cs-CZ"/>
        </w:rPr>
        <w:t xml:space="preserve">bylo </w:t>
      </w:r>
      <w:r w:rsidRPr="002232D8">
        <w:rPr>
          <w:sz w:val="22"/>
          <w:szCs w:val="22"/>
          <w:lang w:val="cs-CZ"/>
        </w:rPr>
        <w:t>léčeno 2krát/týden, 3</w:t>
      </w:r>
      <w:r w:rsidR="00FE182C" w:rsidRPr="002232D8">
        <w:rPr>
          <w:sz w:val="22"/>
          <w:szCs w:val="22"/>
          <w:lang w:val="cs-CZ"/>
        </w:rPr>
        <w:t>3</w:t>
      </w:r>
      <w:r w:rsidR="00735F3B" w:rsidRPr="002232D8">
        <w:rPr>
          <w:sz w:val="22"/>
          <w:szCs w:val="22"/>
          <w:lang w:val="cs-CZ"/>
        </w:rPr>
        <w:t> </w:t>
      </w:r>
      <w:r w:rsidRPr="002232D8">
        <w:rPr>
          <w:sz w:val="22"/>
          <w:szCs w:val="22"/>
          <w:lang w:val="cs-CZ"/>
        </w:rPr>
        <w:t>pacientů každých 5</w:t>
      </w:r>
      <w:r w:rsidR="00735F3B" w:rsidRPr="002232D8">
        <w:rPr>
          <w:sz w:val="22"/>
          <w:szCs w:val="22"/>
          <w:lang w:val="cs-CZ"/>
        </w:rPr>
        <w:t> </w:t>
      </w:r>
      <w:r w:rsidRPr="002232D8">
        <w:rPr>
          <w:sz w:val="22"/>
          <w:szCs w:val="22"/>
          <w:lang w:val="cs-CZ"/>
        </w:rPr>
        <w:t>dní, 2</w:t>
      </w:r>
      <w:r w:rsidR="00FE182C" w:rsidRPr="002232D8">
        <w:rPr>
          <w:sz w:val="22"/>
          <w:szCs w:val="22"/>
          <w:lang w:val="cs-CZ"/>
        </w:rPr>
        <w:t>3</w:t>
      </w:r>
      <w:r w:rsidR="00735F3B" w:rsidRPr="002232D8">
        <w:rPr>
          <w:sz w:val="22"/>
          <w:szCs w:val="22"/>
          <w:lang w:val="cs-CZ"/>
        </w:rPr>
        <w:t> </w:t>
      </w:r>
      <w:r w:rsidRPr="002232D8">
        <w:rPr>
          <w:sz w:val="22"/>
          <w:szCs w:val="22"/>
          <w:lang w:val="cs-CZ"/>
        </w:rPr>
        <w:t>pacientů každých 7</w:t>
      </w:r>
      <w:r w:rsidR="00135B28" w:rsidRPr="002232D8">
        <w:rPr>
          <w:sz w:val="22"/>
          <w:szCs w:val="22"/>
          <w:lang w:val="cs-CZ"/>
        </w:rPr>
        <w:t> </w:t>
      </w:r>
      <w:r w:rsidRPr="002232D8">
        <w:rPr>
          <w:sz w:val="22"/>
          <w:szCs w:val="22"/>
          <w:lang w:val="cs-CZ"/>
        </w:rPr>
        <w:t xml:space="preserve">dní </w:t>
      </w:r>
      <w:r w:rsidR="00FE182C" w:rsidRPr="002232D8">
        <w:rPr>
          <w:sz w:val="22"/>
          <w:szCs w:val="22"/>
          <w:lang w:val="cs-CZ"/>
        </w:rPr>
        <w:t xml:space="preserve">během celkového času v prodloužené studii </w:t>
      </w:r>
      <w:r w:rsidRPr="002232D8">
        <w:rPr>
          <w:sz w:val="22"/>
          <w:szCs w:val="22"/>
          <w:lang w:val="cs-CZ"/>
        </w:rPr>
        <w:t>a</w:t>
      </w:r>
      <w:r w:rsidR="00135B28" w:rsidRPr="002232D8">
        <w:rPr>
          <w:sz w:val="22"/>
          <w:szCs w:val="22"/>
          <w:lang w:val="cs-CZ"/>
        </w:rPr>
        <w:t> </w:t>
      </w:r>
      <w:r w:rsidR="00FE182C" w:rsidRPr="002232D8">
        <w:rPr>
          <w:sz w:val="22"/>
          <w:szCs w:val="22"/>
          <w:lang w:val="cs-CZ"/>
        </w:rPr>
        <w:t>28</w:t>
      </w:r>
      <w:r w:rsidR="00135B28" w:rsidRPr="002232D8">
        <w:rPr>
          <w:sz w:val="22"/>
          <w:szCs w:val="22"/>
          <w:lang w:val="cs-CZ"/>
        </w:rPr>
        <w:t> </w:t>
      </w:r>
      <w:r w:rsidRPr="002232D8">
        <w:rPr>
          <w:sz w:val="22"/>
          <w:szCs w:val="22"/>
          <w:lang w:val="cs-CZ"/>
        </w:rPr>
        <w:t xml:space="preserve">pacientů změnilo režim léčby. </w:t>
      </w:r>
      <w:r w:rsidR="00735F3B" w:rsidRPr="002232D8">
        <w:rPr>
          <w:sz w:val="22"/>
          <w:szCs w:val="22"/>
          <w:lang w:val="cs-CZ"/>
        </w:rPr>
        <w:t>Medián</w:t>
      </w:r>
      <w:r w:rsidRPr="002232D8">
        <w:rPr>
          <w:sz w:val="22"/>
          <w:szCs w:val="22"/>
          <w:lang w:val="cs-CZ"/>
        </w:rPr>
        <w:t xml:space="preserve"> dávk</w:t>
      </w:r>
      <w:r w:rsidR="00735F3B" w:rsidRPr="002232D8">
        <w:rPr>
          <w:sz w:val="22"/>
          <w:szCs w:val="22"/>
          <w:lang w:val="cs-CZ"/>
        </w:rPr>
        <w:t>y</w:t>
      </w:r>
      <w:r w:rsidRPr="002232D8">
        <w:rPr>
          <w:sz w:val="22"/>
          <w:szCs w:val="22"/>
          <w:lang w:val="cs-CZ"/>
        </w:rPr>
        <w:t xml:space="preserve"> pro profylaxi byl 47,</w:t>
      </w:r>
      <w:r w:rsidR="00FE182C" w:rsidRPr="002232D8">
        <w:rPr>
          <w:sz w:val="22"/>
          <w:szCs w:val="22"/>
          <w:lang w:val="cs-CZ"/>
        </w:rPr>
        <w:t>8</w:t>
      </w:r>
      <w:r w:rsidR="00735F3B" w:rsidRPr="002232D8">
        <w:rPr>
          <w:sz w:val="22"/>
          <w:szCs w:val="22"/>
          <w:lang w:val="cs-CZ"/>
        </w:rPr>
        <w:t> </w:t>
      </w:r>
      <w:r w:rsidRPr="002232D8">
        <w:rPr>
          <w:sz w:val="22"/>
          <w:szCs w:val="22"/>
          <w:lang w:val="cs-CZ"/>
        </w:rPr>
        <w:t>IU/kg. Celkov</w:t>
      </w:r>
      <w:r w:rsidR="00735F3B" w:rsidRPr="002232D8">
        <w:rPr>
          <w:sz w:val="22"/>
          <w:szCs w:val="22"/>
          <w:lang w:val="cs-CZ"/>
        </w:rPr>
        <w:t>ý</w:t>
      </w:r>
      <w:r w:rsidRPr="002232D8">
        <w:rPr>
          <w:sz w:val="22"/>
          <w:szCs w:val="22"/>
          <w:lang w:val="cs-CZ"/>
        </w:rPr>
        <w:t xml:space="preserve"> medián (Q1</w:t>
      </w:r>
      <w:r w:rsidR="00735F3B" w:rsidRPr="002232D8">
        <w:rPr>
          <w:sz w:val="22"/>
          <w:szCs w:val="22"/>
          <w:lang w:val="cs-CZ"/>
        </w:rPr>
        <w:t>;</w:t>
      </w:r>
      <w:r w:rsidRPr="002232D8">
        <w:rPr>
          <w:sz w:val="22"/>
          <w:szCs w:val="22"/>
          <w:lang w:val="cs-CZ"/>
        </w:rPr>
        <w:t xml:space="preserve"> Q3) </w:t>
      </w:r>
      <w:r w:rsidR="00735F3B" w:rsidRPr="002232D8">
        <w:rPr>
          <w:sz w:val="22"/>
          <w:szCs w:val="22"/>
          <w:lang w:val="cs-CZ"/>
        </w:rPr>
        <w:t>celkové</w:t>
      </w:r>
      <w:r w:rsidRPr="002232D8">
        <w:rPr>
          <w:sz w:val="22"/>
          <w:szCs w:val="22"/>
          <w:lang w:val="cs-CZ"/>
        </w:rPr>
        <w:t xml:space="preserve"> ABR byl 1,</w:t>
      </w:r>
      <w:r w:rsidR="00FE182C" w:rsidRPr="002232D8">
        <w:rPr>
          <w:sz w:val="22"/>
          <w:szCs w:val="22"/>
          <w:lang w:val="cs-CZ"/>
        </w:rPr>
        <w:t>49</w:t>
      </w:r>
      <w:r w:rsidRPr="002232D8">
        <w:rPr>
          <w:sz w:val="22"/>
          <w:szCs w:val="22"/>
          <w:lang w:val="cs-CZ"/>
        </w:rPr>
        <w:t xml:space="preserve"> (0,</w:t>
      </w:r>
      <w:r w:rsidR="00FE182C" w:rsidRPr="002232D8">
        <w:rPr>
          <w:sz w:val="22"/>
          <w:szCs w:val="22"/>
          <w:lang w:val="cs-CZ"/>
        </w:rPr>
        <w:t>4</w:t>
      </w:r>
      <w:r w:rsidRPr="002232D8">
        <w:rPr>
          <w:sz w:val="22"/>
          <w:szCs w:val="22"/>
          <w:lang w:val="cs-CZ"/>
        </w:rPr>
        <w:t>; 4,</w:t>
      </w:r>
      <w:r w:rsidR="00FE182C" w:rsidRPr="002232D8">
        <w:rPr>
          <w:sz w:val="22"/>
          <w:szCs w:val="22"/>
          <w:lang w:val="cs-CZ"/>
        </w:rPr>
        <w:t>8</w:t>
      </w:r>
      <w:r w:rsidRPr="002232D8">
        <w:rPr>
          <w:sz w:val="22"/>
          <w:szCs w:val="22"/>
          <w:lang w:val="cs-CZ"/>
        </w:rPr>
        <w:t>) a</w:t>
      </w:r>
      <w:r w:rsidR="00135B28" w:rsidRPr="002232D8">
        <w:rPr>
          <w:sz w:val="22"/>
          <w:szCs w:val="22"/>
          <w:lang w:val="cs-CZ"/>
        </w:rPr>
        <w:t> </w:t>
      </w:r>
      <w:r w:rsidRPr="002232D8">
        <w:rPr>
          <w:sz w:val="22"/>
          <w:szCs w:val="22"/>
          <w:lang w:val="cs-CZ"/>
        </w:rPr>
        <w:t>0,</w:t>
      </w:r>
      <w:r w:rsidR="00FE182C" w:rsidRPr="002232D8">
        <w:rPr>
          <w:sz w:val="22"/>
          <w:szCs w:val="22"/>
          <w:lang w:val="cs-CZ"/>
        </w:rPr>
        <w:t>75</w:t>
      </w:r>
      <w:r w:rsidRPr="002232D8">
        <w:rPr>
          <w:sz w:val="22"/>
          <w:szCs w:val="22"/>
          <w:lang w:val="cs-CZ"/>
        </w:rPr>
        <w:t xml:space="preserve"> (0,0</w:t>
      </w:r>
      <w:r w:rsidR="00735F3B" w:rsidRPr="002232D8">
        <w:rPr>
          <w:sz w:val="22"/>
          <w:szCs w:val="22"/>
          <w:lang w:val="cs-CZ"/>
        </w:rPr>
        <w:t>;</w:t>
      </w:r>
      <w:r w:rsidRPr="002232D8">
        <w:rPr>
          <w:sz w:val="22"/>
          <w:szCs w:val="22"/>
          <w:lang w:val="cs-CZ"/>
        </w:rPr>
        <w:t xml:space="preserve"> </w:t>
      </w:r>
      <w:r w:rsidR="00FE182C" w:rsidRPr="002232D8">
        <w:rPr>
          <w:sz w:val="22"/>
          <w:szCs w:val="22"/>
          <w:lang w:val="cs-CZ"/>
        </w:rPr>
        <w:t>2,9</w:t>
      </w:r>
      <w:r w:rsidRPr="002232D8">
        <w:rPr>
          <w:sz w:val="22"/>
          <w:szCs w:val="22"/>
          <w:lang w:val="cs-CZ"/>
        </w:rPr>
        <w:t>) u</w:t>
      </w:r>
      <w:r w:rsidR="00135B28" w:rsidRPr="002232D8">
        <w:rPr>
          <w:sz w:val="22"/>
          <w:szCs w:val="22"/>
          <w:lang w:val="cs-CZ"/>
        </w:rPr>
        <w:t> </w:t>
      </w:r>
      <w:r w:rsidRPr="002232D8">
        <w:rPr>
          <w:sz w:val="22"/>
          <w:szCs w:val="22"/>
          <w:lang w:val="cs-CZ"/>
        </w:rPr>
        <w:t>spontánních krvácení v</w:t>
      </w:r>
      <w:r w:rsidR="00735F3B" w:rsidRPr="002232D8">
        <w:rPr>
          <w:sz w:val="22"/>
          <w:szCs w:val="22"/>
          <w:lang w:val="cs-CZ"/>
        </w:rPr>
        <w:t>e skupině s</w:t>
      </w:r>
      <w:r w:rsidR="00135B28" w:rsidRPr="002232D8">
        <w:rPr>
          <w:sz w:val="22"/>
          <w:szCs w:val="22"/>
          <w:lang w:val="cs-CZ"/>
        </w:rPr>
        <w:t> </w:t>
      </w:r>
      <w:r w:rsidRPr="002232D8">
        <w:rPr>
          <w:sz w:val="22"/>
          <w:szCs w:val="22"/>
          <w:lang w:val="cs-CZ"/>
        </w:rPr>
        <w:t>kombinovan</w:t>
      </w:r>
      <w:r w:rsidR="00735F3B" w:rsidRPr="002232D8">
        <w:rPr>
          <w:sz w:val="22"/>
          <w:szCs w:val="22"/>
          <w:lang w:val="cs-CZ"/>
        </w:rPr>
        <w:t>ou</w:t>
      </w:r>
      <w:r w:rsidRPr="002232D8">
        <w:rPr>
          <w:sz w:val="22"/>
          <w:szCs w:val="22"/>
          <w:lang w:val="cs-CZ"/>
        </w:rPr>
        <w:t xml:space="preserve"> profylax</w:t>
      </w:r>
      <w:r w:rsidR="00735F3B" w:rsidRPr="002232D8">
        <w:rPr>
          <w:sz w:val="22"/>
          <w:szCs w:val="22"/>
          <w:lang w:val="cs-CZ"/>
        </w:rPr>
        <w:t>í</w:t>
      </w:r>
      <w:r w:rsidRPr="002232D8">
        <w:rPr>
          <w:sz w:val="22"/>
          <w:szCs w:val="22"/>
          <w:lang w:val="cs-CZ"/>
        </w:rPr>
        <w:t xml:space="preserve"> a</w:t>
      </w:r>
      <w:r w:rsidR="00135B28" w:rsidRPr="002232D8">
        <w:rPr>
          <w:sz w:val="22"/>
          <w:szCs w:val="22"/>
          <w:lang w:val="cs-CZ"/>
        </w:rPr>
        <w:t> </w:t>
      </w:r>
      <w:r w:rsidRPr="002232D8">
        <w:rPr>
          <w:sz w:val="22"/>
          <w:szCs w:val="22"/>
          <w:lang w:val="cs-CZ"/>
        </w:rPr>
        <w:t xml:space="preserve">celková ABR byla </w:t>
      </w:r>
      <w:r w:rsidR="00FE182C" w:rsidRPr="002232D8">
        <w:rPr>
          <w:sz w:val="22"/>
          <w:szCs w:val="22"/>
          <w:lang w:val="cs-CZ"/>
        </w:rPr>
        <w:t>34,1</w:t>
      </w:r>
      <w:r w:rsidR="00735F3B" w:rsidRPr="002232D8">
        <w:rPr>
          <w:sz w:val="22"/>
          <w:szCs w:val="22"/>
          <w:lang w:val="cs-CZ"/>
        </w:rPr>
        <w:t> </w:t>
      </w:r>
      <w:r w:rsidRPr="002232D8">
        <w:rPr>
          <w:sz w:val="22"/>
          <w:szCs w:val="22"/>
          <w:lang w:val="cs-CZ"/>
        </w:rPr>
        <w:t>v</w:t>
      </w:r>
      <w:r w:rsidR="00735F3B" w:rsidRPr="002232D8">
        <w:rPr>
          <w:sz w:val="22"/>
          <w:szCs w:val="22"/>
          <w:lang w:val="cs-CZ"/>
        </w:rPr>
        <w:t>e</w:t>
      </w:r>
      <w:r w:rsidRPr="002232D8">
        <w:rPr>
          <w:sz w:val="22"/>
          <w:szCs w:val="22"/>
          <w:lang w:val="cs-CZ"/>
        </w:rPr>
        <w:t xml:space="preserve"> skupině </w:t>
      </w:r>
      <w:r w:rsidR="00735F3B" w:rsidRPr="002232D8">
        <w:rPr>
          <w:sz w:val="22"/>
          <w:szCs w:val="22"/>
          <w:lang w:val="cs-CZ"/>
        </w:rPr>
        <w:t>s léčbou podle potřeby</w:t>
      </w:r>
      <w:r w:rsidRPr="002232D8">
        <w:rPr>
          <w:sz w:val="22"/>
          <w:szCs w:val="22"/>
          <w:lang w:val="cs-CZ"/>
        </w:rPr>
        <w:t>.</w:t>
      </w:r>
    </w:p>
    <w:p w14:paraId="2C892DF4" w14:textId="77777777" w:rsidR="00AB4CBC" w:rsidRPr="0028273C" w:rsidRDefault="00AB4CBC" w:rsidP="00735457">
      <w:pPr>
        <w:pStyle w:val="BayerBodyTextFull"/>
        <w:widowControl w:val="0"/>
        <w:spacing w:before="0" w:after="0"/>
        <w:rPr>
          <w:sz w:val="22"/>
          <w:szCs w:val="22"/>
          <w:lang w:val="cs-CZ"/>
        </w:rPr>
      </w:pPr>
      <w:r w:rsidRPr="002232D8">
        <w:rPr>
          <w:sz w:val="22"/>
          <w:szCs w:val="22"/>
          <w:lang w:val="cs-CZ"/>
        </w:rPr>
        <w:t xml:space="preserve">Je třeba poznamenat, že ABR </w:t>
      </w:r>
      <w:r w:rsidR="00735F3B" w:rsidRPr="002232D8">
        <w:rPr>
          <w:sz w:val="22"/>
          <w:szCs w:val="22"/>
          <w:lang w:val="cs-CZ"/>
        </w:rPr>
        <w:t>není</w:t>
      </w:r>
      <w:r w:rsidRPr="002232D8">
        <w:rPr>
          <w:sz w:val="22"/>
          <w:szCs w:val="22"/>
          <w:lang w:val="cs-CZ"/>
        </w:rPr>
        <w:t xml:space="preserve"> srovnateln</w:t>
      </w:r>
      <w:r w:rsidR="00735F3B" w:rsidRPr="002232D8">
        <w:rPr>
          <w:sz w:val="22"/>
          <w:szCs w:val="22"/>
          <w:lang w:val="cs-CZ"/>
        </w:rPr>
        <w:t>á</w:t>
      </w:r>
      <w:r w:rsidRPr="002232D8">
        <w:rPr>
          <w:sz w:val="22"/>
          <w:szCs w:val="22"/>
          <w:lang w:val="cs-CZ"/>
        </w:rPr>
        <w:t xml:space="preserve"> </w:t>
      </w:r>
      <w:r w:rsidR="00B8438E" w:rsidRPr="002232D8">
        <w:rPr>
          <w:sz w:val="22"/>
          <w:szCs w:val="22"/>
          <w:lang w:val="cs-CZ"/>
        </w:rPr>
        <w:t>mezi</w:t>
      </w:r>
      <w:r w:rsidR="007E19A0" w:rsidRPr="002232D8">
        <w:rPr>
          <w:sz w:val="22"/>
          <w:szCs w:val="22"/>
          <w:lang w:val="cs-CZ"/>
        </w:rPr>
        <w:t> </w:t>
      </w:r>
      <w:r w:rsidRPr="002232D8">
        <w:rPr>
          <w:sz w:val="22"/>
          <w:szCs w:val="22"/>
          <w:lang w:val="cs-CZ"/>
        </w:rPr>
        <w:t>různý</w:t>
      </w:r>
      <w:r w:rsidR="00B8438E" w:rsidRPr="002232D8">
        <w:rPr>
          <w:sz w:val="22"/>
          <w:szCs w:val="22"/>
          <w:lang w:val="cs-CZ"/>
        </w:rPr>
        <w:t>mi</w:t>
      </w:r>
      <w:r w:rsidRPr="002232D8">
        <w:rPr>
          <w:sz w:val="22"/>
          <w:szCs w:val="22"/>
          <w:lang w:val="cs-CZ"/>
        </w:rPr>
        <w:t xml:space="preserve"> koncentr</w:t>
      </w:r>
      <w:r w:rsidR="00B8438E" w:rsidRPr="002232D8">
        <w:rPr>
          <w:sz w:val="22"/>
          <w:szCs w:val="22"/>
          <w:lang w:val="cs-CZ"/>
        </w:rPr>
        <w:t>áty</w:t>
      </w:r>
      <w:r w:rsidRPr="002232D8">
        <w:rPr>
          <w:sz w:val="22"/>
          <w:szCs w:val="22"/>
          <w:lang w:val="cs-CZ"/>
        </w:rPr>
        <w:t xml:space="preserve"> faktor</w:t>
      </w:r>
      <w:r w:rsidR="00B8438E" w:rsidRPr="002232D8">
        <w:rPr>
          <w:sz w:val="22"/>
          <w:szCs w:val="22"/>
          <w:lang w:val="cs-CZ"/>
        </w:rPr>
        <w:t>u</w:t>
      </w:r>
      <w:r w:rsidRPr="002232D8">
        <w:rPr>
          <w:sz w:val="22"/>
          <w:szCs w:val="22"/>
          <w:lang w:val="cs-CZ"/>
        </w:rPr>
        <w:t xml:space="preserve"> a</w:t>
      </w:r>
      <w:r w:rsidR="00135B28" w:rsidRPr="002232D8">
        <w:rPr>
          <w:sz w:val="22"/>
          <w:szCs w:val="22"/>
          <w:lang w:val="cs-CZ"/>
        </w:rPr>
        <w:t> </w:t>
      </w:r>
      <w:r w:rsidR="00B8438E" w:rsidRPr="002232D8">
        <w:rPr>
          <w:sz w:val="22"/>
          <w:szCs w:val="22"/>
          <w:lang w:val="cs-CZ"/>
        </w:rPr>
        <w:t xml:space="preserve">mezi </w:t>
      </w:r>
      <w:r w:rsidRPr="002232D8">
        <w:rPr>
          <w:sz w:val="22"/>
          <w:szCs w:val="22"/>
          <w:lang w:val="cs-CZ"/>
        </w:rPr>
        <w:t>různý</w:t>
      </w:r>
      <w:r w:rsidR="00B8438E" w:rsidRPr="002232D8">
        <w:rPr>
          <w:sz w:val="22"/>
          <w:szCs w:val="22"/>
          <w:lang w:val="cs-CZ"/>
        </w:rPr>
        <w:t>mi</w:t>
      </w:r>
      <w:r w:rsidRPr="002232D8">
        <w:rPr>
          <w:sz w:val="22"/>
          <w:szCs w:val="22"/>
          <w:lang w:val="cs-CZ"/>
        </w:rPr>
        <w:t xml:space="preserve"> klinický</w:t>
      </w:r>
      <w:r w:rsidR="00B8438E" w:rsidRPr="002232D8">
        <w:rPr>
          <w:sz w:val="22"/>
          <w:szCs w:val="22"/>
          <w:lang w:val="cs-CZ"/>
        </w:rPr>
        <w:t>mi</w:t>
      </w:r>
      <w:r w:rsidRPr="002232D8">
        <w:rPr>
          <w:sz w:val="22"/>
          <w:szCs w:val="22"/>
          <w:lang w:val="cs-CZ"/>
        </w:rPr>
        <w:t xml:space="preserve"> studi</w:t>
      </w:r>
      <w:r w:rsidR="00B8438E" w:rsidRPr="002232D8">
        <w:rPr>
          <w:sz w:val="22"/>
          <w:szCs w:val="22"/>
          <w:lang w:val="cs-CZ"/>
        </w:rPr>
        <w:t>emi</w:t>
      </w:r>
      <w:r w:rsidRPr="002232D8">
        <w:rPr>
          <w:sz w:val="22"/>
          <w:szCs w:val="22"/>
          <w:lang w:val="cs-CZ"/>
        </w:rPr>
        <w:t>.</w:t>
      </w:r>
    </w:p>
    <w:p w14:paraId="25B4BA0A" w14:textId="77777777" w:rsidR="008E25ED" w:rsidRPr="0028273C" w:rsidRDefault="008E25ED" w:rsidP="00735457">
      <w:pPr>
        <w:pStyle w:val="BayerBodyTextFull"/>
        <w:widowControl w:val="0"/>
        <w:spacing w:before="0" w:after="0"/>
        <w:rPr>
          <w:i/>
          <w:sz w:val="22"/>
          <w:szCs w:val="22"/>
          <w:lang w:val="cs-CZ"/>
        </w:rPr>
      </w:pPr>
    </w:p>
    <w:p w14:paraId="2151E7A7" w14:textId="77777777" w:rsidR="00034626" w:rsidRPr="0028273C" w:rsidRDefault="00424D46" w:rsidP="00735457">
      <w:pPr>
        <w:pStyle w:val="BayerBodyTextFull"/>
        <w:keepNext/>
        <w:keepLines/>
        <w:spacing w:before="0" w:after="0"/>
        <w:rPr>
          <w:i/>
          <w:sz w:val="22"/>
          <w:szCs w:val="22"/>
          <w:highlight w:val="green"/>
          <w:lang w:val="cs-CZ"/>
        </w:rPr>
      </w:pPr>
      <w:r w:rsidRPr="0028273C">
        <w:rPr>
          <w:i/>
          <w:iCs/>
          <w:sz w:val="22"/>
          <w:szCs w:val="22"/>
          <w:bdr w:val="nil"/>
          <w:lang w:val="cs-CZ"/>
        </w:rPr>
        <w:t>Léčba krvácení</w:t>
      </w:r>
    </w:p>
    <w:p w14:paraId="5E30B939" w14:textId="77777777" w:rsidR="00FF2E1A" w:rsidRPr="0028273C" w:rsidRDefault="00FF2E1A" w:rsidP="00735457">
      <w:pPr>
        <w:pStyle w:val="BayerBodyTextFull"/>
        <w:keepNext/>
        <w:spacing w:before="0" w:after="0"/>
        <w:rPr>
          <w:sz w:val="22"/>
          <w:szCs w:val="22"/>
          <w:highlight w:val="green"/>
          <w:lang w:val="cs-CZ"/>
        </w:rPr>
      </w:pPr>
    </w:p>
    <w:p w14:paraId="0E3EAB75" w14:textId="732B7289" w:rsidR="00BB52A5" w:rsidRPr="0028273C" w:rsidRDefault="00BB52A5" w:rsidP="00735457">
      <w:pPr>
        <w:pStyle w:val="BayerBodyTextFull"/>
        <w:widowControl w:val="0"/>
        <w:spacing w:before="0" w:after="0"/>
        <w:rPr>
          <w:sz w:val="22"/>
          <w:szCs w:val="22"/>
          <w:lang w:val="cs-CZ"/>
        </w:rPr>
      </w:pPr>
      <w:r w:rsidRPr="0028273C">
        <w:rPr>
          <w:sz w:val="22"/>
          <w:szCs w:val="22"/>
          <w:lang w:val="cs-CZ"/>
        </w:rPr>
        <w:t>Ze 702</w:t>
      </w:r>
      <w:r w:rsidR="00F01E4A" w:rsidRPr="0028273C">
        <w:rPr>
          <w:sz w:val="22"/>
          <w:szCs w:val="22"/>
          <w:lang w:val="cs-CZ"/>
        </w:rPr>
        <w:t> </w:t>
      </w:r>
      <w:r w:rsidRPr="0028273C">
        <w:rPr>
          <w:sz w:val="22"/>
          <w:szCs w:val="22"/>
          <w:lang w:val="cs-CZ"/>
        </w:rPr>
        <w:t xml:space="preserve">příhod krvácení léčených přípravkem </w:t>
      </w:r>
      <w:proofErr w:type="spellStart"/>
      <w:r w:rsidRPr="0028273C">
        <w:rPr>
          <w:sz w:val="22"/>
          <w:szCs w:val="22"/>
          <w:lang w:val="cs-CZ"/>
        </w:rPr>
        <w:t>Jivi</w:t>
      </w:r>
      <w:proofErr w:type="spellEnd"/>
      <w:r w:rsidRPr="0028273C">
        <w:rPr>
          <w:sz w:val="22"/>
          <w:szCs w:val="22"/>
          <w:lang w:val="cs-CZ"/>
        </w:rPr>
        <w:t xml:space="preserve"> během hlavní </w:t>
      </w:r>
      <w:r w:rsidR="001D4034">
        <w:rPr>
          <w:sz w:val="22"/>
          <w:szCs w:val="22"/>
          <w:lang w:val="cs-CZ"/>
        </w:rPr>
        <w:t>část</w:t>
      </w:r>
      <w:r w:rsidR="005D329A">
        <w:rPr>
          <w:sz w:val="22"/>
          <w:szCs w:val="22"/>
          <w:lang w:val="cs-CZ"/>
        </w:rPr>
        <w:t>i</w:t>
      </w:r>
      <w:r w:rsidR="001D4034">
        <w:rPr>
          <w:sz w:val="22"/>
          <w:szCs w:val="22"/>
          <w:lang w:val="cs-CZ"/>
        </w:rPr>
        <w:t xml:space="preserve"> </w:t>
      </w:r>
      <w:r w:rsidRPr="0028273C">
        <w:rPr>
          <w:sz w:val="22"/>
          <w:szCs w:val="22"/>
          <w:lang w:val="cs-CZ"/>
        </w:rPr>
        <w:t>studie bylo 636 (90,6 %) léčeno 1 nebo 2 injekcemi, z</w:t>
      </w:r>
      <w:r w:rsidR="00F01E4A" w:rsidRPr="0028273C">
        <w:rPr>
          <w:sz w:val="22"/>
          <w:szCs w:val="22"/>
          <w:lang w:val="cs-CZ"/>
        </w:rPr>
        <w:t> </w:t>
      </w:r>
      <w:r w:rsidRPr="0028273C">
        <w:rPr>
          <w:sz w:val="22"/>
          <w:szCs w:val="22"/>
          <w:lang w:val="cs-CZ"/>
        </w:rPr>
        <w:t>toho 81,1 % pomocí 1</w:t>
      </w:r>
      <w:r w:rsidR="00F01E4A" w:rsidRPr="0028273C">
        <w:rPr>
          <w:sz w:val="22"/>
          <w:szCs w:val="22"/>
          <w:lang w:val="cs-CZ"/>
        </w:rPr>
        <w:t> </w:t>
      </w:r>
      <w:r w:rsidRPr="0028273C">
        <w:rPr>
          <w:sz w:val="22"/>
          <w:szCs w:val="22"/>
          <w:lang w:val="cs-CZ"/>
        </w:rPr>
        <w:t>injekce. Medián (rozmezí) dávky na injekci byl 31,7 (14; 62)</w:t>
      </w:r>
      <w:r w:rsidR="009513AA" w:rsidRPr="0028273C">
        <w:rPr>
          <w:sz w:val="22"/>
          <w:szCs w:val="22"/>
          <w:lang w:val="cs-CZ"/>
        </w:rPr>
        <w:t> IU/kg</w:t>
      </w:r>
      <w:r w:rsidRPr="0028273C">
        <w:rPr>
          <w:sz w:val="22"/>
          <w:szCs w:val="22"/>
          <w:lang w:val="cs-CZ"/>
        </w:rPr>
        <w:t xml:space="preserve">. Během prodloužení bylo </w:t>
      </w:r>
      <w:r w:rsidR="002232D8">
        <w:rPr>
          <w:sz w:val="22"/>
          <w:szCs w:val="22"/>
          <w:lang w:val="cs-CZ"/>
        </w:rPr>
        <w:t>1</w:t>
      </w:r>
      <w:r w:rsidR="001B2A65" w:rsidRPr="0028273C">
        <w:rPr>
          <w:sz w:val="22"/>
          <w:szCs w:val="22"/>
          <w:lang w:val="cs-CZ"/>
        </w:rPr>
        <w:t> </w:t>
      </w:r>
      <w:r w:rsidR="002232D8">
        <w:rPr>
          <w:sz w:val="22"/>
          <w:szCs w:val="22"/>
          <w:lang w:val="cs-CZ"/>
        </w:rPr>
        <w:t xml:space="preserve">902 </w:t>
      </w:r>
      <w:r w:rsidRPr="0028273C">
        <w:rPr>
          <w:sz w:val="22"/>
          <w:szCs w:val="22"/>
          <w:lang w:val="cs-CZ"/>
        </w:rPr>
        <w:t xml:space="preserve">krvácení léčeno přípravkem </w:t>
      </w:r>
      <w:proofErr w:type="spellStart"/>
      <w:r w:rsidRPr="0028273C">
        <w:rPr>
          <w:sz w:val="22"/>
          <w:szCs w:val="22"/>
          <w:lang w:val="cs-CZ"/>
        </w:rPr>
        <w:t>Jivi</w:t>
      </w:r>
      <w:proofErr w:type="spellEnd"/>
      <w:r w:rsidRPr="0028273C">
        <w:rPr>
          <w:sz w:val="22"/>
          <w:szCs w:val="22"/>
          <w:lang w:val="cs-CZ"/>
        </w:rPr>
        <w:t xml:space="preserve"> a</w:t>
      </w:r>
      <w:r w:rsidR="00F01E4A" w:rsidRPr="0028273C">
        <w:rPr>
          <w:sz w:val="22"/>
          <w:szCs w:val="22"/>
          <w:lang w:val="cs-CZ"/>
        </w:rPr>
        <w:t> </w:t>
      </w:r>
      <w:r w:rsidRPr="0028273C">
        <w:rPr>
          <w:sz w:val="22"/>
          <w:szCs w:val="22"/>
          <w:lang w:val="cs-CZ"/>
        </w:rPr>
        <w:t>9</w:t>
      </w:r>
      <w:r w:rsidR="002232D8">
        <w:rPr>
          <w:sz w:val="22"/>
          <w:szCs w:val="22"/>
          <w:lang w:val="cs-CZ"/>
        </w:rPr>
        <w:t>4</w:t>
      </w:r>
      <w:r w:rsidR="00D63769">
        <w:rPr>
          <w:sz w:val="22"/>
          <w:szCs w:val="22"/>
          <w:lang w:val="cs-CZ"/>
        </w:rPr>
        <w:t>,0</w:t>
      </w:r>
      <w:r w:rsidRPr="0028273C">
        <w:rPr>
          <w:sz w:val="22"/>
          <w:szCs w:val="22"/>
          <w:lang w:val="cs-CZ"/>
        </w:rPr>
        <w:t> % bylo kontrolováno pomocí 1 nebo 2</w:t>
      </w:r>
      <w:r w:rsidR="00F01E4A" w:rsidRPr="0028273C">
        <w:rPr>
          <w:sz w:val="22"/>
          <w:szCs w:val="22"/>
          <w:lang w:val="cs-CZ"/>
        </w:rPr>
        <w:t> </w:t>
      </w:r>
      <w:r w:rsidRPr="0028273C">
        <w:rPr>
          <w:sz w:val="22"/>
          <w:szCs w:val="22"/>
          <w:lang w:val="cs-CZ"/>
        </w:rPr>
        <w:t>injekcí, z</w:t>
      </w:r>
      <w:r w:rsidR="00F01E4A" w:rsidRPr="0028273C">
        <w:rPr>
          <w:sz w:val="22"/>
          <w:szCs w:val="22"/>
          <w:lang w:val="cs-CZ"/>
        </w:rPr>
        <w:t> </w:t>
      </w:r>
      <w:r w:rsidRPr="0028273C">
        <w:rPr>
          <w:sz w:val="22"/>
          <w:szCs w:val="22"/>
          <w:lang w:val="cs-CZ"/>
        </w:rPr>
        <w:t>toho 8</w:t>
      </w:r>
      <w:r w:rsidR="002232D8">
        <w:rPr>
          <w:sz w:val="22"/>
          <w:szCs w:val="22"/>
          <w:lang w:val="cs-CZ"/>
        </w:rPr>
        <w:t>4,9</w:t>
      </w:r>
      <w:r w:rsidRPr="0028273C">
        <w:rPr>
          <w:sz w:val="22"/>
          <w:szCs w:val="22"/>
          <w:lang w:val="cs-CZ"/>
        </w:rPr>
        <w:t> % pomocí 1</w:t>
      </w:r>
      <w:r w:rsidR="00F01E4A" w:rsidRPr="0028273C">
        <w:rPr>
          <w:sz w:val="22"/>
          <w:szCs w:val="22"/>
          <w:lang w:val="cs-CZ"/>
        </w:rPr>
        <w:t> </w:t>
      </w:r>
      <w:r w:rsidRPr="0028273C">
        <w:rPr>
          <w:sz w:val="22"/>
          <w:szCs w:val="22"/>
          <w:lang w:val="cs-CZ"/>
        </w:rPr>
        <w:t>injekce. Medián (rozmezí) dávky byl 37,</w:t>
      </w:r>
      <w:r w:rsidR="002232D8">
        <w:rPr>
          <w:sz w:val="22"/>
          <w:szCs w:val="22"/>
          <w:lang w:val="cs-CZ"/>
        </w:rPr>
        <w:t>9 (15; 64)</w:t>
      </w:r>
      <w:r w:rsidRPr="0028273C">
        <w:rPr>
          <w:sz w:val="22"/>
          <w:szCs w:val="22"/>
          <w:lang w:val="cs-CZ"/>
        </w:rPr>
        <w:t xml:space="preserve"> IU/kg/injekci.</w:t>
      </w:r>
    </w:p>
    <w:p w14:paraId="154462A0" w14:textId="77777777" w:rsidR="00BB52A5" w:rsidRPr="0028273C" w:rsidRDefault="00BB52A5" w:rsidP="00735457">
      <w:pPr>
        <w:pStyle w:val="BayerBodyTextFull"/>
        <w:widowControl w:val="0"/>
        <w:spacing w:before="0" w:after="0"/>
        <w:rPr>
          <w:sz w:val="22"/>
          <w:szCs w:val="22"/>
          <w:highlight w:val="green"/>
          <w:lang w:val="cs-CZ"/>
        </w:rPr>
      </w:pPr>
    </w:p>
    <w:p w14:paraId="7B8853A9" w14:textId="77777777" w:rsidR="00BB52A5" w:rsidRPr="0028273C" w:rsidRDefault="00BB52A5" w:rsidP="00735457">
      <w:pPr>
        <w:pStyle w:val="BayerBodyTextFull"/>
        <w:keepNext/>
        <w:spacing w:before="0" w:after="0"/>
        <w:rPr>
          <w:i/>
          <w:sz w:val="22"/>
          <w:szCs w:val="22"/>
          <w:lang w:val="cs-CZ"/>
        </w:rPr>
      </w:pPr>
      <w:r w:rsidRPr="0028273C">
        <w:rPr>
          <w:i/>
          <w:sz w:val="22"/>
          <w:szCs w:val="22"/>
          <w:lang w:val="cs-CZ"/>
        </w:rPr>
        <w:t>Perioperační léčba</w:t>
      </w:r>
    </w:p>
    <w:p w14:paraId="37FE7BCC" w14:textId="77777777" w:rsidR="00BB52A5" w:rsidRPr="0028273C" w:rsidRDefault="00BB52A5" w:rsidP="00735457">
      <w:pPr>
        <w:pStyle w:val="BayerBodyTextFull"/>
        <w:keepNext/>
        <w:spacing w:before="0" w:after="0"/>
        <w:rPr>
          <w:i/>
          <w:sz w:val="22"/>
          <w:szCs w:val="22"/>
          <w:lang w:val="cs-CZ"/>
        </w:rPr>
      </w:pPr>
    </w:p>
    <w:p w14:paraId="38E00F43" w14:textId="544E122B" w:rsidR="00BB52A5" w:rsidRPr="0028273C" w:rsidRDefault="00BB52A5" w:rsidP="00735457">
      <w:pPr>
        <w:pStyle w:val="BayerBodyTextFull"/>
        <w:widowControl w:val="0"/>
        <w:spacing w:before="0" w:after="0"/>
        <w:rPr>
          <w:sz w:val="22"/>
          <w:szCs w:val="22"/>
          <w:lang w:val="cs-CZ"/>
        </w:rPr>
      </w:pPr>
      <w:r w:rsidRPr="0028273C">
        <w:rPr>
          <w:sz w:val="22"/>
          <w:szCs w:val="22"/>
          <w:lang w:val="cs-CZ"/>
        </w:rPr>
        <w:t>Celkem bylo provedeno a</w:t>
      </w:r>
      <w:r w:rsidR="00F01E4A" w:rsidRPr="0028273C">
        <w:rPr>
          <w:sz w:val="22"/>
          <w:szCs w:val="22"/>
          <w:lang w:val="cs-CZ"/>
        </w:rPr>
        <w:t> </w:t>
      </w:r>
      <w:r w:rsidRPr="0028273C">
        <w:rPr>
          <w:sz w:val="22"/>
          <w:szCs w:val="22"/>
          <w:lang w:val="cs-CZ"/>
        </w:rPr>
        <w:t xml:space="preserve">vyhodnoceno 20 velkých chirurgických </w:t>
      </w:r>
      <w:r w:rsidR="00E54ADF">
        <w:rPr>
          <w:sz w:val="22"/>
          <w:szCs w:val="22"/>
          <w:lang w:val="cs-CZ"/>
        </w:rPr>
        <w:t>výkonů</w:t>
      </w:r>
      <w:r w:rsidR="006D2BE2">
        <w:rPr>
          <w:sz w:val="22"/>
          <w:szCs w:val="22"/>
          <w:lang w:val="cs-CZ"/>
        </w:rPr>
        <w:t xml:space="preserve"> </w:t>
      </w:r>
      <w:r w:rsidRPr="0028273C">
        <w:rPr>
          <w:sz w:val="22"/>
          <w:szCs w:val="22"/>
          <w:lang w:val="cs-CZ"/>
        </w:rPr>
        <w:t>u</w:t>
      </w:r>
      <w:r w:rsidR="00F01E4A" w:rsidRPr="0028273C">
        <w:rPr>
          <w:sz w:val="22"/>
          <w:szCs w:val="22"/>
          <w:lang w:val="cs-CZ"/>
        </w:rPr>
        <w:t> </w:t>
      </w:r>
      <w:r w:rsidRPr="0028273C">
        <w:rPr>
          <w:sz w:val="22"/>
          <w:szCs w:val="22"/>
          <w:lang w:val="cs-CZ"/>
        </w:rPr>
        <w:t xml:space="preserve">17 pacientů. Medián celkové dávky pro velké chirurgické </w:t>
      </w:r>
      <w:r w:rsidR="002D11DE">
        <w:rPr>
          <w:sz w:val="22"/>
          <w:szCs w:val="22"/>
          <w:lang w:val="cs-CZ"/>
        </w:rPr>
        <w:t>výkony</w:t>
      </w:r>
      <w:r w:rsidR="006D2BE2">
        <w:rPr>
          <w:sz w:val="22"/>
          <w:szCs w:val="22"/>
          <w:lang w:val="cs-CZ"/>
        </w:rPr>
        <w:t xml:space="preserve"> </w:t>
      </w:r>
      <w:r w:rsidRPr="0028273C">
        <w:rPr>
          <w:sz w:val="22"/>
          <w:szCs w:val="22"/>
          <w:lang w:val="cs-CZ"/>
        </w:rPr>
        <w:t>byl 219 IU/kg (rozmezí: 50–1</w:t>
      </w:r>
      <w:r w:rsidR="001B2A65" w:rsidRPr="0028273C">
        <w:rPr>
          <w:sz w:val="22"/>
          <w:szCs w:val="22"/>
          <w:lang w:val="cs-CZ"/>
        </w:rPr>
        <w:t> </w:t>
      </w:r>
      <w:r w:rsidRPr="0028273C">
        <w:rPr>
          <w:sz w:val="22"/>
          <w:szCs w:val="22"/>
          <w:lang w:val="cs-CZ"/>
        </w:rPr>
        <w:t>500 IU/kg, včetně pooperačního období až 3</w:t>
      </w:r>
      <w:r w:rsidR="00F01E4A" w:rsidRPr="0028273C">
        <w:rPr>
          <w:sz w:val="22"/>
          <w:szCs w:val="22"/>
          <w:lang w:val="cs-CZ"/>
        </w:rPr>
        <w:t> </w:t>
      </w:r>
      <w:r w:rsidRPr="0028273C">
        <w:rPr>
          <w:sz w:val="22"/>
          <w:szCs w:val="22"/>
          <w:lang w:val="cs-CZ"/>
        </w:rPr>
        <w:t>týdny). Perioperační hemostatická účinnost byla hodnocena jako dobrá nebo vynikající při všech velkých chirurgických</w:t>
      </w:r>
      <w:r w:rsidR="002D11DE">
        <w:rPr>
          <w:sz w:val="22"/>
          <w:szCs w:val="22"/>
          <w:lang w:val="cs-CZ"/>
        </w:rPr>
        <w:t xml:space="preserve"> </w:t>
      </w:r>
      <w:r w:rsidR="005B527D">
        <w:rPr>
          <w:sz w:val="22"/>
          <w:szCs w:val="22"/>
          <w:lang w:val="cs-CZ"/>
        </w:rPr>
        <w:t>výkonech</w:t>
      </w:r>
      <w:r w:rsidRPr="0028273C">
        <w:rPr>
          <w:sz w:val="22"/>
          <w:szCs w:val="22"/>
          <w:lang w:val="cs-CZ"/>
        </w:rPr>
        <w:t>.</w:t>
      </w:r>
    </w:p>
    <w:p w14:paraId="06B64221" w14:textId="0C785B07" w:rsidR="00BB52A5" w:rsidRPr="0028273C" w:rsidRDefault="00BB52A5" w:rsidP="00735457">
      <w:pPr>
        <w:pStyle w:val="BayerBodyTextFull"/>
        <w:widowControl w:val="0"/>
        <w:spacing w:before="0" w:after="0"/>
        <w:rPr>
          <w:sz w:val="22"/>
          <w:szCs w:val="22"/>
          <w:lang w:val="cs-CZ"/>
        </w:rPr>
      </w:pPr>
      <w:r w:rsidRPr="0028273C">
        <w:rPr>
          <w:sz w:val="22"/>
          <w:szCs w:val="22"/>
          <w:lang w:val="cs-CZ"/>
        </w:rPr>
        <w:t>Dalších 34</w:t>
      </w:r>
      <w:r w:rsidR="00F01E4A" w:rsidRPr="0028273C">
        <w:rPr>
          <w:sz w:val="22"/>
          <w:szCs w:val="22"/>
          <w:lang w:val="cs-CZ"/>
        </w:rPr>
        <w:t> </w:t>
      </w:r>
      <w:r w:rsidRPr="0028273C">
        <w:rPr>
          <w:sz w:val="22"/>
          <w:szCs w:val="22"/>
          <w:lang w:val="cs-CZ"/>
        </w:rPr>
        <w:t xml:space="preserve">menších chirurgických </w:t>
      </w:r>
      <w:r w:rsidR="00ED3218">
        <w:rPr>
          <w:sz w:val="22"/>
          <w:szCs w:val="22"/>
          <w:lang w:val="cs-CZ"/>
        </w:rPr>
        <w:t>výkonů</w:t>
      </w:r>
      <w:r w:rsidR="005B527D">
        <w:rPr>
          <w:sz w:val="22"/>
          <w:szCs w:val="22"/>
          <w:lang w:val="cs-CZ"/>
        </w:rPr>
        <w:t xml:space="preserve"> </w:t>
      </w:r>
      <w:r w:rsidRPr="0028273C">
        <w:rPr>
          <w:sz w:val="22"/>
          <w:szCs w:val="22"/>
          <w:lang w:val="cs-CZ"/>
        </w:rPr>
        <w:t>bylo provedeno u</w:t>
      </w:r>
      <w:r w:rsidR="00F01E4A" w:rsidRPr="0028273C">
        <w:rPr>
          <w:sz w:val="22"/>
          <w:szCs w:val="22"/>
          <w:lang w:val="cs-CZ"/>
        </w:rPr>
        <w:t> </w:t>
      </w:r>
      <w:r w:rsidRPr="0028273C">
        <w:rPr>
          <w:sz w:val="22"/>
          <w:szCs w:val="22"/>
          <w:lang w:val="cs-CZ"/>
        </w:rPr>
        <w:t>19 pacientů. Hemostáza byla ve všech dostupných případech hodnocena jako dobrá nebo vynikající.</w:t>
      </w:r>
    </w:p>
    <w:p w14:paraId="191395BA" w14:textId="77777777" w:rsidR="00C434F9" w:rsidRPr="0028273C" w:rsidRDefault="00C434F9" w:rsidP="00735457">
      <w:pPr>
        <w:pStyle w:val="Default"/>
        <w:widowControl w:val="0"/>
        <w:autoSpaceDE/>
        <w:autoSpaceDN/>
        <w:adjustRightInd/>
        <w:rPr>
          <w:i/>
          <w:color w:val="auto"/>
          <w:sz w:val="22"/>
          <w:szCs w:val="22"/>
          <w:lang w:val="cs-CZ"/>
        </w:rPr>
      </w:pPr>
    </w:p>
    <w:p w14:paraId="1F63BAB8" w14:textId="6D041C8D" w:rsidR="00E1519E" w:rsidRPr="0028273C" w:rsidRDefault="00287DAB" w:rsidP="00735457">
      <w:pPr>
        <w:pStyle w:val="Default"/>
        <w:keepNext/>
        <w:rPr>
          <w:i/>
          <w:color w:val="auto"/>
          <w:sz w:val="22"/>
          <w:szCs w:val="22"/>
          <w:lang w:val="cs-CZ"/>
        </w:rPr>
      </w:pPr>
      <w:r w:rsidRPr="0028273C">
        <w:rPr>
          <w:i/>
          <w:color w:val="auto"/>
          <w:sz w:val="22"/>
          <w:szCs w:val="22"/>
          <w:lang w:val="cs-CZ"/>
        </w:rPr>
        <w:t>Pediatrická populace</w:t>
      </w:r>
      <w:r w:rsidR="00E1519E" w:rsidRPr="0028273C">
        <w:rPr>
          <w:i/>
          <w:color w:val="auto"/>
          <w:sz w:val="22"/>
          <w:szCs w:val="22"/>
          <w:lang w:val="cs-CZ"/>
        </w:rPr>
        <w:t xml:space="preserve"> </w:t>
      </w:r>
      <w:proofErr w:type="gramStart"/>
      <w:r w:rsidR="0019114A" w:rsidRPr="0028273C">
        <w:rPr>
          <w:i/>
          <w:color w:val="auto"/>
          <w:sz w:val="22"/>
          <w:szCs w:val="22"/>
          <w:lang w:val="cs-CZ"/>
        </w:rPr>
        <w:t>&lt;</w:t>
      </w:r>
      <w:r w:rsidR="002E30D3" w:rsidRPr="0028273C">
        <w:rPr>
          <w:sz w:val="22"/>
          <w:szCs w:val="22"/>
          <w:lang w:val="cs-CZ"/>
        </w:rPr>
        <w:t> </w:t>
      </w:r>
      <w:r w:rsidR="0019114A" w:rsidRPr="0028273C">
        <w:rPr>
          <w:i/>
          <w:color w:val="auto"/>
          <w:sz w:val="22"/>
          <w:szCs w:val="22"/>
          <w:lang w:val="cs-CZ"/>
        </w:rPr>
        <w:t>1</w:t>
      </w:r>
      <w:r w:rsidR="00BF54B9" w:rsidRPr="0028273C">
        <w:rPr>
          <w:i/>
          <w:color w:val="auto"/>
          <w:sz w:val="22"/>
          <w:szCs w:val="22"/>
          <w:lang w:val="cs-CZ"/>
        </w:rPr>
        <w:t>2</w:t>
      </w:r>
      <w:proofErr w:type="gramEnd"/>
      <w:r w:rsidRPr="0028273C">
        <w:rPr>
          <w:i/>
          <w:color w:val="auto"/>
          <w:sz w:val="22"/>
          <w:szCs w:val="22"/>
          <w:lang w:val="cs-CZ"/>
        </w:rPr>
        <w:t> let</w:t>
      </w:r>
      <w:r w:rsidR="00C434F9" w:rsidRPr="0028273C">
        <w:rPr>
          <w:i/>
          <w:color w:val="auto"/>
          <w:sz w:val="22"/>
          <w:szCs w:val="22"/>
          <w:lang w:val="cs-CZ"/>
        </w:rPr>
        <w:t xml:space="preserve"> věku</w:t>
      </w:r>
    </w:p>
    <w:p w14:paraId="4FFED685" w14:textId="77777777" w:rsidR="00E1519E" w:rsidRPr="0028273C" w:rsidRDefault="00E1519E" w:rsidP="00735457">
      <w:pPr>
        <w:pStyle w:val="Default"/>
        <w:keepNext/>
        <w:rPr>
          <w:color w:val="auto"/>
          <w:sz w:val="22"/>
          <w:szCs w:val="22"/>
          <w:highlight w:val="green"/>
          <w:u w:val="single"/>
          <w:lang w:val="cs-CZ"/>
        </w:rPr>
      </w:pPr>
    </w:p>
    <w:p w14:paraId="7E789690" w14:textId="57BF40CD" w:rsidR="00D0429B" w:rsidRDefault="00D0429B" w:rsidP="00735457">
      <w:pPr>
        <w:widowControl w:val="0"/>
        <w:rPr>
          <w:szCs w:val="22"/>
          <w:bdr w:val="nil"/>
          <w:lang w:val="cs-CZ" w:eastAsia="en-US"/>
        </w:rPr>
      </w:pPr>
      <w:r w:rsidRPr="0028273C">
        <w:rPr>
          <w:szCs w:val="22"/>
          <w:bdr w:val="nil"/>
          <w:lang w:val="cs-CZ" w:eastAsia="en-US"/>
        </w:rPr>
        <w:t xml:space="preserve">Použití přípravku </w:t>
      </w:r>
      <w:proofErr w:type="spellStart"/>
      <w:r w:rsidRPr="0028273C">
        <w:rPr>
          <w:szCs w:val="22"/>
          <w:bdr w:val="nil"/>
          <w:lang w:val="cs-CZ" w:eastAsia="en-US"/>
        </w:rPr>
        <w:t>Jivi</w:t>
      </w:r>
      <w:proofErr w:type="spellEnd"/>
      <w:r w:rsidRPr="0028273C">
        <w:rPr>
          <w:szCs w:val="22"/>
          <w:bdr w:val="nil"/>
          <w:lang w:val="cs-CZ" w:eastAsia="en-US"/>
        </w:rPr>
        <w:t xml:space="preserve"> u dětí ve věku do </w:t>
      </w:r>
      <w:r w:rsidR="00A21742">
        <w:rPr>
          <w:szCs w:val="22"/>
          <w:bdr w:val="nil"/>
          <w:lang w:val="cs-CZ" w:eastAsia="en-US"/>
        </w:rPr>
        <w:t>7</w:t>
      </w:r>
      <w:r w:rsidR="00A21742" w:rsidRPr="0028273C">
        <w:rPr>
          <w:szCs w:val="22"/>
          <w:bdr w:val="nil"/>
          <w:lang w:val="cs-CZ" w:eastAsia="en-US"/>
        </w:rPr>
        <w:t> </w:t>
      </w:r>
      <w:r w:rsidRPr="0028273C">
        <w:rPr>
          <w:szCs w:val="22"/>
          <w:bdr w:val="nil"/>
          <w:lang w:val="cs-CZ" w:eastAsia="en-US"/>
        </w:rPr>
        <w:t>let není indikováno (viz bod</w:t>
      </w:r>
      <w:r w:rsidR="003C47BC" w:rsidRPr="0028273C">
        <w:rPr>
          <w:szCs w:val="22"/>
          <w:bdr w:val="nil"/>
          <w:lang w:val="cs-CZ" w:eastAsia="en-US"/>
        </w:rPr>
        <w:t> </w:t>
      </w:r>
      <w:r w:rsidRPr="0028273C">
        <w:rPr>
          <w:szCs w:val="22"/>
          <w:bdr w:val="nil"/>
          <w:lang w:val="cs-CZ" w:eastAsia="en-US"/>
        </w:rPr>
        <w:t>4.2 pro informace o pediatrickém použití)</w:t>
      </w:r>
      <w:r w:rsidR="003C47BC" w:rsidRPr="0028273C">
        <w:rPr>
          <w:szCs w:val="22"/>
          <w:bdr w:val="nil"/>
          <w:lang w:val="cs-CZ" w:eastAsia="en-US"/>
        </w:rPr>
        <w:t>.</w:t>
      </w:r>
    </w:p>
    <w:p w14:paraId="67C9DAB6" w14:textId="77777777" w:rsidR="00A21742" w:rsidRPr="0028273C" w:rsidRDefault="00A21742" w:rsidP="00735457">
      <w:pPr>
        <w:widowControl w:val="0"/>
        <w:rPr>
          <w:lang w:val="cs-CZ"/>
        </w:rPr>
      </w:pPr>
    </w:p>
    <w:p w14:paraId="733501E1" w14:textId="7D7102D6" w:rsidR="00D0429B" w:rsidRDefault="00A21742" w:rsidP="00735457">
      <w:pPr>
        <w:rPr>
          <w:szCs w:val="22"/>
          <w:bdr w:val="nil"/>
          <w:lang w:val="cs-CZ" w:eastAsia="en-US"/>
        </w:rPr>
      </w:pPr>
      <w:r w:rsidRPr="0005661C">
        <w:rPr>
          <w:szCs w:val="22"/>
          <w:u w:val="single"/>
          <w:bdr w:val="nil"/>
          <w:lang w:val="cs-CZ" w:eastAsia="en-US"/>
        </w:rPr>
        <w:t xml:space="preserve">PROTECT </w:t>
      </w:r>
      <w:proofErr w:type="spellStart"/>
      <w:r w:rsidRPr="0005661C">
        <w:rPr>
          <w:szCs w:val="22"/>
          <w:u w:val="single"/>
          <w:bdr w:val="nil"/>
          <w:lang w:val="cs-CZ" w:eastAsia="en-US"/>
        </w:rPr>
        <w:t>Kids</w:t>
      </w:r>
      <w:proofErr w:type="spellEnd"/>
      <w:r w:rsidRPr="0005661C">
        <w:rPr>
          <w:szCs w:val="22"/>
          <w:u w:val="single"/>
          <w:bdr w:val="nil"/>
          <w:lang w:val="cs-CZ" w:eastAsia="en-US"/>
        </w:rPr>
        <w:t>:</w:t>
      </w:r>
      <w:r>
        <w:rPr>
          <w:szCs w:val="22"/>
          <w:bdr w:val="nil"/>
          <w:lang w:val="cs-CZ" w:eastAsia="en-US"/>
        </w:rPr>
        <w:t xml:space="preserve"> </w:t>
      </w:r>
      <w:r w:rsidR="00EC1F24" w:rsidRPr="0028273C">
        <w:rPr>
          <w:szCs w:val="22"/>
          <w:bdr w:val="nil"/>
          <w:lang w:val="cs-CZ" w:eastAsia="en-US"/>
        </w:rPr>
        <w:t>Ve studii fáze</w:t>
      </w:r>
      <w:r w:rsidR="00952A07" w:rsidRPr="0028273C">
        <w:rPr>
          <w:szCs w:val="22"/>
          <w:bdr w:val="nil"/>
          <w:lang w:val="cs-CZ" w:eastAsia="en-US"/>
        </w:rPr>
        <w:t> </w:t>
      </w:r>
      <w:r w:rsidR="00EC1F24" w:rsidRPr="0028273C">
        <w:rPr>
          <w:szCs w:val="22"/>
          <w:bdr w:val="nil"/>
          <w:lang w:val="cs-CZ" w:eastAsia="en-US"/>
        </w:rPr>
        <w:t xml:space="preserve">III </w:t>
      </w:r>
      <w:r w:rsidR="00952A07" w:rsidRPr="0028273C">
        <w:rPr>
          <w:szCs w:val="22"/>
          <w:bdr w:val="nil"/>
          <w:lang w:val="cs-CZ" w:eastAsia="en-US"/>
        </w:rPr>
        <w:t xml:space="preserve">dostávalo </w:t>
      </w:r>
      <w:r w:rsidR="00BB52A5" w:rsidRPr="0028273C">
        <w:rPr>
          <w:szCs w:val="22"/>
          <w:bdr w:val="nil"/>
          <w:lang w:val="cs-CZ" w:eastAsia="en-US"/>
        </w:rPr>
        <w:t>celkem</w:t>
      </w:r>
      <w:r w:rsidR="00D0429B" w:rsidRPr="0028273C">
        <w:rPr>
          <w:szCs w:val="22"/>
          <w:bdr w:val="nil"/>
          <w:lang w:val="cs-CZ" w:eastAsia="en-US"/>
        </w:rPr>
        <w:t xml:space="preserve"> 73 </w:t>
      </w:r>
      <w:r w:rsidR="00952A07" w:rsidRPr="0028273C">
        <w:rPr>
          <w:szCs w:val="22"/>
          <w:bdr w:val="nil"/>
          <w:lang w:val="cs-CZ" w:eastAsia="en-US"/>
        </w:rPr>
        <w:t xml:space="preserve">dříve léčených </w:t>
      </w:r>
      <w:r w:rsidR="00D0429B" w:rsidRPr="0028273C">
        <w:rPr>
          <w:szCs w:val="22"/>
          <w:bdr w:val="nil"/>
          <w:lang w:val="cs-CZ" w:eastAsia="en-US"/>
        </w:rPr>
        <w:t>pediatrických pacientů (44 pacientů ve věku &lt;6 let a 29 pacientů ve věku 6 až &lt;12 let) preventivní léčbu dvakrát týdně každých 5 dnů nebo každých 7 dnů.</w:t>
      </w:r>
      <w:r w:rsidR="00EC1F24" w:rsidRPr="0028273C">
        <w:rPr>
          <w:szCs w:val="22"/>
          <w:bdr w:val="nil"/>
          <w:lang w:val="cs-CZ" w:eastAsia="en-US"/>
        </w:rPr>
        <w:t xml:space="preserve"> U</w:t>
      </w:r>
      <w:r w:rsidR="00952A07" w:rsidRPr="0028273C">
        <w:rPr>
          <w:szCs w:val="22"/>
          <w:bdr w:val="nil"/>
          <w:lang w:val="cs-CZ" w:eastAsia="en-US"/>
        </w:rPr>
        <w:t> </w:t>
      </w:r>
      <w:r w:rsidR="00EC1F24" w:rsidRPr="0028273C">
        <w:rPr>
          <w:szCs w:val="22"/>
          <w:bdr w:val="nil"/>
          <w:lang w:val="cs-CZ" w:eastAsia="en-US"/>
        </w:rPr>
        <w:t xml:space="preserve">53 pacientů, kteří dokončili </w:t>
      </w:r>
      <w:r w:rsidR="001D4034" w:rsidRPr="0028273C">
        <w:rPr>
          <w:szCs w:val="22"/>
          <w:bdr w:val="nil"/>
          <w:lang w:val="cs-CZ" w:eastAsia="en-US"/>
        </w:rPr>
        <w:t>hlavní</w:t>
      </w:r>
      <w:r w:rsidR="001D4034">
        <w:rPr>
          <w:szCs w:val="22"/>
          <w:bdr w:val="nil"/>
          <w:lang w:val="cs-CZ" w:eastAsia="en-US"/>
        </w:rPr>
        <w:t xml:space="preserve"> část </w:t>
      </w:r>
      <w:r w:rsidR="00EC1F24" w:rsidRPr="0028273C">
        <w:rPr>
          <w:szCs w:val="22"/>
          <w:bdr w:val="nil"/>
          <w:lang w:val="cs-CZ" w:eastAsia="en-US"/>
        </w:rPr>
        <w:t>studi</w:t>
      </w:r>
      <w:r w:rsidR="001D4034">
        <w:rPr>
          <w:szCs w:val="22"/>
          <w:bdr w:val="nil"/>
          <w:lang w:val="cs-CZ" w:eastAsia="en-US"/>
        </w:rPr>
        <w:t>e</w:t>
      </w:r>
      <w:r w:rsidR="00952A07" w:rsidRPr="0028273C">
        <w:rPr>
          <w:szCs w:val="22"/>
          <w:bdr w:val="nil"/>
          <w:lang w:val="cs-CZ" w:eastAsia="en-US"/>
        </w:rPr>
        <w:t>,</w:t>
      </w:r>
      <w:r w:rsidR="00EC1F24" w:rsidRPr="0028273C">
        <w:rPr>
          <w:szCs w:val="22"/>
          <w:bdr w:val="nil"/>
          <w:lang w:val="cs-CZ" w:eastAsia="en-US"/>
        </w:rPr>
        <w:t xml:space="preserve"> byl m</w:t>
      </w:r>
      <w:r w:rsidR="00D0429B" w:rsidRPr="0028273C">
        <w:rPr>
          <w:szCs w:val="22"/>
          <w:bdr w:val="nil"/>
          <w:lang w:val="cs-CZ" w:eastAsia="en-US"/>
        </w:rPr>
        <w:t>edián (</w:t>
      </w:r>
      <w:r w:rsidR="00EC1F24" w:rsidRPr="0028273C">
        <w:rPr>
          <w:szCs w:val="22"/>
          <w:bdr w:val="nil"/>
          <w:lang w:val="cs-CZ" w:eastAsia="en-US"/>
        </w:rPr>
        <w:t>Q1; Q3</w:t>
      </w:r>
      <w:r w:rsidR="00D0429B" w:rsidRPr="0028273C">
        <w:rPr>
          <w:szCs w:val="22"/>
          <w:bdr w:val="nil"/>
          <w:lang w:val="cs-CZ" w:eastAsia="en-US"/>
        </w:rPr>
        <w:t xml:space="preserve">) </w:t>
      </w:r>
      <w:r w:rsidR="001D4034">
        <w:rPr>
          <w:szCs w:val="22"/>
          <w:bdr w:val="nil"/>
          <w:lang w:val="cs-CZ" w:eastAsia="en-US"/>
        </w:rPr>
        <w:t>roční</w:t>
      </w:r>
      <w:r w:rsidR="001D4034" w:rsidRPr="0028273C">
        <w:rPr>
          <w:szCs w:val="22"/>
          <w:bdr w:val="nil"/>
          <w:lang w:val="cs-CZ" w:eastAsia="en-US"/>
        </w:rPr>
        <w:t xml:space="preserve"> </w:t>
      </w:r>
      <w:r w:rsidR="00D0429B" w:rsidRPr="0028273C">
        <w:rPr>
          <w:szCs w:val="22"/>
          <w:bdr w:val="nil"/>
          <w:lang w:val="cs-CZ" w:eastAsia="en-US"/>
        </w:rPr>
        <w:t>četnosti krvácení 2,87 (1,</w:t>
      </w:r>
      <w:r w:rsidR="00EC1F24" w:rsidRPr="0028273C">
        <w:rPr>
          <w:szCs w:val="22"/>
          <w:bdr w:val="nil"/>
          <w:lang w:val="cs-CZ" w:eastAsia="en-US"/>
        </w:rPr>
        <w:t>1</w:t>
      </w:r>
      <w:r w:rsidR="00D0429B" w:rsidRPr="0028273C">
        <w:rPr>
          <w:szCs w:val="22"/>
          <w:bdr w:val="nil"/>
          <w:lang w:val="cs-CZ" w:eastAsia="en-US"/>
        </w:rPr>
        <w:t xml:space="preserve">; </w:t>
      </w:r>
      <w:r w:rsidR="00EC1F24" w:rsidRPr="0028273C">
        <w:rPr>
          <w:szCs w:val="22"/>
          <w:bdr w:val="nil"/>
          <w:lang w:val="cs-CZ" w:eastAsia="en-US"/>
        </w:rPr>
        <w:t>6,1</w:t>
      </w:r>
      <w:r w:rsidR="00D0429B" w:rsidRPr="0028273C">
        <w:rPr>
          <w:szCs w:val="22"/>
          <w:bdr w:val="nil"/>
          <w:lang w:val="cs-CZ" w:eastAsia="en-US"/>
        </w:rPr>
        <w:t>) a</w:t>
      </w:r>
      <w:r w:rsidR="008E09BF" w:rsidRPr="0028273C">
        <w:rPr>
          <w:szCs w:val="22"/>
          <w:bdr w:val="nil"/>
          <w:lang w:val="cs-CZ" w:eastAsia="en-US"/>
        </w:rPr>
        <w:t> medián</w:t>
      </w:r>
      <w:r w:rsidR="00D0429B" w:rsidRPr="0028273C">
        <w:rPr>
          <w:szCs w:val="22"/>
          <w:bdr w:val="nil"/>
          <w:lang w:val="cs-CZ" w:eastAsia="en-US"/>
        </w:rPr>
        <w:t xml:space="preserve"> spontánní </w:t>
      </w:r>
      <w:r w:rsidR="00EC1F24" w:rsidRPr="0028273C">
        <w:rPr>
          <w:szCs w:val="22"/>
          <w:bdr w:val="nil"/>
          <w:lang w:val="cs-CZ" w:eastAsia="en-US"/>
        </w:rPr>
        <w:t xml:space="preserve">ABR </w:t>
      </w:r>
      <w:r w:rsidR="00D0429B" w:rsidRPr="0028273C">
        <w:rPr>
          <w:szCs w:val="22"/>
          <w:bdr w:val="nil"/>
          <w:lang w:val="cs-CZ" w:eastAsia="en-US"/>
        </w:rPr>
        <w:t xml:space="preserve">byl 0,0 (0,0; 2,6). Pro léčbu krvácení </w:t>
      </w:r>
      <w:r w:rsidR="00EC1F24" w:rsidRPr="0028273C">
        <w:rPr>
          <w:szCs w:val="22"/>
          <w:bdr w:val="nil"/>
          <w:lang w:val="cs-CZ" w:eastAsia="en-US"/>
        </w:rPr>
        <w:t>bylo</w:t>
      </w:r>
      <w:r w:rsidR="00D0429B" w:rsidRPr="0028273C">
        <w:rPr>
          <w:szCs w:val="22"/>
          <w:bdr w:val="nil"/>
          <w:lang w:val="cs-CZ" w:eastAsia="en-US"/>
        </w:rPr>
        <w:t xml:space="preserve"> 84,4 % krvácení vyřešeno 1 injekcí a 91,9 % krvácení bylo vyřešeno 1 nebo 2</w:t>
      </w:r>
      <w:r w:rsidR="003C47BC" w:rsidRPr="0028273C">
        <w:rPr>
          <w:szCs w:val="22"/>
          <w:bdr w:val="nil"/>
          <w:lang w:val="cs-CZ" w:eastAsia="en-US"/>
        </w:rPr>
        <w:t> </w:t>
      </w:r>
      <w:r w:rsidR="00D0429B" w:rsidRPr="0028273C">
        <w:rPr>
          <w:szCs w:val="22"/>
          <w:bdr w:val="nil"/>
          <w:lang w:val="cs-CZ" w:eastAsia="en-US"/>
        </w:rPr>
        <w:t>injekcemi.</w:t>
      </w:r>
    </w:p>
    <w:p w14:paraId="0D4BCD76" w14:textId="77777777" w:rsidR="00A21742" w:rsidRPr="0028273C" w:rsidRDefault="00A21742" w:rsidP="00735457">
      <w:pPr>
        <w:rPr>
          <w:lang w:val="cs-CZ"/>
        </w:rPr>
      </w:pPr>
    </w:p>
    <w:p w14:paraId="53960069" w14:textId="77777777" w:rsidR="00DF5B6B" w:rsidRDefault="00D0429B" w:rsidP="00735457">
      <w:pPr>
        <w:rPr>
          <w:szCs w:val="22"/>
          <w:bdr w:val="nil"/>
          <w:lang w:val="cs-CZ" w:eastAsia="en-US"/>
        </w:rPr>
      </w:pPr>
      <w:r w:rsidRPr="0028273C">
        <w:rPr>
          <w:szCs w:val="22"/>
          <w:bdr w:val="nil"/>
          <w:lang w:val="cs-CZ" w:eastAsia="en-US"/>
        </w:rPr>
        <w:t>11 pacientů ve věkové skupině &lt;6 let odst</w:t>
      </w:r>
      <w:r w:rsidRPr="0028273C">
        <w:rPr>
          <w:bdr w:val="nil"/>
          <w:lang w:val="cs-CZ"/>
        </w:rPr>
        <w:t>o</w:t>
      </w:r>
      <w:r w:rsidRPr="0028273C">
        <w:rPr>
          <w:szCs w:val="22"/>
          <w:bdr w:val="nil"/>
          <w:lang w:val="cs-CZ" w:eastAsia="en-US"/>
        </w:rPr>
        <w:t xml:space="preserve">upilo v důsledku imunitní odpovědi na PEG související se ztrátou </w:t>
      </w:r>
      <w:r w:rsidR="001D4034">
        <w:rPr>
          <w:szCs w:val="22"/>
          <w:bdr w:val="nil"/>
          <w:lang w:val="cs-CZ" w:eastAsia="en-US"/>
        </w:rPr>
        <w:t xml:space="preserve">léčebné </w:t>
      </w:r>
      <w:r w:rsidRPr="0028273C">
        <w:rPr>
          <w:szCs w:val="22"/>
          <w:bdr w:val="nil"/>
          <w:lang w:val="cs-CZ" w:eastAsia="en-US"/>
        </w:rPr>
        <w:t>účinnosti a/nebo hypersenzitivní reakcí během prvních čtyř ED.</w:t>
      </w:r>
    </w:p>
    <w:p w14:paraId="3C9A96BC" w14:textId="77777777" w:rsidR="0019660F" w:rsidRDefault="0019660F" w:rsidP="00735457">
      <w:pPr>
        <w:rPr>
          <w:szCs w:val="22"/>
          <w:lang w:val="cs-CZ"/>
        </w:rPr>
      </w:pPr>
      <w:r w:rsidRPr="0019660F">
        <w:rPr>
          <w:szCs w:val="22"/>
          <w:lang w:val="cs-CZ"/>
        </w:rPr>
        <w:t>U 59 pacientů, kteří pokračovali v prodloužené studii, byl celkový medián (Q1; Q3) ABR během prodlouženého období 1,64 (0,5; 3,1). U 30 pacientů ≥ 12 let byl medián (Q1; Q3) ABR 1,76 (0,5; 3,3)</w:t>
      </w:r>
      <w:r w:rsidR="00D663D8">
        <w:rPr>
          <w:szCs w:val="22"/>
          <w:lang w:val="cs-CZ"/>
        </w:rPr>
        <w:t xml:space="preserve"> </w:t>
      </w:r>
      <w:r w:rsidR="00D663D8" w:rsidRPr="0019660F">
        <w:rPr>
          <w:szCs w:val="22"/>
          <w:lang w:val="cs-CZ"/>
        </w:rPr>
        <w:t xml:space="preserve">na konci </w:t>
      </w:r>
      <w:r w:rsidR="005822EC">
        <w:rPr>
          <w:szCs w:val="22"/>
          <w:lang w:val="cs-CZ"/>
        </w:rPr>
        <w:t xml:space="preserve">prodloužené </w:t>
      </w:r>
      <w:r w:rsidR="00D663D8" w:rsidRPr="0019660F">
        <w:rPr>
          <w:szCs w:val="22"/>
          <w:lang w:val="cs-CZ"/>
        </w:rPr>
        <w:t>studie</w:t>
      </w:r>
      <w:r w:rsidRPr="0019660F">
        <w:rPr>
          <w:szCs w:val="22"/>
          <w:lang w:val="cs-CZ"/>
        </w:rPr>
        <w:t>.</w:t>
      </w:r>
    </w:p>
    <w:p w14:paraId="330AA0D2" w14:textId="77777777" w:rsidR="000417C0" w:rsidRDefault="000417C0" w:rsidP="00735457">
      <w:pPr>
        <w:rPr>
          <w:szCs w:val="22"/>
          <w:lang w:val="cs-CZ"/>
        </w:rPr>
      </w:pPr>
    </w:p>
    <w:p w14:paraId="7164BBCF" w14:textId="4A274B8B" w:rsidR="000417C0" w:rsidRPr="0028273C" w:rsidRDefault="000417C0" w:rsidP="00735457">
      <w:pPr>
        <w:rPr>
          <w:szCs w:val="22"/>
          <w:lang w:val="cs-CZ"/>
        </w:rPr>
      </w:pPr>
      <w:r w:rsidRPr="0005661C">
        <w:rPr>
          <w:szCs w:val="22"/>
          <w:u w:val="single"/>
          <w:lang w:val="cs-CZ"/>
        </w:rPr>
        <w:t>Alfa PROTECT:</w:t>
      </w:r>
      <w:r w:rsidRPr="000417C0">
        <w:rPr>
          <w:szCs w:val="22"/>
          <w:lang w:val="cs-CZ"/>
        </w:rPr>
        <w:t xml:space="preserve"> Celkem 35</w:t>
      </w:r>
      <w:r w:rsidR="006339B2">
        <w:rPr>
          <w:szCs w:val="22"/>
          <w:lang w:val="cs-CZ"/>
        </w:rPr>
        <w:t> </w:t>
      </w:r>
      <w:r>
        <w:rPr>
          <w:szCs w:val="22"/>
          <w:lang w:val="cs-CZ"/>
        </w:rPr>
        <w:t>dříve léčených pacientů</w:t>
      </w:r>
      <w:r w:rsidRPr="000417C0">
        <w:rPr>
          <w:szCs w:val="22"/>
          <w:lang w:val="cs-CZ"/>
        </w:rPr>
        <w:t xml:space="preserve"> (7</w:t>
      </w:r>
      <w:r w:rsidR="006339B2">
        <w:rPr>
          <w:szCs w:val="22"/>
          <w:lang w:val="cs-CZ"/>
        </w:rPr>
        <w:t> </w:t>
      </w:r>
      <w:r w:rsidRPr="000417C0">
        <w:rPr>
          <w:szCs w:val="22"/>
          <w:lang w:val="cs-CZ"/>
        </w:rPr>
        <w:t xml:space="preserve">až </w:t>
      </w:r>
      <w:proofErr w:type="gramStart"/>
      <w:r w:rsidRPr="000417C0">
        <w:rPr>
          <w:szCs w:val="22"/>
          <w:lang w:val="cs-CZ"/>
        </w:rPr>
        <w:t>&lt;</w:t>
      </w:r>
      <w:r>
        <w:rPr>
          <w:szCs w:val="22"/>
          <w:lang w:val="cs-CZ"/>
        </w:rPr>
        <w:t> </w:t>
      </w:r>
      <w:r w:rsidRPr="000417C0">
        <w:rPr>
          <w:szCs w:val="22"/>
          <w:lang w:val="cs-CZ"/>
        </w:rPr>
        <w:t>12</w:t>
      </w:r>
      <w:proofErr w:type="gramEnd"/>
      <w:r>
        <w:rPr>
          <w:szCs w:val="22"/>
          <w:lang w:val="cs-CZ"/>
        </w:rPr>
        <w:t> </w:t>
      </w:r>
      <w:r w:rsidRPr="000417C0">
        <w:rPr>
          <w:szCs w:val="22"/>
          <w:lang w:val="cs-CZ"/>
        </w:rPr>
        <w:t xml:space="preserve">let) </w:t>
      </w:r>
      <w:r w:rsidR="006339B2">
        <w:rPr>
          <w:szCs w:val="22"/>
          <w:lang w:val="cs-CZ"/>
        </w:rPr>
        <w:t>absolvovalo</w:t>
      </w:r>
      <w:r w:rsidRPr="000417C0">
        <w:rPr>
          <w:szCs w:val="22"/>
          <w:lang w:val="cs-CZ"/>
        </w:rPr>
        <w:t xml:space="preserve"> </w:t>
      </w:r>
      <w:r>
        <w:rPr>
          <w:szCs w:val="22"/>
          <w:lang w:val="cs-CZ"/>
        </w:rPr>
        <w:t>profylaktickou</w:t>
      </w:r>
      <w:r w:rsidRPr="000417C0">
        <w:rPr>
          <w:szCs w:val="22"/>
          <w:lang w:val="cs-CZ"/>
        </w:rPr>
        <w:t xml:space="preserve"> léčbu dvakrát týdně (40</w:t>
      </w:r>
      <w:r w:rsidR="006339B2">
        <w:rPr>
          <w:szCs w:val="22"/>
          <w:lang w:val="cs-CZ"/>
        </w:rPr>
        <w:noBreakHyphen/>
      </w:r>
      <w:r w:rsidRPr="000417C0">
        <w:rPr>
          <w:szCs w:val="22"/>
          <w:lang w:val="cs-CZ"/>
        </w:rPr>
        <w:t>60</w:t>
      </w:r>
      <w:r w:rsidR="00D324F0">
        <w:rPr>
          <w:szCs w:val="22"/>
          <w:lang w:val="cs-CZ"/>
        </w:rPr>
        <w:t> </w:t>
      </w:r>
      <w:r w:rsidRPr="000417C0">
        <w:rPr>
          <w:szCs w:val="22"/>
          <w:lang w:val="cs-CZ"/>
        </w:rPr>
        <w:t>IU/kg) s</w:t>
      </w:r>
      <w:r w:rsidR="00CB7681">
        <w:rPr>
          <w:szCs w:val="22"/>
          <w:lang w:val="cs-CZ"/>
        </w:rPr>
        <w:t> </w:t>
      </w:r>
      <w:r w:rsidRPr="000417C0">
        <w:rPr>
          <w:szCs w:val="22"/>
          <w:lang w:val="cs-CZ"/>
        </w:rPr>
        <w:t>mediánem dávky 55</w:t>
      </w:r>
      <w:r w:rsidR="00CB7681">
        <w:rPr>
          <w:szCs w:val="22"/>
          <w:lang w:val="cs-CZ"/>
        </w:rPr>
        <w:t> </w:t>
      </w:r>
      <w:r w:rsidRPr="000417C0">
        <w:rPr>
          <w:szCs w:val="22"/>
          <w:lang w:val="cs-CZ"/>
        </w:rPr>
        <w:t xml:space="preserve">IU/kg. Medián (Q1; Q3) </w:t>
      </w:r>
      <w:r w:rsidR="00CB7681">
        <w:rPr>
          <w:szCs w:val="22"/>
          <w:lang w:val="cs-CZ"/>
        </w:rPr>
        <w:t>roční četnosti</w:t>
      </w:r>
      <w:r w:rsidRPr="000417C0">
        <w:rPr>
          <w:szCs w:val="22"/>
          <w:lang w:val="cs-CZ"/>
        </w:rPr>
        <w:t xml:space="preserve"> krvácení v</w:t>
      </w:r>
      <w:r w:rsidR="00CB7681">
        <w:rPr>
          <w:szCs w:val="22"/>
          <w:lang w:val="cs-CZ"/>
        </w:rPr>
        <w:t> </w:t>
      </w:r>
      <w:r w:rsidRPr="000417C0">
        <w:rPr>
          <w:szCs w:val="22"/>
          <w:lang w:val="cs-CZ"/>
        </w:rPr>
        <w:t xml:space="preserve">populaci </w:t>
      </w:r>
      <w:r w:rsidR="006339B2">
        <w:rPr>
          <w:szCs w:val="22"/>
          <w:lang w:val="cs-CZ"/>
        </w:rPr>
        <w:t xml:space="preserve">k hodnocení </w:t>
      </w:r>
      <w:r w:rsidRPr="000417C0">
        <w:rPr>
          <w:szCs w:val="22"/>
          <w:lang w:val="cs-CZ"/>
        </w:rPr>
        <w:t>účinnost</w:t>
      </w:r>
      <w:r w:rsidR="006339B2">
        <w:rPr>
          <w:szCs w:val="22"/>
          <w:lang w:val="cs-CZ"/>
        </w:rPr>
        <w:t>i</w:t>
      </w:r>
      <w:r w:rsidRPr="000417C0">
        <w:rPr>
          <w:szCs w:val="22"/>
          <w:lang w:val="cs-CZ"/>
        </w:rPr>
        <w:t xml:space="preserve"> (32</w:t>
      </w:r>
      <w:r w:rsidR="00CB7681">
        <w:rPr>
          <w:szCs w:val="22"/>
          <w:lang w:val="cs-CZ"/>
        </w:rPr>
        <w:t> </w:t>
      </w:r>
      <w:r w:rsidRPr="000417C0">
        <w:rPr>
          <w:szCs w:val="22"/>
          <w:lang w:val="cs-CZ"/>
        </w:rPr>
        <w:t xml:space="preserve">pacientů) </w:t>
      </w:r>
      <w:r w:rsidR="006339B2">
        <w:rPr>
          <w:szCs w:val="22"/>
          <w:lang w:val="cs-CZ"/>
        </w:rPr>
        <w:t>činil</w:t>
      </w:r>
      <w:r w:rsidRPr="000417C0">
        <w:rPr>
          <w:szCs w:val="22"/>
          <w:lang w:val="cs-CZ"/>
        </w:rPr>
        <w:t xml:space="preserve"> 0,0 (0,0; 1,9). Krvácení bylo u</w:t>
      </w:r>
      <w:r w:rsidR="00CB7681">
        <w:rPr>
          <w:szCs w:val="22"/>
          <w:lang w:val="cs-CZ"/>
        </w:rPr>
        <w:t> </w:t>
      </w:r>
      <w:r w:rsidRPr="000417C0">
        <w:rPr>
          <w:szCs w:val="22"/>
          <w:lang w:val="cs-CZ"/>
        </w:rPr>
        <w:t>95,2</w:t>
      </w:r>
      <w:r w:rsidR="00CB7681">
        <w:rPr>
          <w:szCs w:val="22"/>
          <w:lang w:val="cs-CZ"/>
        </w:rPr>
        <w:t> </w:t>
      </w:r>
      <w:r w:rsidRPr="000417C0">
        <w:rPr>
          <w:szCs w:val="22"/>
          <w:lang w:val="cs-CZ"/>
        </w:rPr>
        <w:t>% pacientů</w:t>
      </w:r>
      <w:r w:rsidR="00CB7681">
        <w:rPr>
          <w:szCs w:val="22"/>
          <w:lang w:val="cs-CZ"/>
        </w:rPr>
        <w:t xml:space="preserve"> </w:t>
      </w:r>
      <w:r w:rsidR="00CB7681" w:rsidRPr="000417C0">
        <w:rPr>
          <w:szCs w:val="22"/>
          <w:lang w:val="cs-CZ"/>
        </w:rPr>
        <w:lastRenderedPageBreak/>
        <w:t>vyřešeno 1</w:t>
      </w:r>
      <w:r w:rsidR="00CB7681">
        <w:rPr>
          <w:szCs w:val="22"/>
          <w:lang w:val="cs-CZ"/>
        </w:rPr>
        <w:t> </w:t>
      </w:r>
      <w:r w:rsidR="00CB7681" w:rsidRPr="000417C0">
        <w:rPr>
          <w:szCs w:val="22"/>
          <w:lang w:val="cs-CZ"/>
        </w:rPr>
        <w:t>nebo 2</w:t>
      </w:r>
      <w:r w:rsidR="00CB7681">
        <w:rPr>
          <w:szCs w:val="22"/>
          <w:lang w:val="cs-CZ"/>
        </w:rPr>
        <w:t> </w:t>
      </w:r>
      <w:r w:rsidR="00CB7681" w:rsidRPr="000417C0">
        <w:rPr>
          <w:szCs w:val="22"/>
          <w:lang w:val="cs-CZ"/>
        </w:rPr>
        <w:t>injekcemi</w:t>
      </w:r>
      <w:r w:rsidRPr="000417C0">
        <w:rPr>
          <w:szCs w:val="22"/>
          <w:lang w:val="cs-CZ"/>
        </w:rPr>
        <w:t>. U</w:t>
      </w:r>
      <w:r w:rsidR="00CB7681">
        <w:rPr>
          <w:szCs w:val="22"/>
          <w:lang w:val="cs-CZ"/>
        </w:rPr>
        <w:t> </w:t>
      </w:r>
      <w:r w:rsidRPr="000417C0">
        <w:rPr>
          <w:szCs w:val="22"/>
          <w:lang w:val="cs-CZ"/>
        </w:rPr>
        <w:t xml:space="preserve">jednoho pacienta </w:t>
      </w:r>
      <w:r w:rsidR="006339B2">
        <w:rPr>
          <w:szCs w:val="22"/>
          <w:lang w:val="cs-CZ"/>
        </w:rPr>
        <w:t>došlo</w:t>
      </w:r>
      <w:r w:rsidRPr="000417C0">
        <w:rPr>
          <w:szCs w:val="22"/>
          <w:lang w:val="cs-CZ"/>
        </w:rPr>
        <w:t xml:space="preserve"> </w:t>
      </w:r>
      <w:r w:rsidR="00CB7681" w:rsidRPr="000417C0">
        <w:rPr>
          <w:szCs w:val="22"/>
          <w:lang w:val="cs-CZ"/>
        </w:rPr>
        <w:t>během prvních 4</w:t>
      </w:r>
      <w:r w:rsidR="00CB7681">
        <w:rPr>
          <w:szCs w:val="22"/>
          <w:lang w:val="cs-CZ"/>
        </w:rPr>
        <w:t> </w:t>
      </w:r>
      <w:r w:rsidR="00CB7681" w:rsidRPr="000417C0">
        <w:rPr>
          <w:szCs w:val="22"/>
          <w:lang w:val="cs-CZ"/>
        </w:rPr>
        <w:t xml:space="preserve">ED </w:t>
      </w:r>
      <w:r w:rsidR="006339B2">
        <w:rPr>
          <w:szCs w:val="22"/>
          <w:lang w:val="cs-CZ"/>
        </w:rPr>
        <w:t>k </w:t>
      </w:r>
      <w:r w:rsidRPr="000417C0">
        <w:rPr>
          <w:szCs w:val="22"/>
          <w:lang w:val="cs-CZ"/>
        </w:rPr>
        <w:t>imunitní odpově</w:t>
      </w:r>
      <w:r w:rsidR="006339B2">
        <w:rPr>
          <w:szCs w:val="22"/>
          <w:lang w:val="cs-CZ"/>
        </w:rPr>
        <w:t>di</w:t>
      </w:r>
      <w:r w:rsidRPr="000417C0">
        <w:rPr>
          <w:szCs w:val="22"/>
          <w:lang w:val="cs-CZ"/>
        </w:rPr>
        <w:t xml:space="preserve"> na PEG spojen</w:t>
      </w:r>
      <w:r w:rsidR="006339B2">
        <w:rPr>
          <w:szCs w:val="22"/>
          <w:lang w:val="cs-CZ"/>
        </w:rPr>
        <w:t>é</w:t>
      </w:r>
      <w:r w:rsidRPr="000417C0">
        <w:rPr>
          <w:szCs w:val="22"/>
          <w:lang w:val="cs-CZ"/>
        </w:rPr>
        <w:t xml:space="preserve"> se ztrátou účinku </w:t>
      </w:r>
      <w:r w:rsidR="002A0366">
        <w:rPr>
          <w:szCs w:val="22"/>
          <w:lang w:val="cs-CZ"/>
        </w:rPr>
        <w:t>přípravku</w:t>
      </w:r>
      <w:r w:rsidRPr="000417C0">
        <w:rPr>
          <w:szCs w:val="22"/>
          <w:lang w:val="cs-CZ"/>
        </w:rPr>
        <w:t>. Pacient přerušil na 2</w:t>
      </w:r>
      <w:r w:rsidR="00CB7681">
        <w:rPr>
          <w:szCs w:val="22"/>
          <w:lang w:val="cs-CZ"/>
        </w:rPr>
        <w:t> </w:t>
      </w:r>
      <w:r w:rsidRPr="000417C0">
        <w:rPr>
          <w:szCs w:val="22"/>
          <w:lang w:val="cs-CZ"/>
        </w:rPr>
        <w:t>měsíce</w:t>
      </w:r>
      <w:r w:rsidR="006339B2">
        <w:rPr>
          <w:szCs w:val="22"/>
          <w:lang w:val="cs-CZ"/>
        </w:rPr>
        <w:t xml:space="preserve"> léčbu</w:t>
      </w:r>
      <w:r w:rsidRPr="000417C0">
        <w:rPr>
          <w:szCs w:val="22"/>
          <w:lang w:val="cs-CZ"/>
        </w:rPr>
        <w:t>, protilátky vymizely a</w:t>
      </w:r>
      <w:r w:rsidR="00CB7681">
        <w:rPr>
          <w:szCs w:val="22"/>
          <w:lang w:val="cs-CZ"/>
        </w:rPr>
        <w:t> </w:t>
      </w:r>
      <w:r w:rsidRPr="000417C0">
        <w:rPr>
          <w:szCs w:val="22"/>
          <w:lang w:val="cs-CZ"/>
        </w:rPr>
        <w:t>pacient mohl léčbu znovu zahájit.</w:t>
      </w:r>
    </w:p>
    <w:p w14:paraId="119574EE" w14:textId="77777777" w:rsidR="00DF5B6B" w:rsidRPr="0028273C" w:rsidRDefault="00DF5B6B" w:rsidP="00735457">
      <w:pPr>
        <w:pStyle w:val="BayerBodyTextFull"/>
        <w:spacing w:before="0" w:after="0"/>
        <w:rPr>
          <w:sz w:val="22"/>
          <w:szCs w:val="22"/>
          <w:lang w:val="cs-CZ"/>
        </w:rPr>
      </w:pPr>
    </w:p>
    <w:p w14:paraId="2DB37EA4" w14:textId="77777777" w:rsidR="00DD6503" w:rsidRPr="0028273C" w:rsidRDefault="00DD6503" w:rsidP="00FA1963">
      <w:pPr>
        <w:keepNext/>
        <w:tabs>
          <w:tab w:val="clear" w:pos="567"/>
        </w:tabs>
        <w:outlineLvl w:val="2"/>
        <w:rPr>
          <w:b/>
          <w:szCs w:val="22"/>
          <w:lang w:val="cs-CZ"/>
        </w:rPr>
      </w:pPr>
      <w:r w:rsidRPr="0028273C">
        <w:rPr>
          <w:b/>
          <w:szCs w:val="22"/>
          <w:lang w:val="cs-CZ"/>
        </w:rPr>
        <w:t>5.2</w:t>
      </w:r>
      <w:r w:rsidRPr="0028273C">
        <w:rPr>
          <w:b/>
          <w:szCs w:val="22"/>
          <w:lang w:val="cs-CZ"/>
        </w:rPr>
        <w:tab/>
      </w:r>
      <w:r w:rsidR="00883D61" w:rsidRPr="0028273C">
        <w:rPr>
          <w:b/>
          <w:szCs w:val="22"/>
          <w:lang w:val="cs-CZ"/>
        </w:rPr>
        <w:t>Farmakokinetické vlastnosti</w:t>
      </w:r>
    </w:p>
    <w:p w14:paraId="5A0E2B8C" w14:textId="77777777" w:rsidR="003550FB" w:rsidRPr="0028273C" w:rsidRDefault="003550FB" w:rsidP="00735457">
      <w:pPr>
        <w:keepNext/>
        <w:keepLines/>
        <w:tabs>
          <w:tab w:val="clear" w:pos="567"/>
        </w:tabs>
        <w:rPr>
          <w:szCs w:val="22"/>
          <w:lang w:val="cs-CZ"/>
        </w:rPr>
      </w:pPr>
    </w:p>
    <w:p w14:paraId="6CA98F1F" w14:textId="1BE901A7" w:rsidR="00735DE9" w:rsidRPr="0028273C" w:rsidRDefault="00735DE9" w:rsidP="00735457">
      <w:pPr>
        <w:pStyle w:val="BayerBodyTextFull"/>
        <w:spacing w:before="0" w:after="0"/>
        <w:rPr>
          <w:sz w:val="22"/>
          <w:szCs w:val="22"/>
          <w:bdr w:val="nil"/>
          <w:lang w:val="cs-CZ"/>
        </w:rPr>
      </w:pPr>
      <w:r w:rsidRPr="0028273C">
        <w:rPr>
          <w:sz w:val="22"/>
          <w:szCs w:val="22"/>
          <w:bdr w:val="nil"/>
          <w:lang w:val="cs-CZ"/>
        </w:rPr>
        <w:t>Farmakokinetika (FK) přípravku JIVI byla porovnána s farmakokinetikou faktoru</w:t>
      </w:r>
      <w:r w:rsidR="00956413" w:rsidRPr="0028273C">
        <w:rPr>
          <w:sz w:val="22"/>
          <w:szCs w:val="22"/>
          <w:bdr w:val="nil"/>
          <w:lang w:val="cs-CZ"/>
        </w:rPr>
        <w:t> </w:t>
      </w:r>
      <w:r w:rsidRPr="0028273C">
        <w:rPr>
          <w:sz w:val="22"/>
          <w:szCs w:val="22"/>
          <w:bdr w:val="nil"/>
          <w:lang w:val="cs-CZ"/>
        </w:rPr>
        <w:t>VIII v</w:t>
      </w:r>
      <w:r w:rsidR="000B5264">
        <w:rPr>
          <w:sz w:val="22"/>
          <w:szCs w:val="22"/>
          <w:bdr w:val="nil"/>
          <w:lang w:val="cs-CZ"/>
        </w:rPr>
        <w:t>e z</w:t>
      </w:r>
      <w:r w:rsidRPr="0028273C">
        <w:rPr>
          <w:sz w:val="22"/>
          <w:szCs w:val="22"/>
          <w:bdr w:val="nil"/>
          <w:lang w:val="cs-CZ"/>
        </w:rPr>
        <w:t>křížené studii fáze</w:t>
      </w:r>
      <w:r w:rsidR="00956413" w:rsidRPr="0028273C">
        <w:rPr>
          <w:sz w:val="22"/>
          <w:szCs w:val="22"/>
          <w:bdr w:val="nil"/>
          <w:lang w:val="cs-CZ"/>
        </w:rPr>
        <w:t> </w:t>
      </w:r>
      <w:r w:rsidRPr="0028273C">
        <w:rPr>
          <w:sz w:val="22"/>
          <w:szCs w:val="22"/>
          <w:bdr w:val="nil"/>
          <w:lang w:val="cs-CZ"/>
        </w:rPr>
        <w:t>I. FK byla také hodnocena u</w:t>
      </w:r>
      <w:r w:rsidR="00956413" w:rsidRPr="0028273C">
        <w:rPr>
          <w:sz w:val="22"/>
          <w:szCs w:val="22"/>
          <w:bdr w:val="nil"/>
          <w:lang w:val="cs-CZ"/>
        </w:rPr>
        <w:t> </w:t>
      </w:r>
      <w:r w:rsidR="00CE7BE2" w:rsidRPr="00331C04">
        <w:rPr>
          <w:sz w:val="22"/>
          <w:szCs w:val="22"/>
          <w:lang w:val="cs-CZ"/>
        </w:rPr>
        <w:t>12 pacientů ve věku 7 až</w:t>
      </w:r>
      <w:r w:rsidR="00CA45D2" w:rsidRPr="00331C04">
        <w:rPr>
          <w:sz w:val="22"/>
          <w:szCs w:val="22"/>
          <w:lang w:val="cs-CZ"/>
        </w:rPr>
        <w:t xml:space="preserve"> </w:t>
      </w:r>
      <w:proofErr w:type="gramStart"/>
      <w:r w:rsidR="00CE7BE2" w:rsidRPr="00331C04">
        <w:rPr>
          <w:sz w:val="22"/>
          <w:szCs w:val="22"/>
          <w:lang w:val="cs-CZ"/>
        </w:rPr>
        <w:t>&lt; 12</w:t>
      </w:r>
      <w:proofErr w:type="gramEnd"/>
      <w:r w:rsidR="00CE7BE2" w:rsidRPr="00331C04">
        <w:rPr>
          <w:sz w:val="22"/>
          <w:szCs w:val="22"/>
          <w:lang w:val="cs-CZ"/>
        </w:rPr>
        <w:t xml:space="preserve"> let </w:t>
      </w:r>
      <w:r w:rsidR="003616A5" w:rsidRPr="00331C04">
        <w:rPr>
          <w:sz w:val="22"/>
          <w:szCs w:val="22"/>
          <w:lang w:val="cs-CZ"/>
        </w:rPr>
        <w:t>[</w:t>
      </w:r>
      <w:r w:rsidR="00CE7BE2" w:rsidRPr="00331C04">
        <w:rPr>
          <w:w w:val="105"/>
          <w:sz w:val="22"/>
          <w:szCs w:val="22"/>
          <w:lang w:val="cs-CZ"/>
        </w:rPr>
        <w:t xml:space="preserve">PROTECT </w:t>
      </w:r>
      <w:proofErr w:type="spellStart"/>
      <w:r w:rsidR="00CE7BE2" w:rsidRPr="00331C04">
        <w:rPr>
          <w:w w:val="105"/>
          <w:sz w:val="22"/>
          <w:szCs w:val="22"/>
          <w:lang w:val="cs-CZ"/>
        </w:rPr>
        <w:t>Kids</w:t>
      </w:r>
      <w:proofErr w:type="spellEnd"/>
      <w:r w:rsidR="003616A5" w:rsidRPr="00331C04">
        <w:rPr>
          <w:w w:val="105"/>
          <w:sz w:val="22"/>
          <w:szCs w:val="22"/>
          <w:lang w:val="cs-CZ"/>
        </w:rPr>
        <w:t>]</w:t>
      </w:r>
      <w:r w:rsidR="00CE7BE2" w:rsidRPr="00331C04">
        <w:rPr>
          <w:sz w:val="22"/>
          <w:szCs w:val="22"/>
          <w:lang w:val="cs-CZ"/>
        </w:rPr>
        <w:t xml:space="preserve"> a</w:t>
      </w:r>
      <w:r w:rsidR="00CA45D2" w:rsidRPr="00331C04">
        <w:rPr>
          <w:sz w:val="22"/>
          <w:szCs w:val="22"/>
          <w:lang w:val="cs-CZ"/>
        </w:rPr>
        <w:t> </w:t>
      </w:r>
      <w:r w:rsidRPr="0028273C">
        <w:rPr>
          <w:sz w:val="22"/>
          <w:szCs w:val="22"/>
          <w:bdr w:val="nil"/>
          <w:lang w:val="cs-CZ"/>
        </w:rPr>
        <w:t xml:space="preserve">22 pacientů </w:t>
      </w:r>
      <w:r w:rsidR="00CE7BE2">
        <w:rPr>
          <w:sz w:val="22"/>
          <w:szCs w:val="22"/>
          <w:bdr w:val="nil"/>
          <w:lang w:val="cs-CZ"/>
        </w:rPr>
        <w:t xml:space="preserve">ve věku </w:t>
      </w:r>
      <w:r w:rsidR="00CE7BE2" w:rsidRPr="0028273C">
        <w:rPr>
          <w:sz w:val="22"/>
          <w:szCs w:val="22"/>
          <w:lang w:val="cs-CZ"/>
        </w:rPr>
        <w:t>≥</w:t>
      </w:r>
      <w:r w:rsidR="00CE7BE2">
        <w:rPr>
          <w:sz w:val="22"/>
          <w:szCs w:val="22"/>
          <w:lang w:val="cs-CZ"/>
        </w:rPr>
        <w:t> </w:t>
      </w:r>
      <w:r w:rsidRPr="0028273C">
        <w:rPr>
          <w:sz w:val="22"/>
          <w:szCs w:val="22"/>
          <w:lang w:val="cs-CZ"/>
        </w:rPr>
        <w:t xml:space="preserve">12 let </w:t>
      </w:r>
      <w:r w:rsidR="003616A5">
        <w:rPr>
          <w:sz w:val="22"/>
          <w:szCs w:val="22"/>
          <w:lang w:val="cs-CZ"/>
        </w:rPr>
        <w:t>[</w:t>
      </w:r>
      <w:r w:rsidR="00DB6986">
        <w:rPr>
          <w:sz w:val="22"/>
          <w:szCs w:val="22"/>
          <w:lang w:val="cs-CZ"/>
        </w:rPr>
        <w:t>PROTECT VIII</w:t>
      </w:r>
      <w:r w:rsidR="003616A5">
        <w:rPr>
          <w:sz w:val="22"/>
          <w:szCs w:val="22"/>
          <w:lang w:val="cs-CZ"/>
        </w:rPr>
        <w:t>]</w:t>
      </w:r>
      <w:r w:rsidR="00DB6986">
        <w:rPr>
          <w:sz w:val="22"/>
          <w:szCs w:val="22"/>
          <w:lang w:val="cs-CZ"/>
        </w:rPr>
        <w:t xml:space="preserve">, </w:t>
      </w:r>
      <w:r w:rsidRPr="0028273C">
        <w:rPr>
          <w:sz w:val="22"/>
          <w:szCs w:val="22"/>
          <w:lang w:val="cs-CZ"/>
        </w:rPr>
        <w:t>a</w:t>
      </w:r>
      <w:r w:rsidR="00956413" w:rsidRPr="0028273C">
        <w:rPr>
          <w:sz w:val="22"/>
          <w:szCs w:val="22"/>
          <w:lang w:val="cs-CZ"/>
        </w:rPr>
        <w:t> </w:t>
      </w:r>
      <w:r w:rsidR="00DB6986">
        <w:rPr>
          <w:sz w:val="22"/>
          <w:szCs w:val="22"/>
          <w:lang w:val="cs-CZ"/>
        </w:rPr>
        <w:t xml:space="preserve">dále </w:t>
      </w:r>
      <w:r w:rsidRPr="0028273C">
        <w:rPr>
          <w:sz w:val="22"/>
          <w:szCs w:val="22"/>
          <w:lang w:val="cs-CZ"/>
        </w:rPr>
        <w:t>u</w:t>
      </w:r>
      <w:r w:rsidR="00956413" w:rsidRPr="0028273C">
        <w:rPr>
          <w:sz w:val="22"/>
          <w:szCs w:val="22"/>
          <w:lang w:val="cs-CZ"/>
        </w:rPr>
        <w:t> </w:t>
      </w:r>
      <w:r w:rsidRPr="0028273C">
        <w:rPr>
          <w:sz w:val="22"/>
          <w:szCs w:val="22"/>
          <w:lang w:val="cs-CZ"/>
        </w:rPr>
        <w:t>16 z těchto pacie</w:t>
      </w:r>
      <w:r w:rsidR="008E09BF" w:rsidRPr="0028273C">
        <w:rPr>
          <w:sz w:val="22"/>
          <w:szCs w:val="22"/>
          <w:lang w:val="cs-CZ"/>
        </w:rPr>
        <w:t>nt</w:t>
      </w:r>
      <w:r w:rsidRPr="0028273C">
        <w:rPr>
          <w:sz w:val="22"/>
          <w:szCs w:val="22"/>
          <w:lang w:val="cs-CZ"/>
        </w:rPr>
        <w:t>ů po 6 měsících profylaktické léčby ve studii fáze</w:t>
      </w:r>
      <w:r w:rsidR="00956413" w:rsidRPr="0028273C">
        <w:rPr>
          <w:sz w:val="22"/>
          <w:szCs w:val="22"/>
          <w:lang w:val="cs-CZ"/>
        </w:rPr>
        <w:t> </w:t>
      </w:r>
      <w:r w:rsidRPr="0028273C">
        <w:rPr>
          <w:sz w:val="22"/>
          <w:szCs w:val="22"/>
          <w:lang w:val="cs-CZ"/>
        </w:rPr>
        <w:t>II/III.</w:t>
      </w:r>
    </w:p>
    <w:p w14:paraId="3FE47C5E" w14:textId="77777777" w:rsidR="00735DE9" w:rsidRPr="0028273C" w:rsidRDefault="00735DE9" w:rsidP="00735457">
      <w:pPr>
        <w:pStyle w:val="BayerBodyTextFull"/>
        <w:spacing w:before="0" w:after="0"/>
        <w:rPr>
          <w:sz w:val="22"/>
          <w:szCs w:val="22"/>
          <w:bdr w:val="nil"/>
          <w:lang w:val="cs-CZ"/>
        </w:rPr>
      </w:pPr>
    </w:p>
    <w:p w14:paraId="3B83EF66" w14:textId="77777777" w:rsidR="00D0429B" w:rsidRPr="0028273C" w:rsidRDefault="00D0429B" w:rsidP="00735457">
      <w:pPr>
        <w:pStyle w:val="BayerBodyTextFull"/>
        <w:spacing w:before="0" w:after="0"/>
        <w:rPr>
          <w:sz w:val="22"/>
          <w:szCs w:val="22"/>
          <w:lang w:val="cs-CZ"/>
        </w:rPr>
      </w:pPr>
      <w:r w:rsidRPr="0028273C">
        <w:rPr>
          <w:sz w:val="22"/>
          <w:szCs w:val="22"/>
          <w:bdr w:val="nil"/>
          <w:lang w:val="cs-CZ"/>
        </w:rPr>
        <w:t xml:space="preserve">FK údaje (založené na chromogenním testu) ukázaly, že přípravek </w:t>
      </w:r>
      <w:proofErr w:type="spellStart"/>
      <w:r w:rsidRPr="0028273C">
        <w:rPr>
          <w:sz w:val="22"/>
          <w:szCs w:val="22"/>
          <w:bdr w:val="nil"/>
          <w:lang w:val="cs-CZ"/>
        </w:rPr>
        <w:t>Jivi</w:t>
      </w:r>
      <w:proofErr w:type="spellEnd"/>
      <w:r w:rsidRPr="0028273C">
        <w:rPr>
          <w:sz w:val="22"/>
          <w:szCs w:val="22"/>
          <w:bdr w:val="nil"/>
          <w:lang w:val="cs-CZ"/>
        </w:rPr>
        <w:t xml:space="preserve"> má sníženou clearance</w:t>
      </w:r>
      <w:r w:rsidR="00735DE9" w:rsidRPr="0028273C">
        <w:rPr>
          <w:sz w:val="22"/>
          <w:szCs w:val="22"/>
          <w:bdr w:val="nil"/>
          <w:lang w:val="cs-CZ"/>
        </w:rPr>
        <w:t xml:space="preserve"> (CL)</w:t>
      </w:r>
      <w:r w:rsidRPr="0028273C">
        <w:rPr>
          <w:sz w:val="22"/>
          <w:szCs w:val="22"/>
          <w:bdr w:val="nil"/>
          <w:lang w:val="cs-CZ"/>
        </w:rPr>
        <w:t>, což má za následek terminální biologický poločas, který je 1,4násobně delší</w:t>
      </w:r>
      <w:r w:rsidR="00B56C25" w:rsidRPr="0028273C">
        <w:rPr>
          <w:sz w:val="22"/>
          <w:szCs w:val="22"/>
          <w:bdr w:val="nil"/>
          <w:lang w:val="cs-CZ"/>
        </w:rPr>
        <w:t>,</w:t>
      </w:r>
      <w:r w:rsidRPr="0028273C">
        <w:rPr>
          <w:sz w:val="22"/>
          <w:szCs w:val="22"/>
          <w:bdr w:val="nil"/>
          <w:lang w:val="cs-CZ"/>
        </w:rPr>
        <w:t xml:space="preserve"> a AUC normalizovanou pro dávku, která je 1,4násobně vyšší ve srovnání se srovnávacím přípravkem s obsahem </w:t>
      </w:r>
      <w:r w:rsidR="00735DE9" w:rsidRPr="0028273C">
        <w:rPr>
          <w:sz w:val="22"/>
          <w:szCs w:val="22"/>
          <w:bdr w:val="nil"/>
          <w:lang w:val="cs-CZ"/>
        </w:rPr>
        <w:t>faktoru</w:t>
      </w:r>
      <w:r w:rsidR="00B56C25" w:rsidRPr="0028273C">
        <w:rPr>
          <w:sz w:val="22"/>
          <w:szCs w:val="22"/>
          <w:bdr w:val="nil"/>
          <w:lang w:val="cs-CZ"/>
        </w:rPr>
        <w:t> </w:t>
      </w:r>
      <w:r w:rsidRPr="0028273C">
        <w:rPr>
          <w:sz w:val="22"/>
          <w:szCs w:val="22"/>
          <w:bdr w:val="nil"/>
          <w:lang w:val="cs-CZ"/>
        </w:rPr>
        <w:t>VIII. Byla pozorována zvýšení úměrná dávce mezi dávkami 25 a 60 IU/kg, což naznačuje linearitu dávky mezi dávkou 25 IU/kg a 60 IU/kg.</w:t>
      </w:r>
    </w:p>
    <w:p w14:paraId="4F84004F" w14:textId="77777777" w:rsidR="00D0429B" w:rsidRPr="0028273C" w:rsidRDefault="00D0429B" w:rsidP="00735457">
      <w:pPr>
        <w:rPr>
          <w:highlight w:val="green"/>
          <w:lang w:val="cs-CZ"/>
        </w:rPr>
      </w:pPr>
    </w:p>
    <w:p w14:paraId="160CB1E4" w14:textId="34300420" w:rsidR="000E70FA" w:rsidRPr="0028273C" w:rsidRDefault="00D0429B" w:rsidP="00735457">
      <w:pPr>
        <w:pStyle w:val="BayerBodyTextFull"/>
        <w:spacing w:before="0" w:after="0"/>
        <w:rPr>
          <w:sz w:val="22"/>
          <w:szCs w:val="22"/>
          <w:highlight w:val="green"/>
          <w:lang w:val="cs-CZ"/>
        </w:rPr>
      </w:pPr>
      <w:r w:rsidRPr="0028273C">
        <w:rPr>
          <w:sz w:val="22"/>
          <w:szCs w:val="22"/>
          <w:bdr w:val="nil"/>
          <w:lang w:val="cs-CZ"/>
        </w:rPr>
        <w:t>Tabulka</w:t>
      </w:r>
      <w:r w:rsidR="000C5D3A" w:rsidRPr="0028273C">
        <w:rPr>
          <w:sz w:val="22"/>
          <w:szCs w:val="22"/>
          <w:bdr w:val="nil"/>
          <w:lang w:val="cs-CZ"/>
        </w:rPr>
        <w:t> </w:t>
      </w:r>
      <w:r w:rsidR="00567A12">
        <w:rPr>
          <w:sz w:val="22"/>
          <w:szCs w:val="22"/>
          <w:bdr w:val="nil"/>
          <w:lang w:val="cs-CZ"/>
        </w:rPr>
        <w:t>3</w:t>
      </w:r>
      <w:r w:rsidRPr="0028273C">
        <w:rPr>
          <w:sz w:val="22"/>
          <w:szCs w:val="22"/>
          <w:bdr w:val="nil"/>
          <w:lang w:val="cs-CZ"/>
        </w:rPr>
        <w:t xml:space="preserve"> shrnuje FK parametry po jednorázové dávce</w:t>
      </w:r>
      <w:r w:rsidR="00735DE9" w:rsidRPr="0028273C">
        <w:rPr>
          <w:sz w:val="22"/>
          <w:szCs w:val="22"/>
          <w:bdr w:val="nil"/>
          <w:lang w:val="cs-CZ"/>
        </w:rPr>
        <w:t xml:space="preserve"> 60 IU/kg </w:t>
      </w:r>
      <w:r w:rsidR="00962FD3">
        <w:rPr>
          <w:sz w:val="22"/>
          <w:szCs w:val="22"/>
          <w:bdr w:val="nil"/>
          <w:lang w:val="cs-CZ"/>
        </w:rPr>
        <w:t>u </w:t>
      </w:r>
      <w:r w:rsidR="00D64E16" w:rsidRPr="00331C04">
        <w:rPr>
          <w:sz w:val="22"/>
          <w:szCs w:val="22"/>
          <w:lang w:val="cs-CZ"/>
        </w:rPr>
        <w:t>12 pacientů ve věku 7 až</w:t>
      </w:r>
      <w:r w:rsidR="00DB6986" w:rsidRPr="00331C04">
        <w:rPr>
          <w:sz w:val="22"/>
          <w:szCs w:val="22"/>
          <w:lang w:val="cs-CZ"/>
        </w:rPr>
        <w:t xml:space="preserve"> </w:t>
      </w:r>
      <w:proofErr w:type="gramStart"/>
      <w:r w:rsidR="00D64E16" w:rsidRPr="00331C04">
        <w:rPr>
          <w:sz w:val="22"/>
          <w:szCs w:val="22"/>
          <w:lang w:val="cs-CZ"/>
        </w:rPr>
        <w:t>&lt; 12</w:t>
      </w:r>
      <w:proofErr w:type="gramEnd"/>
      <w:r w:rsidR="00D64E16" w:rsidRPr="00331C04">
        <w:rPr>
          <w:sz w:val="22"/>
          <w:szCs w:val="22"/>
          <w:lang w:val="cs-CZ"/>
        </w:rPr>
        <w:t> let</w:t>
      </w:r>
      <w:r w:rsidR="00D64E16" w:rsidRPr="0028273C" w:rsidDel="00D64E16">
        <w:rPr>
          <w:sz w:val="22"/>
          <w:szCs w:val="22"/>
          <w:bdr w:val="nil"/>
          <w:lang w:val="cs-CZ"/>
        </w:rPr>
        <w:t xml:space="preserve"> </w:t>
      </w:r>
      <w:r w:rsidR="00D64E16">
        <w:rPr>
          <w:sz w:val="22"/>
          <w:szCs w:val="22"/>
          <w:bdr w:val="nil"/>
          <w:lang w:val="cs-CZ"/>
        </w:rPr>
        <w:t>a </w:t>
      </w:r>
      <w:r w:rsidR="00735DE9" w:rsidRPr="0028273C">
        <w:rPr>
          <w:sz w:val="22"/>
          <w:szCs w:val="22"/>
          <w:bdr w:val="nil"/>
          <w:lang w:val="cs-CZ"/>
        </w:rPr>
        <w:t>u</w:t>
      </w:r>
      <w:r w:rsidR="00B56C25" w:rsidRPr="0028273C">
        <w:rPr>
          <w:sz w:val="22"/>
          <w:szCs w:val="22"/>
          <w:bdr w:val="nil"/>
          <w:lang w:val="cs-CZ"/>
        </w:rPr>
        <w:t> </w:t>
      </w:r>
      <w:r w:rsidR="00735DE9" w:rsidRPr="0028273C">
        <w:rPr>
          <w:sz w:val="22"/>
          <w:szCs w:val="22"/>
          <w:bdr w:val="nil"/>
          <w:lang w:val="cs-CZ"/>
        </w:rPr>
        <w:t>22 pacientů</w:t>
      </w:r>
      <w:r w:rsidR="00D64E16">
        <w:rPr>
          <w:sz w:val="22"/>
          <w:szCs w:val="22"/>
          <w:bdr w:val="nil"/>
          <w:lang w:val="cs-CZ"/>
        </w:rPr>
        <w:t xml:space="preserve"> ve věku </w:t>
      </w:r>
      <w:r w:rsidR="00D64E16" w:rsidRPr="0028273C">
        <w:rPr>
          <w:sz w:val="22"/>
          <w:szCs w:val="22"/>
          <w:lang w:val="cs-CZ"/>
        </w:rPr>
        <w:t>≥</w:t>
      </w:r>
      <w:r w:rsidR="00D64E16">
        <w:rPr>
          <w:sz w:val="22"/>
          <w:szCs w:val="22"/>
          <w:lang w:val="cs-CZ"/>
        </w:rPr>
        <w:t> 12 let</w:t>
      </w:r>
      <w:r w:rsidR="00735DE9" w:rsidRPr="0028273C">
        <w:rPr>
          <w:sz w:val="22"/>
          <w:szCs w:val="22"/>
          <w:bdr w:val="nil"/>
          <w:lang w:val="cs-CZ"/>
        </w:rPr>
        <w:t xml:space="preserve">. Opakovaná FK měření </w:t>
      </w:r>
      <w:r w:rsidR="00D64E16">
        <w:rPr>
          <w:sz w:val="22"/>
          <w:szCs w:val="22"/>
          <w:bdr w:val="nil"/>
          <w:lang w:val="cs-CZ"/>
        </w:rPr>
        <w:t>u </w:t>
      </w:r>
      <w:r w:rsidR="00D64E16" w:rsidRPr="0028273C">
        <w:rPr>
          <w:sz w:val="22"/>
          <w:szCs w:val="22"/>
          <w:bdr w:val="nil"/>
          <w:lang w:val="cs-CZ"/>
        </w:rPr>
        <w:t>pacientů</w:t>
      </w:r>
      <w:r w:rsidR="00D64E16">
        <w:rPr>
          <w:sz w:val="22"/>
          <w:szCs w:val="22"/>
          <w:bdr w:val="nil"/>
          <w:lang w:val="cs-CZ"/>
        </w:rPr>
        <w:t xml:space="preserve"> ve věku </w:t>
      </w:r>
      <w:r w:rsidR="00D64E16" w:rsidRPr="0028273C">
        <w:rPr>
          <w:sz w:val="22"/>
          <w:szCs w:val="22"/>
          <w:lang w:val="cs-CZ"/>
        </w:rPr>
        <w:t>≥</w:t>
      </w:r>
      <w:r w:rsidR="00D64E16">
        <w:rPr>
          <w:sz w:val="22"/>
          <w:szCs w:val="22"/>
          <w:lang w:val="cs-CZ"/>
        </w:rPr>
        <w:t> 12 let</w:t>
      </w:r>
      <w:r w:rsidR="00D64E16" w:rsidRPr="0028273C">
        <w:rPr>
          <w:sz w:val="22"/>
          <w:szCs w:val="22"/>
          <w:bdr w:val="nil"/>
          <w:lang w:val="cs-CZ"/>
        </w:rPr>
        <w:t xml:space="preserve"> </w:t>
      </w:r>
      <w:r w:rsidR="00735DE9" w:rsidRPr="0028273C">
        <w:rPr>
          <w:sz w:val="22"/>
          <w:szCs w:val="22"/>
          <w:bdr w:val="nil"/>
          <w:lang w:val="cs-CZ"/>
        </w:rPr>
        <w:t xml:space="preserve">neukázala žádné </w:t>
      </w:r>
      <w:r w:rsidR="00B56C25" w:rsidRPr="0028273C">
        <w:rPr>
          <w:sz w:val="22"/>
          <w:szCs w:val="22"/>
          <w:bdr w:val="nil"/>
          <w:lang w:val="cs-CZ"/>
        </w:rPr>
        <w:t>relevantní</w:t>
      </w:r>
      <w:r w:rsidR="00735DE9" w:rsidRPr="0028273C">
        <w:rPr>
          <w:sz w:val="22"/>
          <w:szCs w:val="22"/>
          <w:bdr w:val="nil"/>
          <w:lang w:val="cs-CZ"/>
        </w:rPr>
        <w:t xml:space="preserve"> změny charakteristik </w:t>
      </w:r>
      <w:r w:rsidR="00B56C25" w:rsidRPr="0028273C">
        <w:rPr>
          <w:sz w:val="22"/>
          <w:szCs w:val="22"/>
          <w:bdr w:val="nil"/>
          <w:lang w:val="cs-CZ"/>
        </w:rPr>
        <w:t xml:space="preserve">FK </w:t>
      </w:r>
      <w:r w:rsidR="00735DE9" w:rsidRPr="0028273C">
        <w:rPr>
          <w:sz w:val="22"/>
          <w:szCs w:val="22"/>
          <w:bdr w:val="nil"/>
          <w:lang w:val="cs-CZ"/>
        </w:rPr>
        <w:t>po dlouhodobé léčbě</w:t>
      </w:r>
      <w:r w:rsidRPr="0028273C">
        <w:rPr>
          <w:sz w:val="22"/>
          <w:szCs w:val="22"/>
          <w:bdr w:val="nil"/>
          <w:lang w:val="cs-CZ"/>
        </w:rPr>
        <w:t>.</w:t>
      </w:r>
    </w:p>
    <w:p w14:paraId="00112D7B" w14:textId="77777777" w:rsidR="00146FBB" w:rsidRPr="0028273C" w:rsidRDefault="00146FBB" w:rsidP="00735457">
      <w:pPr>
        <w:pStyle w:val="BayerBodyTextFull"/>
        <w:spacing w:before="0" w:after="0"/>
        <w:rPr>
          <w:sz w:val="22"/>
          <w:szCs w:val="22"/>
          <w:highlight w:val="green"/>
          <w:lang w:val="cs-CZ"/>
        </w:rPr>
      </w:pPr>
    </w:p>
    <w:p w14:paraId="2E0A7D42" w14:textId="311B181E" w:rsidR="00124902" w:rsidRPr="0028273C" w:rsidRDefault="003335E6" w:rsidP="00735457">
      <w:pPr>
        <w:pStyle w:val="Titulek"/>
        <w:keepNext/>
        <w:rPr>
          <w:sz w:val="22"/>
          <w:szCs w:val="22"/>
          <w:lang w:val="cs-CZ"/>
        </w:rPr>
      </w:pPr>
      <w:r w:rsidRPr="0028273C">
        <w:rPr>
          <w:bCs w:val="0"/>
          <w:sz w:val="22"/>
          <w:szCs w:val="22"/>
          <w:lang w:val="cs-CZ"/>
        </w:rPr>
        <w:t>Tabulka</w:t>
      </w:r>
      <w:r w:rsidR="000C5D3A" w:rsidRPr="0028273C">
        <w:rPr>
          <w:bCs w:val="0"/>
          <w:sz w:val="22"/>
          <w:szCs w:val="22"/>
          <w:lang w:val="cs-CZ"/>
        </w:rPr>
        <w:t> </w:t>
      </w:r>
      <w:r w:rsidR="00567A12">
        <w:rPr>
          <w:bCs w:val="0"/>
          <w:sz w:val="22"/>
          <w:szCs w:val="22"/>
          <w:lang w:val="cs-CZ"/>
        </w:rPr>
        <w:t>3</w:t>
      </w:r>
      <w:r w:rsidR="00146FBB" w:rsidRPr="0028273C">
        <w:rPr>
          <w:bCs w:val="0"/>
          <w:sz w:val="22"/>
          <w:szCs w:val="22"/>
          <w:lang w:val="cs-CZ"/>
        </w:rPr>
        <w:t xml:space="preserve">: </w:t>
      </w:r>
      <w:r w:rsidRPr="0028273C">
        <w:rPr>
          <w:sz w:val="22"/>
          <w:szCs w:val="22"/>
          <w:lang w:val="cs-CZ"/>
        </w:rPr>
        <w:t>Farmakokinetické parametry</w:t>
      </w:r>
      <w:r w:rsidR="00124902" w:rsidRPr="0028273C">
        <w:rPr>
          <w:sz w:val="22"/>
          <w:szCs w:val="22"/>
          <w:lang w:val="cs-CZ"/>
        </w:rPr>
        <w:t xml:space="preserve"> (</w:t>
      </w:r>
      <w:r w:rsidRPr="0028273C">
        <w:rPr>
          <w:sz w:val="22"/>
          <w:szCs w:val="22"/>
          <w:lang w:val="cs-CZ"/>
        </w:rPr>
        <w:t>geometrický průměr</w:t>
      </w:r>
      <w:r w:rsidR="00124902" w:rsidRPr="0028273C">
        <w:rPr>
          <w:sz w:val="22"/>
          <w:szCs w:val="22"/>
          <w:lang w:val="cs-CZ"/>
        </w:rPr>
        <w:t xml:space="preserve"> (%CV) a </w:t>
      </w:r>
      <w:r w:rsidRPr="0028273C">
        <w:rPr>
          <w:sz w:val="22"/>
          <w:szCs w:val="22"/>
          <w:lang w:val="cs-CZ"/>
        </w:rPr>
        <w:t xml:space="preserve">aritmetický průměr </w:t>
      </w:r>
      <w:r w:rsidR="00124902" w:rsidRPr="0028273C">
        <w:rPr>
          <w:sz w:val="22"/>
          <w:szCs w:val="22"/>
          <w:lang w:val="cs-CZ"/>
        </w:rPr>
        <w:t>(</w:t>
      </w:r>
      <w:r w:rsidR="00124902" w:rsidRPr="0028273C">
        <w:rPr>
          <w:rFonts w:ascii="Symbol" w:eastAsia="Symbol" w:hAnsi="Symbol" w:cs="Symbol"/>
          <w:sz w:val="22"/>
          <w:szCs w:val="22"/>
          <w:lang w:val="cs-CZ"/>
        </w:rPr>
        <w:t>±</w:t>
      </w:r>
      <w:r w:rsidR="00124902" w:rsidRPr="0028273C">
        <w:rPr>
          <w:sz w:val="22"/>
          <w:szCs w:val="22"/>
          <w:lang w:val="cs-CZ"/>
        </w:rPr>
        <w:t xml:space="preserve">SD)) </w:t>
      </w:r>
      <w:r w:rsidRPr="0028273C">
        <w:rPr>
          <w:sz w:val="22"/>
          <w:szCs w:val="22"/>
          <w:lang w:val="cs-CZ"/>
        </w:rPr>
        <w:t>pro přípravek</w:t>
      </w:r>
      <w:r w:rsidR="00124902" w:rsidRPr="0028273C">
        <w:rPr>
          <w:sz w:val="22"/>
          <w:szCs w:val="22"/>
          <w:lang w:val="cs-CZ"/>
        </w:rPr>
        <w:t xml:space="preserve"> </w:t>
      </w:r>
      <w:proofErr w:type="spellStart"/>
      <w:r w:rsidR="00124902" w:rsidRPr="0028273C">
        <w:rPr>
          <w:sz w:val="22"/>
          <w:szCs w:val="22"/>
          <w:lang w:val="cs-CZ"/>
        </w:rPr>
        <w:t>Jivi</w:t>
      </w:r>
      <w:proofErr w:type="spellEnd"/>
      <w:r w:rsidRPr="0028273C">
        <w:rPr>
          <w:sz w:val="22"/>
          <w:szCs w:val="22"/>
          <w:lang w:val="cs-CZ"/>
        </w:rPr>
        <w:t xml:space="preserve"> po podání jedné dávky</w:t>
      </w:r>
      <w:r w:rsidR="00124902" w:rsidRPr="0028273C">
        <w:rPr>
          <w:sz w:val="22"/>
          <w:szCs w:val="22"/>
          <w:lang w:val="cs-CZ"/>
        </w:rPr>
        <w:t xml:space="preserve"> 60</w:t>
      </w:r>
      <w:r w:rsidR="00072561" w:rsidRPr="0028273C">
        <w:rPr>
          <w:sz w:val="22"/>
          <w:szCs w:val="22"/>
          <w:lang w:val="cs-CZ"/>
        </w:rPr>
        <w:t> </w:t>
      </w:r>
      <w:r w:rsidR="00BF54B9" w:rsidRPr="0028273C">
        <w:rPr>
          <w:sz w:val="22"/>
          <w:szCs w:val="22"/>
          <w:lang w:val="cs-CZ"/>
        </w:rPr>
        <w:t>IU</w:t>
      </w:r>
      <w:r w:rsidR="00124902" w:rsidRPr="0028273C">
        <w:rPr>
          <w:sz w:val="22"/>
          <w:szCs w:val="22"/>
          <w:lang w:val="cs-CZ"/>
        </w:rPr>
        <w:t xml:space="preserve">/kg </w:t>
      </w:r>
      <w:r w:rsidR="005A6DC3">
        <w:rPr>
          <w:sz w:val="22"/>
          <w:szCs w:val="22"/>
          <w:lang w:val="cs-CZ"/>
        </w:rPr>
        <w:t>pomocí</w:t>
      </w:r>
      <w:r w:rsidR="002054B2" w:rsidRPr="0028273C">
        <w:rPr>
          <w:sz w:val="22"/>
          <w:szCs w:val="22"/>
          <w:lang w:val="cs-CZ"/>
        </w:rPr>
        <w:t xml:space="preserve"> </w:t>
      </w:r>
      <w:r w:rsidR="00090A0F" w:rsidRPr="0028273C">
        <w:rPr>
          <w:sz w:val="22"/>
          <w:szCs w:val="22"/>
          <w:lang w:val="cs-CZ"/>
        </w:rPr>
        <w:t>chromogenního testu</w:t>
      </w:r>
    </w:p>
    <w:p w14:paraId="637421F2" w14:textId="77777777" w:rsidR="00124902" w:rsidRPr="0028273C" w:rsidRDefault="00124902" w:rsidP="00735457">
      <w:pPr>
        <w:keepNext/>
        <w:rPr>
          <w:highlight w:val="green"/>
          <w:lang w:val="cs-CZ"/>
        </w:rPr>
      </w:pPr>
    </w:p>
    <w:tbl>
      <w:tblPr>
        <w:tblW w:w="9101" w:type="dxa"/>
        <w:tblInd w:w="108" w:type="dxa"/>
        <w:tblBorders>
          <w:top w:val="single" w:sz="12" w:space="0" w:color="auto"/>
          <w:bottom w:val="single" w:sz="12" w:space="0" w:color="auto"/>
        </w:tblBorders>
        <w:tblLayout w:type="fixed"/>
        <w:tblLook w:val="04A0" w:firstRow="1" w:lastRow="0" w:firstColumn="1" w:lastColumn="0" w:noHBand="0" w:noVBand="1"/>
      </w:tblPr>
      <w:tblGrid>
        <w:gridCol w:w="2410"/>
        <w:gridCol w:w="3431"/>
        <w:gridCol w:w="3260"/>
      </w:tblGrid>
      <w:tr w:rsidR="008E1B14" w:rsidRPr="0028273C" w14:paraId="60625483" w14:textId="01C339F5" w:rsidTr="0005661C">
        <w:trPr>
          <w:trHeight w:val="301"/>
        </w:trPr>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94727A3" w14:textId="77777777" w:rsidR="008E1B14" w:rsidRPr="00C21F29" w:rsidRDefault="008E1B14" w:rsidP="008E1B14">
            <w:pPr>
              <w:keepNext/>
              <w:jc w:val="center"/>
              <w:rPr>
                <w:b/>
                <w:bCs/>
                <w:szCs w:val="22"/>
                <w:shd w:val="clear" w:color="auto" w:fill="FFFFFF"/>
                <w:lang w:val="cs-CZ"/>
              </w:rPr>
            </w:pPr>
            <w:r w:rsidRPr="00C21F29">
              <w:rPr>
                <w:b/>
                <w:bCs/>
                <w:szCs w:val="22"/>
                <w:shd w:val="clear" w:color="auto" w:fill="FFFFFF"/>
                <w:lang w:val="cs-CZ"/>
              </w:rPr>
              <w:t>Parametry (jednotky)</w:t>
            </w:r>
          </w:p>
        </w:tc>
        <w:tc>
          <w:tcPr>
            <w:tcW w:w="343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9C8998B" w14:textId="77777777" w:rsidR="008E1B14" w:rsidRPr="0028273C" w:rsidRDefault="008E1B14" w:rsidP="008E1B14">
            <w:pPr>
              <w:keepNext/>
              <w:jc w:val="center"/>
              <w:rPr>
                <w:b/>
                <w:bCs/>
                <w:szCs w:val="22"/>
                <w:shd w:val="clear" w:color="auto" w:fill="FFFFFF"/>
                <w:lang w:val="cs-CZ"/>
              </w:rPr>
            </w:pPr>
            <w:proofErr w:type="spellStart"/>
            <w:r w:rsidRPr="0028273C">
              <w:rPr>
                <w:b/>
                <w:bCs/>
                <w:szCs w:val="22"/>
                <w:shd w:val="clear" w:color="auto" w:fill="FFFFFF"/>
                <w:lang w:val="cs-CZ"/>
              </w:rPr>
              <w:t>Jivi</w:t>
            </w:r>
            <w:proofErr w:type="spellEnd"/>
          </w:p>
          <w:p w14:paraId="5FB730C0" w14:textId="77777777" w:rsidR="008E1B14" w:rsidRPr="0028273C" w:rsidRDefault="008E1B14" w:rsidP="008E1B14">
            <w:pPr>
              <w:keepNext/>
              <w:jc w:val="center"/>
              <w:rPr>
                <w:b/>
                <w:bCs/>
                <w:szCs w:val="22"/>
                <w:shd w:val="clear" w:color="auto" w:fill="FFFFFF"/>
                <w:lang w:val="cs-CZ"/>
              </w:rPr>
            </w:pPr>
            <w:r w:rsidRPr="0028273C">
              <w:rPr>
                <w:b/>
                <w:bCs/>
                <w:szCs w:val="22"/>
                <w:shd w:val="clear" w:color="auto" w:fill="FFFFFF"/>
                <w:lang w:val="cs-CZ"/>
              </w:rPr>
              <w:t>Pacienti ve věku ≥12 let</w:t>
            </w:r>
          </w:p>
          <w:p w14:paraId="5340AC70" w14:textId="77777777" w:rsidR="008E1B14" w:rsidRDefault="008E1B14" w:rsidP="008E1B14">
            <w:pPr>
              <w:keepNext/>
              <w:jc w:val="center"/>
              <w:rPr>
                <w:b/>
                <w:bCs/>
                <w:szCs w:val="22"/>
                <w:shd w:val="clear" w:color="auto" w:fill="FFFFFF"/>
                <w:lang w:val="cs-CZ"/>
              </w:rPr>
            </w:pPr>
            <w:r>
              <w:rPr>
                <w:b/>
                <w:bCs/>
                <w:szCs w:val="22"/>
                <w:shd w:val="clear" w:color="auto" w:fill="FFFFFF"/>
                <w:lang w:val="cs-CZ"/>
              </w:rPr>
              <w:t>n</w:t>
            </w:r>
            <w:r w:rsidRPr="0028273C">
              <w:rPr>
                <w:b/>
                <w:bCs/>
                <w:szCs w:val="22"/>
                <w:shd w:val="clear" w:color="auto" w:fill="FFFFFF"/>
                <w:lang w:val="cs-CZ"/>
              </w:rPr>
              <w:t>=22</w:t>
            </w:r>
          </w:p>
          <w:p w14:paraId="11D62BFD" w14:textId="05B071A4" w:rsidR="008E1B14" w:rsidRPr="0028273C" w:rsidRDefault="008E1B14" w:rsidP="008E1B14">
            <w:pPr>
              <w:keepNext/>
              <w:jc w:val="center"/>
              <w:rPr>
                <w:b/>
                <w:bCs/>
                <w:szCs w:val="22"/>
                <w:shd w:val="clear" w:color="auto" w:fill="FFFFFF"/>
                <w:lang w:val="cs-CZ"/>
              </w:rPr>
            </w:pPr>
            <w:r w:rsidRPr="00F37348">
              <w:rPr>
                <w:w w:val="105"/>
                <w:szCs w:val="22"/>
              </w:rPr>
              <w:t>PROTECT</w:t>
            </w:r>
            <w:r w:rsidR="00DB6986">
              <w:rPr>
                <w:w w:val="105"/>
                <w:szCs w:val="22"/>
              </w:rPr>
              <w:t> </w:t>
            </w:r>
            <w:r w:rsidRPr="00F37348">
              <w:rPr>
                <w:w w:val="105"/>
                <w:szCs w:val="22"/>
              </w:rPr>
              <w:t>VIII</w:t>
            </w:r>
          </w:p>
        </w:tc>
        <w:tc>
          <w:tcPr>
            <w:tcW w:w="3260" w:type="dxa"/>
            <w:tcBorders>
              <w:top w:val="single" w:sz="4" w:space="0" w:color="auto"/>
              <w:left w:val="single" w:sz="4" w:space="0" w:color="auto"/>
              <w:bottom w:val="single" w:sz="4" w:space="0" w:color="auto"/>
              <w:right w:val="single" w:sz="4" w:space="0" w:color="auto"/>
              <w:tl2br w:val="nil"/>
              <w:tr2bl w:val="nil"/>
            </w:tcBorders>
          </w:tcPr>
          <w:p w14:paraId="1D1B8038" w14:textId="77777777" w:rsidR="008E1B14" w:rsidRPr="00331C04" w:rsidRDefault="008E1B14" w:rsidP="008E1B14">
            <w:pPr>
              <w:keepNext/>
              <w:jc w:val="center"/>
              <w:rPr>
                <w:b/>
                <w:bCs/>
                <w:szCs w:val="22"/>
                <w:lang w:val="it-IT"/>
              </w:rPr>
            </w:pPr>
            <w:r w:rsidRPr="00331C04">
              <w:rPr>
                <w:b/>
                <w:bCs/>
                <w:szCs w:val="22"/>
                <w:lang w:val="it-IT"/>
              </w:rPr>
              <w:t>Jivi</w:t>
            </w:r>
          </w:p>
          <w:p w14:paraId="43129DF7" w14:textId="7E9345EE" w:rsidR="008E1B14" w:rsidRPr="00331C04" w:rsidRDefault="008E1B14" w:rsidP="008E1B14">
            <w:pPr>
              <w:keepNext/>
              <w:jc w:val="center"/>
              <w:rPr>
                <w:b/>
                <w:bCs/>
                <w:szCs w:val="22"/>
                <w:lang w:val="it-IT"/>
              </w:rPr>
            </w:pPr>
            <w:r w:rsidRPr="00331C04">
              <w:rPr>
                <w:b/>
                <w:bCs/>
                <w:szCs w:val="22"/>
                <w:lang w:val="it-IT"/>
              </w:rPr>
              <w:t>Pacienti ve věku 7 až</w:t>
            </w:r>
            <w:r w:rsidR="00DB6986" w:rsidRPr="00331C04">
              <w:rPr>
                <w:b/>
                <w:bCs/>
                <w:szCs w:val="22"/>
                <w:lang w:val="it-IT"/>
              </w:rPr>
              <w:t xml:space="preserve"> </w:t>
            </w:r>
            <w:r w:rsidRPr="00331C04">
              <w:rPr>
                <w:b/>
                <w:bCs/>
                <w:szCs w:val="22"/>
                <w:lang w:val="it-IT"/>
              </w:rPr>
              <w:t>&lt; 12 let</w:t>
            </w:r>
          </w:p>
          <w:p w14:paraId="3C42DA5B" w14:textId="6614AE2A" w:rsidR="008E1B14" w:rsidRDefault="008E1B14" w:rsidP="008E1B14">
            <w:pPr>
              <w:keepNext/>
              <w:jc w:val="center"/>
              <w:rPr>
                <w:b/>
                <w:bCs/>
                <w:szCs w:val="22"/>
              </w:rPr>
            </w:pPr>
            <w:r w:rsidRPr="0030458A">
              <w:rPr>
                <w:b/>
                <w:bCs/>
                <w:szCs w:val="22"/>
              </w:rPr>
              <w:t>n</w:t>
            </w:r>
            <w:r w:rsidR="00DB6986">
              <w:rPr>
                <w:b/>
                <w:bCs/>
                <w:szCs w:val="22"/>
              </w:rPr>
              <w:t> </w:t>
            </w:r>
            <w:r w:rsidRPr="0030458A">
              <w:rPr>
                <w:b/>
                <w:bCs/>
                <w:szCs w:val="22"/>
              </w:rPr>
              <w:t>=</w:t>
            </w:r>
            <w:r w:rsidR="00DB6986">
              <w:rPr>
                <w:b/>
                <w:bCs/>
                <w:szCs w:val="22"/>
              </w:rPr>
              <w:t> </w:t>
            </w:r>
            <w:r w:rsidRPr="0030458A">
              <w:rPr>
                <w:b/>
                <w:bCs/>
                <w:szCs w:val="22"/>
              </w:rPr>
              <w:t>12</w:t>
            </w:r>
          </w:p>
          <w:p w14:paraId="62635980" w14:textId="6BBFB5CA" w:rsidR="008E1B14" w:rsidRPr="0028273C" w:rsidRDefault="008E1B14" w:rsidP="008E1B14">
            <w:pPr>
              <w:keepNext/>
              <w:jc w:val="center"/>
              <w:rPr>
                <w:b/>
                <w:bCs/>
                <w:szCs w:val="22"/>
                <w:shd w:val="clear" w:color="auto" w:fill="FFFFFF"/>
                <w:lang w:val="cs-CZ"/>
              </w:rPr>
            </w:pPr>
            <w:r w:rsidRPr="00F37348">
              <w:rPr>
                <w:w w:val="105"/>
                <w:szCs w:val="22"/>
              </w:rPr>
              <w:t>PROTECT Kids</w:t>
            </w:r>
          </w:p>
        </w:tc>
      </w:tr>
      <w:tr w:rsidR="008E1B14" w:rsidRPr="0028273C" w14:paraId="06DBA2D4" w14:textId="5D5C35A6" w:rsidTr="0005661C">
        <w:trPr>
          <w:trHeight w:val="451"/>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375109FF" w14:textId="77777777" w:rsidR="008E1B14" w:rsidRPr="00C21F29" w:rsidRDefault="008E1B14" w:rsidP="008E1B14">
            <w:pPr>
              <w:keepNext/>
              <w:rPr>
                <w:b/>
                <w:szCs w:val="22"/>
                <w:lang w:val="cs-CZ"/>
              </w:rPr>
            </w:pPr>
            <w:r w:rsidRPr="00C21F29">
              <w:rPr>
                <w:b/>
                <w:szCs w:val="22"/>
                <w:lang w:val="cs-CZ"/>
              </w:rPr>
              <w:t>AUC (</w:t>
            </w:r>
            <w:proofErr w:type="spellStart"/>
            <w:r w:rsidRPr="00C21F29">
              <w:rPr>
                <w:b/>
                <w:szCs w:val="22"/>
                <w:lang w:val="cs-CZ"/>
              </w:rPr>
              <w:t>IU</w:t>
            </w:r>
            <w:r w:rsidRPr="0019480D">
              <w:rPr>
                <w:b/>
                <w:szCs w:val="22"/>
                <w:lang w:val="cs-CZ"/>
              </w:rPr>
              <w:t>.</w:t>
            </w:r>
            <w:r w:rsidRPr="00C21F29">
              <w:rPr>
                <w:b/>
                <w:szCs w:val="22"/>
                <w:lang w:val="cs-CZ"/>
              </w:rPr>
              <w:t>h</w:t>
            </w:r>
            <w:proofErr w:type="spellEnd"/>
            <w:r w:rsidRPr="00C21F29">
              <w:rPr>
                <w:b/>
                <w:szCs w:val="22"/>
                <w:lang w:val="cs-CZ"/>
              </w:rPr>
              <w:t>/dl)</w:t>
            </w:r>
          </w:p>
        </w:tc>
        <w:tc>
          <w:tcPr>
            <w:tcW w:w="3431" w:type="dxa"/>
            <w:tcBorders>
              <w:top w:val="single" w:sz="4" w:space="0" w:color="auto"/>
              <w:left w:val="single" w:sz="4" w:space="0" w:color="auto"/>
              <w:bottom w:val="single" w:sz="4" w:space="0" w:color="auto"/>
              <w:right w:val="single" w:sz="4" w:space="0" w:color="auto"/>
            </w:tcBorders>
            <w:shd w:val="clear" w:color="auto" w:fill="auto"/>
          </w:tcPr>
          <w:p w14:paraId="3AF93E66" w14:textId="053DBE8B" w:rsidR="008E1B14" w:rsidRPr="0028273C" w:rsidRDefault="008E1B14" w:rsidP="008E1B14">
            <w:pPr>
              <w:keepNext/>
              <w:jc w:val="center"/>
              <w:rPr>
                <w:szCs w:val="22"/>
                <w:lang w:val="cs-CZ"/>
              </w:rPr>
            </w:pPr>
            <w:r w:rsidRPr="0028273C">
              <w:rPr>
                <w:szCs w:val="22"/>
                <w:lang w:val="cs-CZ"/>
              </w:rPr>
              <w:t>3</w:t>
            </w:r>
            <w:r w:rsidR="00C75AFF">
              <w:t> </w:t>
            </w:r>
            <w:r w:rsidRPr="0028273C">
              <w:rPr>
                <w:szCs w:val="22"/>
                <w:lang w:val="cs-CZ"/>
              </w:rPr>
              <w:t>710 (33,8)</w:t>
            </w:r>
            <w:r w:rsidRPr="0028273C">
              <w:rPr>
                <w:szCs w:val="22"/>
                <w:lang w:val="cs-CZ"/>
              </w:rPr>
              <w:br/>
              <w:t>3</w:t>
            </w:r>
            <w:r w:rsidR="00C75AFF">
              <w:t> </w:t>
            </w:r>
            <w:r w:rsidRPr="0028273C">
              <w:rPr>
                <w:szCs w:val="22"/>
                <w:lang w:val="cs-CZ"/>
              </w:rPr>
              <w:t>900 ± 1280</w:t>
            </w:r>
          </w:p>
        </w:tc>
        <w:tc>
          <w:tcPr>
            <w:tcW w:w="3260" w:type="dxa"/>
            <w:tcBorders>
              <w:top w:val="single" w:sz="4" w:space="0" w:color="auto"/>
              <w:left w:val="single" w:sz="4" w:space="0" w:color="auto"/>
              <w:bottom w:val="single" w:sz="4" w:space="0" w:color="auto"/>
              <w:right w:val="single" w:sz="4" w:space="0" w:color="auto"/>
            </w:tcBorders>
          </w:tcPr>
          <w:p w14:paraId="34ADF354" w14:textId="4531D4CF" w:rsidR="008E1B14" w:rsidRPr="000314C4" w:rsidRDefault="008E1B14" w:rsidP="008E1B14">
            <w:pPr>
              <w:keepNext/>
              <w:jc w:val="center"/>
              <w:rPr>
                <w:szCs w:val="22"/>
              </w:rPr>
            </w:pPr>
            <w:r w:rsidRPr="0030458A">
              <w:t>2</w:t>
            </w:r>
            <w:r w:rsidR="00C75AFF">
              <w:t> </w:t>
            </w:r>
            <w:r w:rsidRPr="0030458A">
              <w:t>842 (20</w:t>
            </w:r>
            <w:r>
              <w:t>,</w:t>
            </w:r>
            <w:r w:rsidRPr="0030458A">
              <w:t>3)</w:t>
            </w:r>
          </w:p>
          <w:p w14:paraId="397423D1" w14:textId="1A653B1B" w:rsidR="008E1B14" w:rsidRPr="0028273C" w:rsidRDefault="008E1B14" w:rsidP="008E1B14">
            <w:pPr>
              <w:keepNext/>
              <w:jc w:val="center"/>
              <w:rPr>
                <w:szCs w:val="22"/>
                <w:lang w:val="cs-CZ"/>
              </w:rPr>
            </w:pPr>
            <w:r w:rsidRPr="0030458A">
              <w:t>2</w:t>
            </w:r>
            <w:r w:rsidR="00DB6986">
              <w:t> </w:t>
            </w:r>
            <w:r w:rsidRPr="0030458A">
              <w:t>892</w:t>
            </w:r>
            <w:r>
              <w:t>,</w:t>
            </w:r>
            <w:r w:rsidRPr="0030458A">
              <w:t>8</w:t>
            </w:r>
            <w:r w:rsidR="00DB6986">
              <w:t> </w:t>
            </w:r>
            <w:r w:rsidRPr="0030458A">
              <w:t>±</w:t>
            </w:r>
            <w:r w:rsidR="00DB6986">
              <w:t> </w:t>
            </w:r>
            <w:r w:rsidRPr="0030458A">
              <w:t>546</w:t>
            </w:r>
            <w:r>
              <w:t>,</w:t>
            </w:r>
            <w:r w:rsidRPr="0030458A">
              <w:t>83</w:t>
            </w:r>
          </w:p>
        </w:tc>
      </w:tr>
      <w:tr w:rsidR="008E1B14" w:rsidRPr="0028273C" w14:paraId="7A040FA5" w14:textId="7E119ECA" w:rsidTr="0005661C">
        <w:trPr>
          <w:trHeight w:val="451"/>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33025557" w14:textId="77777777" w:rsidR="008E1B14" w:rsidRPr="00C21F29" w:rsidRDefault="008E1B14" w:rsidP="008E1B14">
            <w:pPr>
              <w:keepNext/>
              <w:rPr>
                <w:b/>
                <w:szCs w:val="22"/>
                <w:lang w:val="cs-CZ"/>
              </w:rPr>
            </w:pPr>
            <w:r w:rsidRPr="00C21F29">
              <w:rPr>
                <w:b/>
                <w:szCs w:val="22"/>
                <w:lang w:val="cs-CZ"/>
              </w:rPr>
              <w:t xml:space="preserve">AUC, </w:t>
            </w:r>
            <w:proofErr w:type="spellStart"/>
            <w:r w:rsidRPr="00C21F29">
              <w:rPr>
                <w:b/>
                <w:szCs w:val="22"/>
                <w:lang w:val="cs-CZ"/>
              </w:rPr>
              <w:t>norm</w:t>
            </w:r>
            <w:proofErr w:type="spellEnd"/>
            <w:r w:rsidRPr="00C21F29">
              <w:rPr>
                <w:b/>
                <w:szCs w:val="22"/>
                <w:lang w:val="cs-CZ"/>
              </w:rPr>
              <w:t xml:space="preserve"> (</w:t>
            </w:r>
            <w:proofErr w:type="spellStart"/>
            <w:r w:rsidRPr="00FA63F2">
              <w:rPr>
                <w:b/>
                <w:szCs w:val="22"/>
                <w:lang w:val="cs-CZ"/>
              </w:rPr>
              <w:t>kg</w:t>
            </w:r>
            <w:r w:rsidRPr="0019480D">
              <w:rPr>
                <w:b/>
                <w:szCs w:val="22"/>
                <w:lang w:val="cs-CZ"/>
              </w:rPr>
              <w:t>.h</w:t>
            </w:r>
            <w:proofErr w:type="spellEnd"/>
            <w:r w:rsidRPr="00C21F29">
              <w:rPr>
                <w:b/>
                <w:szCs w:val="22"/>
                <w:lang w:val="cs-CZ"/>
              </w:rPr>
              <w:t>/dl)</w:t>
            </w:r>
          </w:p>
        </w:tc>
        <w:tc>
          <w:tcPr>
            <w:tcW w:w="3431" w:type="dxa"/>
            <w:tcBorders>
              <w:top w:val="single" w:sz="4" w:space="0" w:color="auto"/>
              <w:left w:val="single" w:sz="4" w:space="0" w:color="auto"/>
              <w:bottom w:val="single" w:sz="4" w:space="0" w:color="auto"/>
              <w:right w:val="single" w:sz="4" w:space="0" w:color="auto"/>
            </w:tcBorders>
            <w:shd w:val="clear" w:color="auto" w:fill="auto"/>
          </w:tcPr>
          <w:p w14:paraId="7B90B887" w14:textId="77777777" w:rsidR="008E1B14" w:rsidRPr="0028273C" w:rsidRDefault="008E1B14" w:rsidP="008E1B14">
            <w:pPr>
              <w:keepNext/>
              <w:jc w:val="center"/>
              <w:rPr>
                <w:szCs w:val="22"/>
                <w:lang w:val="cs-CZ"/>
              </w:rPr>
            </w:pPr>
            <w:r w:rsidRPr="0028273C">
              <w:rPr>
                <w:szCs w:val="22"/>
                <w:lang w:val="cs-CZ"/>
              </w:rPr>
              <w:t>62,5 (33,7)</w:t>
            </w:r>
            <w:r w:rsidRPr="0028273C">
              <w:rPr>
                <w:szCs w:val="22"/>
                <w:lang w:val="cs-CZ"/>
              </w:rPr>
              <w:br/>
              <w:t>65,7 ± 21,4</w:t>
            </w:r>
          </w:p>
        </w:tc>
        <w:tc>
          <w:tcPr>
            <w:tcW w:w="3260" w:type="dxa"/>
            <w:tcBorders>
              <w:top w:val="single" w:sz="4" w:space="0" w:color="auto"/>
              <w:left w:val="single" w:sz="4" w:space="0" w:color="auto"/>
              <w:bottom w:val="single" w:sz="4" w:space="0" w:color="auto"/>
              <w:right w:val="single" w:sz="4" w:space="0" w:color="auto"/>
            </w:tcBorders>
          </w:tcPr>
          <w:p w14:paraId="5093E87D" w14:textId="00350CE0" w:rsidR="008E1B14" w:rsidRPr="000314C4" w:rsidRDefault="008E1B14" w:rsidP="008E1B14">
            <w:pPr>
              <w:keepNext/>
              <w:jc w:val="center"/>
              <w:rPr>
                <w:szCs w:val="22"/>
              </w:rPr>
            </w:pPr>
            <w:r w:rsidRPr="0030458A">
              <w:rPr>
                <w:szCs w:val="22"/>
              </w:rPr>
              <w:t>47</w:t>
            </w:r>
            <w:r>
              <w:rPr>
                <w:szCs w:val="22"/>
              </w:rPr>
              <w:t>,</w:t>
            </w:r>
            <w:r w:rsidRPr="0030458A">
              <w:rPr>
                <w:szCs w:val="22"/>
              </w:rPr>
              <w:t>5 (19</w:t>
            </w:r>
            <w:r>
              <w:rPr>
                <w:szCs w:val="22"/>
              </w:rPr>
              <w:t>,</w:t>
            </w:r>
            <w:r w:rsidRPr="0030458A">
              <w:rPr>
                <w:szCs w:val="22"/>
              </w:rPr>
              <w:t>6)</w:t>
            </w:r>
          </w:p>
          <w:p w14:paraId="7FC3A931" w14:textId="1A3206FF" w:rsidR="008E1B14" w:rsidRPr="0028273C" w:rsidRDefault="008E1B14" w:rsidP="008E1B14">
            <w:pPr>
              <w:keepNext/>
              <w:jc w:val="center"/>
              <w:rPr>
                <w:szCs w:val="22"/>
                <w:lang w:val="cs-CZ"/>
              </w:rPr>
            </w:pPr>
            <w:r w:rsidRPr="0030458A">
              <w:rPr>
                <w:szCs w:val="22"/>
              </w:rPr>
              <w:t>48</w:t>
            </w:r>
            <w:r>
              <w:rPr>
                <w:szCs w:val="22"/>
              </w:rPr>
              <w:t>,</w:t>
            </w:r>
            <w:r w:rsidRPr="0030458A">
              <w:rPr>
                <w:szCs w:val="22"/>
              </w:rPr>
              <w:t>3</w:t>
            </w:r>
            <w:r w:rsidR="00DB6986">
              <w:rPr>
                <w:szCs w:val="22"/>
              </w:rPr>
              <w:t> </w:t>
            </w:r>
            <w:r w:rsidRPr="0030458A">
              <w:rPr>
                <w:szCs w:val="22"/>
              </w:rPr>
              <w:t>±</w:t>
            </w:r>
            <w:r w:rsidR="00DB6986">
              <w:rPr>
                <w:szCs w:val="22"/>
              </w:rPr>
              <w:t> </w:t>
            </w:r>
            <w:r w:rsidRPr="0030458A">
              <w:rPr>
                <w:szCs w:val="22"/>
              </w:rPr>
              <w:t>8</w:t>
            </w:r>
            <w:r>
              <w:rPr>
                <w:szCs w:val="22"/>
              </w:rPr>
              <w:t>,</w:t>
            </w:r>
            <w:r w:rsidRPr="0030458A">
              <w:rPr>
                <w:szCs w:val="22"/>
              </w:rPr>
              <w:t>9</w:t>
            </w:r>
          </w:p>
        </w:tc>
      </w:tr>
      <w:tr w:rsidR="008E1B14" w:rsidRPr="0028273C" w14:paraId="083213DD" w14:textId="45245035" w:rsidTr="0005661C">
        <w:trPr>
          <w:trHeight w:val="451"/>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08D92FD8" w14:textId="77777777" w:rsidR="008E1B14" w:rsidRPr="0028273C" w:rsidRDefault="008E1B14" w:rsidP="008E1B14">
            <w:pPr>
              <w:keepNext/>
              <w:rPr>
                <w:b/>
                <w:szCs w:val="22"/>
                <w:lang w:val="cs-CZ"/>
              </w:rPr>
            </w:pPr>
            <w:proofErr w:type="spellStart"/>
            <w:r w:rsidRPr="0028273C">
              <w:rPr>
                <w:b/>
                <w:szCs w:val="22"/>
                <w:lang w:val="cs-CZ"/>
              </w:rPr>
              <w:t>C</w:t>
            </w:r>
            <w:r w:rsidRPr="0028273C">
              <w:rPr>
                <w:b/>
                <w:szCs w:val="22"/>
                <w:vertAlign w:val="subscript"/>
                <w:lang w:val="cs-CZ"/>
              </w:rPr>
              <w:t>max</w:t>
            </w:r>
            <w:proofErr w:type="spellEnd"/>
            <w:r w:rsidRPr="0028273C">
              <w:rPr>
                <w:b/>
                <w:szCs w:val="22"/>
                <w:lang w:val="cs-CZ"/>
              </w:rPr>
              <w:t xml:space="preserve"> (IU/dl)</w:t>
            </w:r>
          </w:p>
        </w:tc>
        <w:tc>
          <w:tcPr>
            <w:tcW w:w="3431" w:type="dxa"/>
            <w:tcBorders>
              <w:top w:val="single" w:sz="4" w:space="0" w:color="auto"/>
              <w:left w:val="single" w:sz="4" w:space="0" w:color="auto"/>
              <w:bottom w:val="single" w:sz="4" w:space="0" w:color="auto"/>
              <w:right w:val="single" w:sz="4" w:space="0" w:color="auto"/>
            </w:tcBorders>
            <w:shd w:val="clear" w:color="auto" w:fill="auto"/>
          </w:tcPr>
          <w:p w14:paraId="0F0D3189" w14:textId="77777777" w:rsidR="008E1B14" w:rsidRPr="0028273C" w:rsidRDefault="008E1B14" w:rsidP="008E1B14">
            <w:pPr>
              <w:keepNext/>
              <w:jc w:val="center"/>
              <w:rPr>
                <w:szCs w:val="22"/>
                <w:lang w:val="cs-CZ"/>
              </w:rPr>
            </w:pPr>
            <w:r w:rsidRPr="0028273C">
              <w:rPr>
                <w:szCs w:val="22"/>
                <w:lang w:val="cs-CZ"/>
              </w:rPr>
              <w:t>163 (14,7)</w:t>
            </w:r>
            <w:r w:rsidRPr="0028273C">
              <w:rPr>
                <w:szCs w:val="22"/>
                <w:lang w:val="cs-CZ"/>
              </w:rPr>
              <w:br/>
              <w:t>164 ± 23,8</w:t>
            </w:r>
          </w:p>
        </w:tc>
        <w:tc>
          <w:tcPr>
            <w:tcW w:w="3260" w:type="dxa"/>
            <w:tcBorders>
              <w:top w:val="single" w:sz="4" w:space="0" w:color="auto"/>
              <w:left w:val="single" w:sz="4" w:space="0" w:color="auto"/>
              <w:bottom w:val="single" w:sz="4" w:space="0" w:color="auto"/>
              <w:right w:val="single" w:sz="4" w:space="0" w:color="auto"/>
            </w:tcBorders>
          </w:tcPr>
          <w:p w14:paraId="33EE73BC" w14:textId="1C23EB44" w:rsidR="008E1B14" w:rsidRPr="000314C4" w:rsidRDefault="008E1B14" w:rsidP="008E1B14">
            <w:pPr>
              <w:keepNext/>
              <w:jc w:val="center"/>
              <w:rPr>
                <w:szCs w:val="22"/>
              </w:rPr>
            </w:pPr>
            <w:r w:rsidRPr="0030458A">
              <w:t>128 (19</w:t>
            </w:r>
            <w:r>
              <w:t>,</w:t>
            </w:r>
            <w:r w:rsidRPr="0030458A">
              <w:t>9)</w:t>
            </w:r>
          </w:p>
          <w:p w14:paraId="4F8CDC37" w14:textId="1F024CA6" w:rsidR="008E1B14" w:rsidRPr="0028273C" w:rsidRDefault="008E1B14" w:rsidP="008E1B14">
            <w:pPr>
              <w:keepNext/>
              <w:jc w:val="center"/>
              <w:rPr>
                <w:szCs w:val="22"/>
                <w:lang w:val="cs-CZ"/>
              </w:rPr>
            </w:pPr>
            <w:r w:rsidRPr="0030458A">
              <w:t>130</w:t>
            </w:r>
            <w:r w:rsidR="00DB6986">
              <w:t> </w:t>
            </w:r>
            <w:r w:rsidRPr="0030458A">
              <w:t>±</w:t>
            </w:r>
            <w:r w:rsidR="00DB6986">
              <w:t> </w:t>
            </w:r>
            <w:r w:rsidRPr="0030458A">
              <w:t>25</w:t>
            </w:r>
            <w:r>
              <w:t>,</w:t>
            </w:r>
            <w:r w:rsidRPr="0030458A">
              <w:t>0</w:t>
            </w:r>
          </w:p>
        </w:tc>
      </w:tr>
      <w:tr w:rsidR="008E1B14" w:rsidRPr="0028273C" w14:paraId="54BA2C42" w14:textId="51588D9F" w:rsidTr="0005661C">
        <w:trPr>
          <w:trHeight w:val="451"/>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0430B684" w14:textId="77777777" w:rsidR="008E1B14" w:rsidRPr="0028273C" w:rsidRDefault="008E1B14" w:rsidP="008E1B14">
            <w:pPr>
              <w:keepNext/>
              <w:rPr>
                <w:b/>
                <w:szCs w:val="22"/>
                <w:lang w:val="cs-CZ"/>
              </w:rPr>
            </w:pPr>
            <w:r w:rsidRPr="0028273C">
              <w:rPr>
                <w:b/>
                <w:szCs w:val="22"/>
                <w:lang w:val="cs-CZ"/>
              </w:rPr>
              <w:t>t</w:t>
            </w:r>
            <w:r w:rsidRPr="0028273C">
              <w:rPr>
                <w:b/>
                <w:szCs w:val="22"/>
                <w:vertAlign w:val="subscript"/>
                <w:lang w:val="cs-CZ"/>
              </w:rPr>
              <w:t>½</w:t>
            </w:r>
            <w:r w:rsidRPr="0028273C">
              <w:rPr>
                <w:b/>
                <w:szCs w:val="22"/>
                <w:lang w:val="cs-CZ"/>
              </w:rPr>
              <w:t xml:space="preserve"> (h)</w:t>
            </w:r>
          </w:p>
        </w:tc>
        <w:tc>
          <w:tcPr>
            <w:tcW w:w="3431" w:type="dxa"/>
            <w:tcBorders>
              <w:top w:val="single" w:sz="4" w:space="0" w:color="auto"/>
              <w:left w:val="single" w:sz="4" w:space="0" w:color="auto"/>
              <w:bottom w:val="single" w:sz="4" w:space="0" w:color="auto"/>
              <w:right w:val="single" w:sz="4" w:space="0" w:color="auto"/>
            </w:tcBorders>
            <w:shd w:val="clear" w:color="auto" w:fill="auto"/>
          </w:tcPr>
          <w:p w14:paraId="5BD6A664" w14:textId="77777777" w:rsidR="008E1B14" w:rsidRPr="0028273C" w:rsidRDefault="008E1B14" w:rsidP="008E1B14">
            <w:pPr>
              <w:keepNext/>
              <w:jc w:val="center"/>
              <w:rPr>
                <w:szCs w:val="22"/>
                <w:lang w:val="cs-CZ"/>
              </w:rPr>
            </w:pPr>
            <w:r w:rsidRPr="0028273C">
              <w:rPr>
                <w:szCs w:val="22"/>
                <w:lang w:val="cs-CZ"/>
              </w:rPr>
              <w:t>17,1 (27,1)</w:t>
            </w:r>
            <w:r w:rsidRPr="0028273C">
              <w:rPr>
                <w:szCs w:val="22"/>
                <w:lang w:val="cs-CZ"/>
              </w:rPr>
              <w:br/>
              <w:t>17,6 ± 4,26</w:t>
            </w:r>
          </w:p>
        </w:tc>
        <w:tc>
          <w:tcPr>
            <w:tcW w:w="3260" w:type="dxa"/>
            <w:tcBorders>
              <w:top w:val="single" w:sz="4" w:space="0" w:color="auto"/>
              <w:left w:val="single" w:sz="4" w:space="0" w:color="auto"/>
              <w:bottom w:val="single" w:sz="4" w:space="0" w:color="auto"/>
              <w:right w:val="single" w:sz="4" w:space="0" w:color="auto"/>
            </w:tcBorders>
          </w:tcPr>
          <w:p w14:paraId="2B112B03" w14:textId="1585790F" w:rsidR="008E1B14" w:rsidRPr="000314C4" w:rsidRDefault="008E1B14" w:rsidP="008E1B14">
            <w:pPr>
              <w:keepNext/>
              <w:jc w:val="center"/>
              <w:rPr>
                <w:szCs w:val="22"/>
              </w:rPr>
            </w:pPr>
            <w:r w:rsidRPr="0030458A">
              <w:t>15</w:t>
            </w:r>
            <w:r>
              <w:t>,</w:t>
            </w:r>
            <w:r w:rsidRPr="0030458A">
              <w:t>6 (23</w:t>
            </w:r>
            <w:r>
              <w:t>,</w:t>
            </w:r>
            <w:r w:rsidRPr="0030458A">
              <w:t>5)</w:t>
            </w:r>
          </w:p>
          <w:p w14:paraId="2A220E06" w14:textId="6E4127C6" w:rsidR="008E1B14" w:rsidRPr="0028273C" w:rsidRDefault="008E1B14" w:rsidP="008E1B14">
            <w:pPr>
              <w:keepNext/>
              <w:jc w:val="center"/>
              <w:rPr>
                <w:szCs w:val="22"/>
                <w:lang w:val="cs-CZ"/>
              </w:rPr>
            </w:pPr>
            <w:r w:rsidRPr="0030458A">
              <w:t>16</w:t>
            </w:r>
            <w:r>
              <w:t>,</w:t>
            </w:r>
            <w:r w:rsidRPr="0030458A">
              <w:t>0</w:t>
            </w:r>
            <w:r w:rsidR="00DB6986">
              <w:t> </w:t>
            </w:r>
            <w:r w:rsidRPr="0030458A">
              <w:t>±</w:t>
            </w:r>
            <w:r w:rsidR="00DB6986">
              <w:t> </w:t>
            </w:r>
            <w:r w:rsidRPr="0030458A">
              <w:t>3</w:t>
            </w:r>
            <w:r>
              <w:t>,</w:t>
            </w:r>
            <w:r w:rsidRPr="0030458A">
              <w:t>6</w:t>
            </w:r>
          </w:p>
        </w:tc>
      </w:tr>
      <w:tr w:rsidR="008E1B14" w:rsidRPr="0028273C" w14:paraId="21B45E57" w14:textId="5BFDC585" w:rsidTr="0005661C">
        <w:trPr>
          <w:trHeight w:val="465"/>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0540C954" w14:textId="77777777" w:rsidR="008E1B14" w:rsidRPr="0028273C" w:rsidRDefault="008E1B14" w:rsidP="008E1B14">
            <w:pPr>
              <w:keepNext/>
              <w:rPr>
                <w:b/>
                <w:szCs w:val="22"/>
                <w:lang w:val="cs-CZ"/>
              </w:rPr>
            </w:pPr>
            <w:r w:rsidRPr="0028273C">
              <w:rPr>
                <w:b/>
                <w:szCs w:val="22"/>
                <w:lang w:val="cs-CZ"/>
              </w:rPr>
              <w:t>MRT</w:t>
            </w:r>
            <w:r w:rsidRPr="00124755">
              <w:rPr>
                <w:b/>
                <w:szCs w:val="22"/>
                <w:vertAlign w:val="subscript"/>
                <w:lang w:val="cs-CZ"/>
              </w:rPr>
              <w:t>IV</w:t>
            </w:r>
            <w:r w:rsidRPr="0028273C">
              <w:rPr>
                <w:b/>
                <w:szCs w:val="22"/>
                <w:lang w:val="cs-CZ"/>
              </w:rPr>
              <w:t xml:space="preserve"> (h)</w:t>
            </w:r>
          </w:p>
        </w:tc>
        <w:tc>
          <w:tcPr>
            <w:tcW w:w="3431" w:type="dxa"/>
            <w:tcBorders>
              <w:top w:val="single" w:sz="4" w:space="0" w:color="auto"/>
              <w:left w:val="single" w:sz="4" w:space="0" w:color="auto"/>
              <w:bottom w:val="single" w:sz="4" w:space="0" w:color="auto"/>
              <w:right w:val="single" w:sz="4" w:space="0" w:color="auto"/>
            </w:tcBorders>
            <w:shd w:val="clear" w:color="auto" w:fill="auto"/>
          </w:tcPr>
          <w:p w14:paraId="21785DD4" w14:textId="77777777" w:rsidR="008E1B14" w:rsidRPr="0028273C" w:rsidRDefault="008E1B14" w:rsidP="008E1B14">
            <w:pPr>
              <w:keepNext/>
              <w:jc w:val="center"/>
              <w:rPr>
                <w:szCs w:val="22"/>
                <w:lang w:val="cs-CZ"/>
              </w:rPr>
            </w:pPr>
            <w:r w:rsidRPr="0028273C">
              <w:rPr>
                <w:szCs w:val="22"/>
                <w:lang w:val="cs-CZ"/>
              </w:rPr>
              <w:t>24,4 (27,5)</w:t>
            </w:r>
            <w:r w:rsidRPr="0028273C">
              <w:rPr>
                <w:szCs w:val="22"/>
                <w:lang w:val="cs-CZ"/>
              </w:rPr>
              <w:br/>
              <w:t>25,2 ± 6,19</w:t>
            </w:r>
          </w:p>
        </w:tc>
        <w:tc>
          <w:tcPr>
            <w:tcW w:w="3260" w:type="dxa"/>
            <w:tcBorders>
              <w:top w:val="single" w:sz="4" w:space="0" w:color="auto"/>
              <w:left w:val="single" w:sz="4" w:space="0" w:color="auto"/>
              <w:bottom w:val="single" w:sz="4" w:space="0" w:color="auto"/>
              <w:right w:val="single" w:sz="4" w:space="0" w:color="auto"/>
            </w:tcBorders>
          </w:tcPr>
          <w:p w14:paraId="7A0E2090" w14:textId="47501787" w:rsidR="008E1B14" w:rsidRPr="000314C4" w:rsidRDefault="008E1B14" w:rsidP="008E1B14">
            <w:pPr>
              <w:keepNext/>
              <w:jc w:val="center"/>
              <w:rPr>
                <w:szCs w:val="22"/>
              </w:rPr>
            </w:pPr>
            <w:r w:rsidRPr="0030458A">
              <w:t>23</w:t>
            </w:r>
            <w:r>
              <w:t>,</w:t>
            </w:r>
            <w:r w:rsidRPr="0030458A">
              <w:t>5 (24</w:t>
            </w:r>
            <w:r>
              <w:t>,</w:t>
            </w:r>
            <w:r w:rsidRPr="0030458A">
              <w:t>4)</w:t>
            </w:r>
          </w:p>
          <w:p w14:paraId="23B0BA39" w14:textId="18EF37A1" w:rsidR="008E1B14" w:rsidRPr="0028273C" w:rsidRDefault="008E1B14" w:rsidP="008E1B14">
            <w:pPr>
              <w:keepNext/>
              <w:jc w:val="center"/>
              <w:rPr>
                <w:szCs w:val="22"/>
                <w:lang w:val="cs-CZ"/>
              </w:rPr>
            </w:pPr>
            <w:r w:rsidRPr="0030458A">
              <w:t>24</w:t>
            </w:r>
            <w:r>
              <w:t>,</w:t>
            </w:r>
            <w:r w:rsidRPr="0030458A">
              <w:t>2</w:t>
            </w:r>
            <w:r w:rsidR="00DB6986">
              <w:t> </w:t>
            </w:r>
            <w:r w:rsidRPr="0030458A">
              <w:t>±</w:t>
            </w:r>
            <w:r w:rsidR="00DB6986">
              <w:t> </w:t>
            </w:r>
            <w:r w:rsidRPr="0030458A">
              <w:t>5</w:t>
            </w:r>
            <w:r>
              <w:t>,</w:t>
            </w:r>
            <w:r w:rsidRPr="0030458A">
              <w:t>7</w:t>
            </w:r>
          </w:p>
        </w:tc>
      </w:tr>
      <w:tr w:rsidR="008E1B14" w:rsidRPr="0028273C" w14:paraId="2A7B9121" w14:textId="64F732B5" w:rsidTr="0005661C">
        <w:trPr>
          <w:trHeight w:val="465"/>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1F93FEA8" w14:textId="77777777" w:rsidR="008E1B14" w:rsidRPr="0028273C" w:rsidRDefault="008E1B14" w:rsidP="008E1B14">
            <w:pPr>
              <w:keepNext/>
              <w:rPr>
                <w:b/>
                <w:szCs w:val="22"/>
                <w:lang w:val="cs-CZ"/>
              </w:rPr>
            </w:pPr>
            <w:proofErr w:type="spellStart"/>
            <w:r w:rsidRPr="0028273C">
              <w:rPr>
                <w:b/>
                <w:szCs w:val="22"/>
                <w:lang w:val="cs-CZ"/>
              </w:rPr>
              <w:t>V</w:t>
            </w:r>
            <w:r w:rsidRPr="0028273C">
              <w:rPr>
                <w:b/>
                <w:szCs w:val="22"/>
                <w:vertAlign w:val="subscript"/>
                <w:lang w:val="cs-CZ"/>
              </w:rPr>
              <w:t>ss</w:t>
            </w:r>
            <w:proofErr w:type="spellEnd"/>
            <w:r w:rsidRPr="0028273C">
              <w:rPr>
                <w:b/>
                <w:szCs w:val="22"/>
                <w:lang w:val="cs-CZ"/>
              </w:rPr>
              <w:t xml:space="preserve"> (dl/kg)</w:t>
            </w:r>
          </w:p>
        </w:tc>
        <w:tc>
          <w:tcPr>
            <w:tcW w:w="3431" w:type="dxa"/>
            <w:tcBorders>
              <w:top w:val="single" w:sz="4" w:space="0" w:color="auto"/>
              <w:left w:val="single" w:sz="4" w:space="0" w:color="auto"/>
              <w:bottom w:val="single" w:sz="4" w:space="0" w:color="auto"/>
              <w:right w:val="single" w:sz="4" w:space="0" w:color="auto"/>
            </w:tcBorders>
            <w:shd w:val="clear" w:color="auto" w:fill="auto"/>
          </w:tcPr>
          <w:p w14:paraId="0B9D3EB6" w14:textId="77777777" w:rsidR="008E1B14" w:rsidRPr="0028273C" w:rsidRDefault="008E1B14" w:rsidP="008E1B14">
            <w:pPr>
              <w:keepNext/>
              <w:jc w:val="center"/>
              <w:rPr>
                <w:szCs w:val="22"/>
                <w:lang w:val="cs-CZ"/>
              </w:rPr>
            </w:pPr>
            <w:r w:rsidRPr="0028273C">
              <w:rPr>
                <w:szCs w:val="22"/>
                <w:lang w:val="cs-CZ"/>
              </w:rPr>
              <w:t>0,391 (16,3)</w:t>
            </w:r>
            <w:r w:rsidRPr="0028273C">
              <w:rPr>
                <w:szCs w:val="22"/>
                <w:lang w:val="cs-CZ"/>
              </w:rPr>
              <w:br/>
              <w:t>0,396 ± 0,0631</w:t>
            </w:r>
          </w:p>
        </w:tc>
        <w:tc>
          <w:tcPr>
            <w:tcW w:w="3260" w:type="dxa"/>
            <w:tcBorders>
              <w:top w:val="single" w:sz="4" w:space="0" w:color="auto"/>
              <w:left w:val="single" w:sz="4" w:space="0" w:color="auto"/>
              <w:bottom w:val="single" w:sz="4" w:space="0" w:color="auto"/>
              <w:right w:val="single" w:sz="4" w:space="0" w:color="auto"/>
            </w:tcBorders>
          </w:tcPr>
          <w:p w14:paraId="387F9ECF" w14:textId="4D4EB35E" w:rsidR="008E1B14" w:rsidRPr="000314C4" w:rsidRDefault="008E1B14" w:rsidP="008E1B14">
            <w:pPr>
              <w:keepNext/>
              <w:jc w:val="center"/>
              <w:rPr>
                <w:szCs w:val="22"/>
              </w:rPr>
            </w:pPr>
            <w:r w:rsidRPr="0030458A">
              <w:rPr>
                <w:szCs w:val="22"/>
              </w:rPr>
              <w:t>0</w:t>
            </w:r>
            <w:r>
              <w:rPr>
                <w:szCs w:val="22"/>
              </w:rPr>
              <w:t>,</w:t>
            </w:r>
            <w:r w:rsidRPr="0030458A">
              <w:rPr>
                <w:szCs w:val="22"/>
              </w:rPr>
              <w:t>496 (20</w:t>
            </w:r>
            <w:r>
              <w:rPr>
                <w:szCs w:val="22"/>
              </w:rPr>
              <w:t>,</w:t>
            </w:r>
            <w:r w:rsidRPr="0030458A">
              <w:rPr>
                <w:szCs w:val="22"/>
              </w:rPr>
              <w:t>2)</w:t>
            </w:r>
          </w:p>
          <w:p w14:paraId="634930BD" w14:textId="441CD380" w:rsidR="008E1B14" w:rsidRPr="0028273C" w:rsidRDefault="008E1B14" w:rsidP="008E1B14">
            <w:pPr>
              <w:keepNext/>
              <w:jc w:val="center"/>
              <w:rPr>
                <w:szCs w:val="22"/>
                <w:lang w:val="cs-CZ"/>
              </w:rPr>
            </w:pPr>
            <w:r w:rsidRPr="0030458A">
              <w:rPr>
                <w:szCs w:val="22"/>
              </w:rPr>
              <w:t>0</w:t>
            </w:r>
            <w:r>
              <w:rPr>
                <w:szCs w:val="22"/>
              </w:rPr>
              <w:t>,</w:t>
            </w:r>
            <w:r w:rsidRPr="0030458A">
              <w:rPr>
                <w:szCs w:val="22"/>
              </w:rPr>
              <w:t>505</w:t>
            </w:r>
            <w:r w:rsidR="00DB6986">
              <w:rPr>
                <w:szCs w:val="22"/>
              </w:rPr>
              <w:t> </w:t>
            </w:r>
            <w:r w:rsidRPr="0030458A">
              <w:rPr>
                <w:szCs w:val="22"/>
              </w:rPr>
              <w:t>±</w:t>
            </w:r>
            <w:r w:rsidR="00DB6986">
              <w:rPr>
                <w:szCs w:val="22"/>
              </w:rPr>
              <w:t> </w:t>
            </w:r>
            <w:r w:rsidRPr="0030458A">
              <w:rPr>
                <w:szCs w:val="22"/>
              </w:rPr>
              <w:t>0</w:t>
            </w:r>
            <w:r>
              <w:rPr>
                <w:szCs w:val="22"/>
              </w:rPr>
              <w:t>,</w:t>
            </w:r>
            <w:r w:rsidRPr="0030458A">
              <w:rPr>
                <w:szCs w:val="22"/>
              </w:rPr>
              <w:t>099</w:t>
            </w:r>
          </w:p>
        </w:tc>
      </w:tr>
      <w:tr w:rsidR="008E1B14" w:rsidRPr="0028273C" w14:paraId="744EC903" w14:textId="7F3A0660" w:rsidTr="0005661C">
        <w:trPr>
          <w:trHeight w:val="465"/>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617B5DA0" w14:textId="77777777" w:rsidR="008E1B14" w:rsidRPr="0028273C" w:rsidRDefault="008E1B14" w:rsidP="008E1B14">
            <w:pPr>
              <w:keepNext/>
              <w:rPr>
                <w:b/>
                <w:szCs w:val="22"/>
                <w:lang w:val="cs-CZ"/>
              </w:rPr>
            </w:pPr>
            <w:r w:rsidRPr="0028273C">
              <w:rPr>
                <w:b/>
                <w:szCs w:val="22"/>
                <w:lang w:val="cs-CZ"/>
              </w:rPr>
              <w:t>CL (dl/h/kg)</w:t>
            </w:r>
          </w:p>
        </w:tc>
        <w:tc>
          <w:tcPr>
            <w:tcW w:w="3431" w:type="dxa"/>
            <w:tcBorders>
              <w:top w:val="single" w:sz="4" w:space="0" w:color="auto"/>
              <w:left w:val="single" w:sz="4" w:space="0" w:color="auto"/>
              <w:bottom w:val="single" w:sz="4" w:space="0" w:color="auto"/>
              <w:right w:val="single" w:sz="4" w:space="0" w:color="auto"/>
            </w:tcBorders>
            <w:shd w:val="clear" w:color="auto" w:fill="auto"/>
          </w:tcPr>
          <w:p w14:paraId="54C3BDA2" w14:textId="77777777" w:rsidR="008E1B14" w:rsidRPr="0028273C" w:rsidRDefault="008E1B14" w:rsidP="008E1B14">
            <w:pPr>
              <w:keepNext/>
              <w:jc w:val="center"/>
              <w:rPr>
                <w:szCs w:val="22"/>
                <w:lang w:val="cs-CZ"/>
              </w:rPr>
            </w:pPr>
            <w:r w:rsidRPr="0028273C">
              <w:rPr>
                <w:szCs w:val="22"/>
                <w:lang w:val="cs-CZ"/>
              </w:rPr>
              <w:t>0,0160 (33,7)</w:t>
            </w:r>
            <w:r w:rsidRPr="0028273C">
              <w:rPr>
                <w:szCs w:val="22"/>
                <w:lang w:val="cs-CZ"/>
              </w:rPr>
              <w:br/>
              <w:t>0,0168 ± 0,00553</w:t>
            </w:r>
          </w:p>
        </w:tc>
        <w:tc>
          <w:tcPr>
            <w:tcW w:w="3260" w:type="dxa"/>
            <w:tcBorders>
              <w:top w:val="single" w:sz="4" w:space="0" w:color="auto"/>
              <w:left w:val="single" w:sz="4" w:space="0" w:color="auto"/>
              <w:bottom w:val="single" w:sz="4" w:space="0" w:color="auto"/>
              <w:right w:val="single" w:sz="4" w:space="0" w:color="auto"/>
            </w:tcBorders>
          </w:tcPr>
          <w:p w14:paraId="710B9828" w14:textId="58AE5EC8" w:rsidR="008E1B14" w:rsidRPr="000314C4" w:rsidRDefault="008E1B14" w:rsidP="008E1B14">
            <w:pPr>
              <w:keepNext/>
              <w:jc w:val="center"/>
              <w:rPr>
                <w:szCs w:val="22"/>
              </w:rPr>
            </w:pPr>
            <w:r w:rsidRPr="0030458A">
              <w:rPr>
                <w:szCs w:val="22"/>
              </w:rPr>
              <w:t>0</w:t>
            </w:r>
            <w:r>
              <w:rPr>
                <w:szCs w:val="22"/>
              </w:rPr>
              <w:t>,</w:t>
            </w:r>
            <w:r w:rsidRPr="0030458A">
              <w:rPr>
                <w:szCs w:val="22"/>
              </w:rPr>
              <w:t>0211 (19</w:t>
            </w:r>
            <w:r>
              <w:rPr>
                <w:szCs w:val="22"/>
              </w:rPr>
              <w:t>,</w:t>
            </w:r>
            <w:r w:rsidRPr="0030458A">
              <w:rPr>
                <w:szCs w:val="22"/>
              </w:rPr>
              <w:t>6)</w:t>
            </w:r>
          </w:p>
          <w:p w14:paraId="6358629A" w14:textId="3A2E4525" w:rsidR="008E1B14" w:rsidRPr="0028273C" w:rsidRDefault="008E1B14" w:rsidP="008E1B14">
            <w:pPr>
              <w:keepNext/>
              <w:jc w:val="center"/>
              <w:rPr>
                <w:szCs w:val="22"/>
                <w:lang w:val="cs-CZ"/>
              </w:rPr>
            </w:pPr>
            <w:r w:rsidRPr="0030458A">
              <w:rPr>
                <w:szCs w:val="22"/>
              </w:rPr>
              <w:t>0</w:t>
            </w:r>
            <w:r>
              <w:rPr>
                <w:szCs w:val="22"/>
              </w:rPr>
              <w:t>,</w:t>
            </w:r>
            <w:r w:rsidRPr="0030458A">
              <w:rPr>
                <w:szCs w:val="22"/>
              </w:rPr>
              <w:t>0214</w:t>
            </w:r>
            <w:r w:rsidR="00DB6986">
              <w:rPr>
                <w:szCs w:val="22"/>
              </w:rPr>
              <w:t> </w:t>
            </w:r>
            <w:r w:rsidRPr="0030458A">
              <w:rPr>
                <w:szCs w:val="22"/>
              </w:rPr>
              <w:t>±</w:t>
            </w:r>
            <w:r w:rsidR="00DB6986">
              <w:rPr>
                <w:szCs w:val="22"/>
              </w:rPr>
              <w:t> </w:t>
            </w:r>
            <w:r w:rsidRPr="0030458A">
              <w:rPr>
                <w:szCs w:val="22"/>
              </w:rPr>
              <w:t>0</w:t>
            </w:r>
            <w:r>
              <w:rPr>
                <w:szCs w:val="22"/>
              </w:rPr>
              <w:t>,</w:t>
            </w:r>
            <w:r w:rsidRPr="0030458A">
              <w:rPr>
                <w:szCs w:val="22"/>
              </w:rPr>
              <w:t>00433</w:t>
            </w:r>
          </w:p>
        </w:tc>
      </w:tr>
    </w:tbl>
    <w:p w14:paraId="63EB7A51" w14:textId="77777777" w:rsidR="00105230" w:rsidRDefault="005A51A7" w:rsidP="00735457">
      <w:pPr>
        <w:pStyle w:val="BayerBodyTextFull"/>
        <w:spacing w:before="0" w:after="0"/>
        <w:ind w:left="142"/>
        <w:rPr>
          <w:sz w:val="20"/>
          <w:lang w:val="cs-CZ"/>
        </w:rPr>
      </w:pPr>
      <w:r w:rsidRPr="0028273C">
        <w:rPr>
          <w:sz w:val="20"/>
          <w:lang w:val="cs-CZ"/>
        </w:rPr>
        <w:t>AUC: plocha pod křivkou; AUC, normální: AUC normalizovaná</w:t>
      </w:r>
      <w:r w:rsidR="00C309DA" w:rsidRPr="0028273C">
        <w:rPr>
          <w:sz w:val="20"/>
          <w:lang w:val="cs-CZ"/>
        </w:rPr>
        <w:t xml:space="preserve"> </w:t>
      </w:r>
      <w:r w:rsidR="008E09BF" w:rsidRPr="0028273C">
        <w:rPr>
          <w:sz w:val="20"/>
          <w:lang w:val="cs-CZ"/>
        </w:rPr>
        <w:t>pro</w:t>
      </w:r>
      <w:r w:rsidR="00C309DA" w:rsidRPr="0028273C">
        <w:rPr>
          <w:sz w:val="20"/>
          <w:lang w:val="cs-CZ"/>
        </w:rPr>
        <w:t xml:space="preserve"> dávku</w:t>
      </w:r>
      <w:r w:rsidRPr="0028273C">
        <w:rPr>
          <w:sz w:val="20"/>
          <w:lang w:val="cs-CZ"/>
        </w:rPr>
        <w:t xml:space="preserve">; </w:t>
      </w:r>
      <w:proofErr w:type="spellStart"/>
      <w:r w:rsidRPr="0028273C">
        <w:rPr>
          <w:sz w:val="20"/>
          <w:lang w:val="cs-CZ"/>
        </w:rPr>
        <w:t>C</w:t>
      </w:r>
      <w:r w:rsidRPr="0028273C">
        <w:rPr>
          <w:sz w:val="20"/>
          <w:vertAlign w:val="subscript"/>
          <w:lang w:val="cs-CZ"/>
        </w:rPr>
        <w:t>max</w:t>
      </w:r>
      <w:proofErr w:type="spellEnd"/>
      <w:r w:rsidRPr="0028273C">
        <w:rPr>
          <w:sz w:val="20"/>
          <w:lang w:val="cs-CZ"/>
        </w:rPr>
        <w:t>: maximální koncentrace léčiva</w:t>
      </w:r>
    </w:p>
    <w:p w14:paraId="7FE0C501" w14:textId="7778FE3A" w:rsidR="00105230" w:rsidRDefault="005A51A7" w:rsidP="00735457">
      <w:pPr>
        <w:pStyle w:val="BayerBodyTextFull"/>
        <w:spacing w:before="0" w:after="0"/>
        <w:ind w:left="142"/>
        <w:rPr>
          <w:sz w:val="20"/>
          <w:lang w:val="cs-CZ"/>
        </w:rPr>
      </w:pPr>
      <w:r w:rsidRPr="0028273C">
        <w:rPr>
          <w:sz w:val="20"/>
          <w:lang w:val="cs-CZ"/>
        </w:rPr>
        <w:t>t</w:t>
      </w:r>
      <w:r w:rsidRPr="0028273C">
        <w:rPr>
          <w:sz w:val="20"/>
          <w:vertAlign w:val="subscript"/>
          <w:lang w:val="cs-CZ"/>
        </w:rPr>
        <w:t>½</w:t>
      </w:r>
      <w:r w:rsidRPr="0028273C">
        <w:rPr>
          <w:sz w:val="20"/>
          <w:lang w:val="cs-CZ"/>
        </w:rPr>
        <w:t xml:space="preserve">: terminální poločas; MRT </w:t>
      </w:r>
      <w:r w:rsidRPr="0028273C">
        <w:rPr>
          <w:sz w:val="20"/>
          <w:vertAlign w:val="subscript"/>
          <w:lang w:val="cs-CZ"/>
        </w:rPr>
        <w:t>IV</w:t>
      </w:r>
      <w:r w:rsidRPr="0028273C">
        <w:rPr>
          <w:sz w:val="20"/>
          <w:lang w:val="cs-CZ"/>
        </w:rPr>
        <w:t xml:space="preserve">: střední doba setrvání po </w:t>
      </w:r>
      <w:proofErr w:type="spellStart"/>
      <w:r w:rsidRPr="0028273C">
        <w:rPr>
          <w:sz w:val="20"/>
          <w:lang w:val="cs-CZ"/>
        </w:rPr>
        <w:t>i.v</w:t>
      </w:r>
      <w:proofErr w:type="spellEnd"/>
      <w:r w:rsidRPr="0028273C">
        <w:rPr>
          <w:sz w:val="20"/>
          <w:lang w:val="cs-CZ"/>
        </w:rPr>
        <w:t>. podání</w:t>
      </w:r>
    </w:p>
    <w:p w14:paraId="25EBB7BC" w14:textId="77BDF446" w:rsidR="00105230" w:rsidRDefault="005A51A7" w:rsidP="00735457">
      <w:pPr>
        <w:pStyle w:val="BayerBodyTextFull"/>
        <w:spacing w:before="0" w:after="0"/>
        <w:ind w:left="142"/>
        <w:rPr>
          <w:sz w:val="20"/>
          <w:lang w:val="cs-CZ"/>
        </w:rPr>
      </w:pPr>
      <w:r w:rsidRPr="0028273C">
        <w:rPr>
          <w:sz w:val="20"/>
          <w:lang w:val="cs-CZ"/>
        </w:rPr>
        <w:t>V</w:t>
      </w:r>
      <w:r w:rsidRPr="0028273C">
        <w:rPr>
          <w:sz w:val="20"/>
          <w:vertAlign w:val="subscript"/>
          <w:lang w:val="cs-CZ"/>
        </w:rPr>
        <w:t>SS</w:t>
      </w:r>
      <w:r w:rsidRPr="0028273C">
        <w:rPr>
          <w:sz w:val="20"/>
          <w:lang w:val="cs-CZ"/>
        </w:rPr>
        <w:t xml:space="preserve">: zdánlivý </w:t>
      </w:r>
      <w:r w:rsidR="003D4CC5" w:rsidRPr="0028273C">
        <w:rPr>
          <w:sz w:val="20"/>
          <w:lang w:val="cs-CZ"/>
        </w:rPr>
        <w:t>distribuční</w:t>
      </w:r>
      <w:r w:rsidRPr="0028273C">
        <w:rPr>
          <w:sz w:val="20"/>
          <w:lang w:val="cs-CZ"/>
        </w:rPr>
        <w:t xml:space="preserve"> objem při ustáleném stavu</w:t>
      </w:r>
    </w:p>
    <w:p w14:paraId="0D827E24" w14:textId="4D510F59" w:rsidR="005A51A7" w:rsidRPr="0028273C" w:rsidRDefault="005A51A7" w:rsidP="00735457">
      <w:pPr>
        <w:pStyle w:val="BayerBodyTextFull"/>
        <w:spacing w:before="0" w:after="0"/>
        <w:ind w:left="142"/>
        <w:rPr>
          <w:sz w:val="20"/>
          <w:highlight w:val="green"/>
          <w:lang w:val="cs-CZ"/>
        </w:rPr>
      </w:pPr>
      <w:r w:rsidRPr="0028273C">
        <w:rPr>
          <w:sz w:val="20"/>
          <w:lang w:val="cs-CZ"/>
        </w:rPr>
        <w:t>CL: clearance</w:t>
      </w:r>
    </w:p>
    <w:p w14:paraId="622DDCE7" w14:textId="77777777" w:rsidR="005C737B" w:rsidRPr="0028273C" w:rsidRDefault="005C737B" w:rsidP="00735457">
      <w:pPr>
        <w:pStyle w:val="BayerBodyTextFull"/>
        <w:spacing w:before="0" w:after="0"/>
        <w:rPr>
          <w:sz w:val="22"/>
          <w:szCs w:val="22"/>
          <w:lang w:val="cs-CZ"/>
        </w:rPr>
      </w:pPr>
    </w:p>
    <w:p w14:paraId="1480821B" w14:textId="1ADEC656" w:rsidR="00735DE9" w:rsidRPr="0028273C" w:rsidRDefault="00735DE9" w:rsidP="00735457">
      <w:pPr>
        <w:pStyle w:val="BayerBodyTextFull"/>
        <w:spacing w:before="0" w:after="0"/>
        <w:rPr>
          <w:sz w:val="22"/>
          <w:szCs w:val="22"/>
          <w:lang w:val="cs-CZ"/>
        </w:rPr>
      </w:pPr>
      <w:r w:rsidRPr="0028273C">
        <w:rPr>
          <w:sz w:val="22"/>
          <w:szCs w:val="22"/>
          <w:lang w:val="cs-CZ"/>
        </w:rPr>
        <w:t>Inkrementální zotavení bylo</w:t>
      </w:r>
      <w:r w:rsidR="00BB31C8" w:rsidRPr="0028273C">
        <w:rPr>
          <w:sz w:val="22"/>
          <w:szCs w:val="22"/>
          <w:lang w:val="cs-CZ"/>
        </w:rPr>
        <w:t xml:space="preserve"> v různých časových bodech</w:t>
      </w:r>
      <w:r w:rsidRPr="0028273C">
        <w:rPr>
          <w:sz w:val="22"/>
          <w:szCs w:val="22"/>
          <w:lang w:val="cs-CZ"/>
        </w:rPr>
        <w:t xml:space="preserve"> </w:t>
      </w:r>
      <w:r w:rsidR="00BB31C8" w:rsidRPr="0028273C">
        <w:rPr>
          <w:sz w:val="22"/>
          <w:szCs w:val="22"/>
          <w:lang w:val="cs-CZ"/>
        </w:rPr>
        <w:t>zjištěno</w:t>
      </w:r>
      <w:r w:rsidRPr="0028273C">
        <w:rPr>
          <w:sz w:val="22"/>
          <w:szCs w:val="22"/>
          <w:lang w:val="cs-CZ"/>
        </w:rPr>
        <w:t xml:space="preserve"> u</w:t>
      </w:r>
      <w:r w:rsidR="00BB31C8" w:rsidRPr="0028273C">
        <w:rPr>
          <w:sz w:val="22"/>
          <w:szCs w:val="22"/>
          <w:lang w:val="cs-CZ"/>
        </w:rPr>
        <w:t> </w:t>
      </w:r>
      <w:r w:rsidRPr="0028273C">
        <w:rPr>
          <w:sz w:val="22"/>
          <w:szCs w:val="22"/>
          <w:lang w:val="cs-CZ"/>
        </w:rPr>
        <w:t>131 pacientů</w:t>
      </w:r>
      <w:r w:rsidR="00D667AE" w:rsidRPr="00D667AE">
        <w:rPr>
          <w:sz w:val="22"/>
          <w:szCs w:val="22"/>
          <w:bdr w:val="nil"/>
          <w:lang w:val="cs-CZ"/>
        </w:rPr>
        <w:t xml:space="preserve"> </w:t>
      </w:r>
      <w:r w:rsidR="00D667AE">
        <w:rPr>
          <w:sz w:val="22"/>
          <w:szCs w:val="22"/>
          <w:bdr w:val="nil"/>
          <w:lang w:val="cs-CZ"/>
        </w:rPr>
        <w:t xml:space="preserve">ve věku </w:t>
      </w:r>
      <w:r w:rsidR="00D667AE" w:rsidRPr="0028273C">
        <w:rPr>
          <w:sz w:val="22"/>
          <w:szCs w:val="22"/>
          <w:lang w:val="cs-CZ"/>
        </w:rPr>
        <w:t>≥</w:t>
      </w:r>
      <w:r w:rsidR="00D667AE">
        <w:rPr>
          <w:sz w:val="22"/>
          <w:szCs w:val="22"/>
          <w:lang w:val="cs-CZ"/>
        </w:rPr>
        <w:t> 12 let</w:t>
      </w:r>
      <w:r w:rsidRPr="0028273C">
        <w:rPr>
          <w:sz w:val="22"/>
          <w:szCs w:val="22"/>
          <w:lang w:val="cs-CZ"/>
        </w:rPr>
        <w:t xml:space="preserve">. Medián (Q1; Q3) zotavení byl 2,6 (2,3; 3,0) </w:t>
      </w:r>
      <w:r w:rsidR="002054B2">
        <w:rPr>
          <w:sz w:val="22"/>
          <w:szCs w:val="22"/>
          <w:lang w:val="cs-CZ"/>
        </w:rPr>
        <w:t>u</w:t>
      </w:r>
      <w:r w:rsidR="002054B2" w:rsidRPr="0028273C">
        <w:rPr>
          <w:sz w:val="22"/>
          <w:szCs w:val="22"/>
          <w:lang w:val="cs-CZ"/>
        </w:rPr>
        <w:t> </w:t>
      </w:r>
      <w:r w:rsidRPr="0028273C">
        <w:rPr>
          <w:sz w:val="22"/>
          <w:szCs w:val="22"/>
          <w:lang w:val="cs-CZ"/>
        </w:rPr>
        <w:t>chromogenní</w:t>
      </w:r>
      <w:r w:rsidR="002054B2">
        <w:rPr>
          <w:sz w:val="22"/>
          <w:szCs w:val="22"/>
          <w:lang w:val="cs-CZ"/>
        </w:rPr>
        <w:t>ho</w:t>
      </w:r>
      <w:r w:rsidRPr="0028273C">
        <w:rPr>
          <w:sz w:val="22"/>
          <w:szCs w:val="22"/>
          <w:lang w:val="cs-CZ"/>
        </w:rPr>
        <w:t xml:space="preserve"> testu.</w:t>
      </w:r>
      <w:r w:rsidR="00D667AE">
        <w:rPr>
          <w:sz w:val="22"/>
          <w:szCs w:val="22"/>
          <w:lang w:val="cs-CZ"/>
        </w:rPr>
        <w:t xml:space="preserve"> Medián (rozmezí) inkrementální </w:t>
      </w:r>
      <w:r w:rsidR="00D4603B">
        <w:rPr>
          <w:sz w:val="22"/>
          <w:szCs w:val="22"/>
          <w:lang w:val="cs-CZ"/>
        </w:rPr>
        <w:t>obnovy aktivity</w:t>
      </w:r>
      <w:r w:rsidR="00D667AE">
        <w:rPr>
          <w:sz w:val="22"/>
          <w:szCs w:val="22"/>
          <w:lang w:val="cs-CZ"/>
        </w:rPr>
        <w:t xml:space="preserve"> u 57 </w:t>
      </w:r>
      <w:r w:rsidR="00D667AE" w:rsidRPr="00331C04">
        <w:rPr>
          <w:sz w:val="22"/>
          <w:szCs w:val="22"/>
          <w:lang w:val="cs-CZ"/>
        </w:rPr>
        <w:t>pacientů ve věku 7 až</w:t>
      </w:r>
      <w:r w:rsidR="00DB6986" w:rsidRPr="00331C04">
        <w:rPr>
          <w:sz w:val="22"/>
          <w:szCs w:val="22"/>
          <w:lang w:val="cs-CZ"/>
        </w:rPr>
        <w:t xml:space="preserve"> </w:t>
      </w:r>
      <w:proofErr w:type="gramStart"/>
      <w:r w:rsidR="00D667AE" w:rsidRPr="00331C04">
        <w:rPr>
          <w:sz w:val="22"/>
          <w:szCs w:val="22"/>
          <w:lang w:val="cs-CZ"/>
        </w:rPr>
        <w:t>&lt; 12</w:t>
      </w:r>
      <w:proofErr w:type="gramEnd"/>
      <w:r w:rsidR="00D667AE" w:rsidRPr="00331C04">
        <w:rPr>
          <w:sz w:val="22"/>
          <w:szCs w:val="22"/>
          <w:lang w:val="cs-CZ"/>
        </w:rPr>
        <w:t xml:space="preserve"> let </w:t>
      </w:r>
      <w:r w:rsidR="00DB6986" w:rsidRPr="00331C04">
        <w:rPr>
          <w:sz w:val="22"/>
          <w:szCs w:val="22"/>
          <w:lang w:val="cs-CZ"/>
        </w:rPr>
        <w:t>činil</w:t>
      </w:r>
      <w:r w:rsidR="00D667AE" w:rsidRPr="00331C04">
        <w:rPr>
          <w:sz w:val="22"/>
          <w:szCs w:val="22"/>
          <w:lang w:val="cs-CZ"/>
        </w:rPr>
        <w:t xml:space="preserve"> 1,9 (1,1; 3,8) u chromogenního testu.</w:t>
      </w:r>
    </w:p>
    <w:p w14:paraId="210C06C6" w14:textId="77777777" w:rsidR="00735DE9" w:rsidRPr="0028273C" w:rsidRDefault="00735DE9" w:rsidP="00735457">
      <w:pPr>
        <w:pStyle w:val="BayerBodyTextFull"/>
        <w:spacing w:before="0" w:after="0"/>
        <w:rPr>
          <w:sz w:val="22"/>
          <w:szCs w:val="22"/>
          <w:lang w:val="cs-CZ"/>
        </w:rPr>
      </w:pPr>
    </w:p>
    <w:p w14:paraId="656C9FE9" w14:textId="77777777" w:rsidR="00A5456C" w:rsidRPr="0028273C" w:rsidRDefault="002963DA" w:rsidP="00735457">
      <w:pPr>
        <w:pStyle w:val="BayerBodyTextFull"/>
        <w:spacing w:before="0" w:after="0"/>
        <w:rPr>
          <w:sz w:val="22"/>
          <w:szCs w:val="22"/>
          <w:lang w:val="cs-CZ"/>
        </w:rPr>
      </w:pPr>
      <w:r w:rsidRPr="0028273C">
        <w:rPr>
          <w:sz w:val="22"/>
          <w:szCs w:val="22"/>
          <w:lang w:val="cs-CZ"/>
        </w:rPr>
        <w:t>N</w:t>
      </w:r>
      <w:r w:rsidR="00735DE9" w:rsidRPr="0028273C">
        <w:rPr>
          <w:sz w:val="22"/>
          <w:szCs w:val="22"/>
          <w:lang w:val="cs-CZ"/>
        </w:rPr>
        <w:t>a základě všech dostupných mě</w:t>
      </w:r>
      <w:r w:rsidR="008005B1" w:rsidRPr="0028273C">
        <w:rPr>
          <w:sz w:val="22"/>
          <w:szCs w:val="22"/>
          <w:lang w:val="cs-CZ"/>
        </w:rPr>
        <w:t>ř</w:t>
      </w:r>
      <w:r w:rsidR="00735DE9" w:rsidRPr="0028273C">
        <w:rPr>
          <w:sz w:val="22"/>
          <w:szCs w:val="22"/>
          <w:lang w:val="cs-CZ"/>
        </w:rPr>
        <w:t>ení faktoru</w:t>
      </w:r>
      <w:r w:rsidRPr="0028273C">
        <w:rPr>
          <w:sz w:val="22"/>
          <w:szCs w:val="22"/>
          <w:lang w:val="cs-CZ"/>
        </w:rPr>
        <w:t> </w:t>
      </w:r>
      <w:r w:rsidR="00735DE9" w:rsidRPr="0028273C">
        <w:rPr>
          <w:sz w:val="22"/>
          <w:szCs w:val="22"/>
          <w:lang w:val="cs-CZ"/>
        </w:rPr>
        <w:t>VIII (ze vzorků na FK vyšetření a</w:t>
      </w:r>
      <w:r w:rsidRPr="0028273C">
        <w:rPr>
          <w:sz w:val="22"/>
          <w:szCs w:val="22"/>
          <w:lang w:val="cs-CZ"/>
        </w:rPr>
        <w:t> </w:t>
      </w:r>
      <w:r w:rsidR="00735DE9" w:rsidRPr="0028273C">
        <w:rPr>
          <w:sz w:val="22"/>
          <w:szCs w:val="22"/>
          <w:lang w:val="cs-CZ"/>
        </w:rPr>
        <w:t xml:space="preserve">všech vzorků po zotavení) </w:t>
      </w:r>
      <w:r w:rsidRPr="0028273C">
        <w:rPr>
          <w:sz w:val="22"/>
          <w:szCs w:val="22"/>
          <w:lang w:val="cs-CZ"/>
        </w:rPr>
        <w:t xml:space="preserve">byl </w:t>
      </w:r>
      <w:r w:rsidR="00735DE9" w:rsidRPr="0028273C">
        <w:rPr>
          <w:sz w:val="22"/>
          <w:szCs w:val="22"/>
          <w:lang w:val="cs-CZ"/>
        </w:rPr>
        <w:t>ve 3 </w:t>
      </w:r>
      <w:r w:rsidR="008005B1" w:rsidRPr="0028273C">
        <w:rPr>
          <w:sz w:val="22"/>
          <w:szCs w:val="22"/>
          <w:lang w:val="cs-CZ"/>
        </w:rPr>
        <w:t>klinických</w:t>
      </w:r>
      <w:r w:rsidR="00735DE9" w:rsidRPr="0028273C">
        <w:rPr>
          <w:sz w:val="22"/>
          <w:szCs w:val="22"/>
          <w:lang w:val="cs-CZ"/>
        </w:rPr>
        <w:t xml:space="preserve"> studiích</w:t>
      </w:r>
      <w:r w:rsidRPr="0028273C">
        <w:rPr>
          <w:sz w:val="22"/>
          <w:szCs w:val="22"/>
          <w:lang w:val="cs-CZ"/>
        </w:rPr>
        <w:t xml:space="preserve"> vyvinut populační FK model</w:t>
      </w:r>
      <w:r w:rsidR="00735DE9" w:rsidRPr="0028273C">
        <w:rPr>
          <w:sz w:val="22"/>
          <w:szCs w:val="22"/>
          <w:lang w:val="cs-CZ"/>
        </w:rPr>
        <w:t>, což umožnilo výpočet FK parametrů u</w:t>
      </w:r>
      <w:r w:rsidRPr="0028273C">
        <w:rPr>
          <w:sz w:val="22"/>
          <w:szCs w:val="22"/>
          <w:lang w:val="cs-CZ"/>
        </w:rPr>
        <w:t> </w:t>
      </w:r>
      <w:r w:rsidR="00735DE9" w:rsidRPr="0028273C">
        <w:rPr>
          <w:sz w:val="22"/>
          <w:szCs w:val="22"/>
          <w:lang w:val="cs-CZ"/>
        </w:rPr>
        <w:t>pacientů v různých studiích. Tabulka</w:t>
      </w:r>
      <w:r w:rsidRPr="0028273C">
        <w:rPr>
          <w:sz w:val="22"/>
          <w:szCs w:val="22"/>
          <w:lang w:val="cs-CZ"/>
        </w:rPr>
        <w:t> </w:t>
      </w:r>
      <w:r w:rsidR="00567A12">
        <w:rPr>
          <w:sz w:val="22"/>
          <w:szCs w:val="22"/>
          <w:lang w:val="cs-CZ"/>
        </w:rPr>
        <w:t>4</w:t>
      </w:r>
      <w:r w:rsidR="00735DE9" w:rsidRPr="0028273C">
        <w:rPr>
          <w:sz w:val="22"/>
          <w:szCs w:val="22"/>
          <w:lang w:val="cs-CZ"/>
        </w:rPr>
        <w:t xml:space="preserve"> </w:t>
      </w:r>
      <w:r w:rsidRPr="0028273C">
        <w:rPr>
          <w:sz w:val="22"/>
          <w:szCs w:val="22"/>
          <w:lang w:val="cs-CZ"/>
        </w:rPr>
        <w:t xml:space="preserve">uvedená </w:t>
      </w:r>
      <w:r w:rsidR="008005B1" w:rsidRPr="0028273C">
        <w:rPr>
          <w:sz w:val="22"/>
          <w:szCs w:val="22"/>
          <w:lang w:val="cs-CZ"/>
        </w:rPr>
        <w:t>níže</w:t>
      </w:r>
      <w:r w:rsidR="00735DE9" w:rsidRPr="0028273C">
        <w:rPr>
          <w:sz w:val="22"/>
          <w:szCs w:val="22"/>
          <w:lang w:val="cs-CZ"/>
        </w:rPr>
        <w:t xml:space="preserve"> </w:t>
      </w:r>
      <w:r w:rsidRPr="0028273C">
        <w:rPr>
          <w:sz w:val="22"/>
          <w:szCs w:val="22"/>
          <w:lang w:val="cs-CZ"/>
        </w:rPr>
        <w:t>představuje</w:t>
      </w:r>
      <w:r w:rsidR="00735DE9" w:rsidRPr="0028273C">
        <w:rPr>
          <w:sz w:val="22"/>
          <w:szCs w:val="22"/>
          <w:lang w:val="cs-CZ"/>
        </w:rPr>
        <w:t xml:space="preserve"> FK parametry na základě </w:t>
      </w:r>
      <w:r w:rsidRPr="0028273C">
        <w:rPr>
          <w:sz w:val="22"/>
          <w:szCs w:val="22"/>
          <w:lang w:val="cs-CZ"/>
        </w:rPr>
        <w:t xml:space="preserve">tohoto </w:t>
      </w:r>
      <w:r w:rsidR="00735DE9" w:rsidRPr="0028273C">
        <w:rPr>
          <w:sz w:val="22"/>
          <w:szCs w:val="22"/>
          <w:lang w:val="cs-CZ"/>
        </w:rPr>
        <w:t>populačního FK modelu.</w:t>
      </w:r>
    </w:p>
    <w:p w14:paraId="133FA083" w14:textId="77777777" w:rsidR="00A5456C" w:rsidRPr="0028273C" w:rsidRDefault="00A5456C" w:rsidP="00735457">
      <w:pPr>
        <w:pStyle w:val="BayerBodyTextFull"/>
        <w:spacing w:before="0" w:after="0"/>
        <w:rPr>
          <w:sz w:val="22"/>
          <w:szCs w:val="22"/>
          <w:highlight w:val="green"/>
          <w:lang w:val="cs-CZ"/>
        </w:rPr>
      </w:pPr>
    </w:p>
    <w:p w14:paraId="0AFD8687" w14:textId="39C6B528" w:rsidR="00D06E95" w:rsidRPr="0028273C" w:rsidRDefault="005A51A7" w:rsidP="00735457">
      <w:pPr>
        <w:pStyle w:val="Titulek"/>
        <w:keepNext/>
        <w:rPr>
          <w:sz w:val="22"/>
          <w:szCs w:val="22"/>
          <w:lang w:val="cs-CZ"/>
        </w:rPr>
      </w:pPr>
      <w:r w:rsidRPr="0028273C">
        <w:rPr>
          <w:sz w:val="22"/>
          <w:szCs w:val="22"/>
          <w:lang w:val="cs-CZ"/>
        </w:rPr>
        <w:lastRenderedPageBreak/>
        <w:t>Tabulka</w:t>
      </w:r>
      <w:r w:rsidR="000C5D3A" w:rsidRPr="0028273C">
        <w:rPr>
          <w:sz w:val="22"/>
          <w:szCs w:val="22"/>
          <w:lang w:val="cs-CZ"/>
        </w:rPr>
        <w:t> </w:t>
      </w:r>
      <w:r w:rsidR="00567A12">
        <w:rPr>
          <w:sz w:val="22"/>
          <w:szCs w:val="22"/>
          <w:lang w:val="cs-CZ"/>
        </w:rPr>
        <w:t>4</w:t>
      </w:r>
      <w:r w:rsidR="00146FBB" w:rsidRPr="0028273C">
        <w:rPr>
          <w:sz w:val="22"/>
          <w:szCs w:val="22"/>
          <w:lang w:val="cs-CZ"/>
        </w:rPr>
        <w:t>:</w:t>
      </w:r>
      <w:r w:rsidR="00146FBB" w:rsidRPr="0028273C">
        <w:rPr>
          <w:b w:val="0"/>
          <w:sz w:val="22"/>
          <w:szCs w:val="22"/>
          <w:lang w:val="cs-CZ"/>
        </w:rPr>
        <w:t xml:space="preserve"> </w:t>
      </w:r>
      <w:r w:rsidR="008E0BBD" w:rsidRPr="0028273C">
        <w:rPr>
          <w:sz w:val="22"/>
          <w:szCs w:val="22"/>
          <w:lang w:val="cs-CZ"/>
        </w:rPr>
        <w:t>FK</w:t>
      </w:r>
      <w:r w:rsidR="00D06E95" w:rsidRPr="0028273C">
        <w:rPr>
          <w:sz w:val="22"/>
          <w:szCs w:val="22"/>
          <w:lang w:val="cs-CZ"/>
        </w:rPr>
        <w:t xml:space="preserve"> paramet</w:t>
      </w:r>
      <w:r w:rsidR="008E0BBD" w:rsidRPr="0028273C">
        <w:rPr>
          <w:sz w:val="22"/>
          <w:szCs w:val="22"/>
          <w:lang w:val="cs-CZ"/>
        </w:rPr>
        <w:t>ry</w:t>
      </w:r>
      <w:r w:rsidR="00D06E95" w:rsidRPr="0028273C">
        <w:rPr>
          <w:sz w:val="22"/>
          <w:szCs w:val="22"/>
          <w:lang w:val="cs-CZ"/>
        </w:rPr>
        <w:t xml:space="preserve"> (geometric</w:t>
      </w:r>
      <w:r w:rsidR="008E0BBD" w:rsidRPr="0028273C">
        <w:rPr>
          <w:sz w:val="22"/>
          <w:szCs w:val="22"/>
          <w:lang w:val="cs-CZ"/>
        </w:rPr>
        <w:t>ký</w:t>
      </w:r>
      <w:r w:rsidR="00D06E95" w:rsidRPr="0028273C">
        <w:rPr>
          <w:sz w:val="22"/>
          <w:szCs w:val="22"/>
          <w:lang w:val="cs-CZ"/>
        </w:rPr>
        <w:t xml:space="preserve"> </w:t>
      </w:r>
      <w:r w:rsidR="008E0BBD" w:rsidRPr="0028273C">
        <w:rPr>
          <w:sz w:val="22"/>
          <w:szCs w:val="22"/>
          <w:lang w:val="cs-CZ"/>
        </w:rPr>
        <w:t>průměr</w:t>
      </w:r>
      <w:r w:rsidR="00D06E95" w:rsidRPr="0028273C">
        <w:rPr>
          <w:sz w:val="22"/>
          <w:szCs w:val="22"/>
          <w:lang w:val="cs-CZ"/>
        </w:rPr>
        <w:t xml:space="preserve"> </w:t>
      </w:r>
      <w:r w:rsidR="00735DE9" w:rsidRPr="0028273C">
        <w:rPr>
          <w:sz w:val="22"/>
          <w:szCs w:val="22"/>
          <w:lang w:val="cs-CZ"/>
        </w:rPr>
        <w:t>[</w:t>
      </w:r>
      <w:r w:rsidR="00D06E95" w:rsidRPr="0028273C">
        <w:rPr>
          <w:sz w:val="22"/>
          <w:szCs w:val="22"/>
          <w:lang w:val="cs-CZ"/>
        </w:rPr>
        <w:t>%CV</w:t>
      </w:r>
      <w:r w:rsidR="00E5603B" w:rsidRPr="0028273C">
        <w:rPr>
          <w:sz w:val="22"/>
          <w:szCs w:val="22"/>
          <w:lang w:val="cs-CZ"/>
        </w:rPr>
        <w:t>]</w:t>
      </w:r>
      <w:r w:rsidR="00D06E95" w:rsidRPr="0028273C">
        <w:rPr>
          <w:sz w:val="22"/>
          <w:szCs w:val="22"/>
          <w:lang w:val="cs-CZ"/>
        </w:rPr>
        <w:t xml:space="preserve">) </w:t>
      </w:r>
      <w:r w:rsidR="008E0BBD" w:rsidRPr="0028273C">
        <w:rPr>
          <w:sz w:val="22"/>
          <w:szCs w:val="22"/>
          <w:lang w:val="cs-CZ"/>
        </w:rPr>
        <w:t>na základě populační</w:t>
      </w:r>
      <w:r w:rsidR="00E5603B" w:rsidRPr="0028273C">
        <w:rPr>
          <w:sz w:val="22"/>
          <w:szCs w:val="22"/>
          <w:lang w:val="cs-CZ"/>
        </w:rPr>
        <w:t>ho</w:t>
      </w:r>
      <w:r w:rsidR="008E0BBD" w:rsidRPr="0028273C">
        <w:rPr>
          <w:sz w:val="22"/>
          <w:szCs w:val="22"/>
          <w:lang w:val="cs-CZ"/>
        </w:rPr>
        <w:t xml:space="preserve"> FK</w:t>
      </w:r>
      <w:r w:rsidR="00E5603B" w:rsidRPr="0028273C">
        <w:rPr>
          <w:sz w:val="22"/>
          <w:szCs w:val="22"/>
          <w:lang w:val="cs-CZ"/>
        </w:rPr>
        <w:t xml:space="preserve"> </w:t>
      </w:r>
      <w:proofErr w:type="gramStart"/>
      <w:r w:rsidR="00E5603B" w:rsidRPr="0028273C">
        <w:rPr>
          <w:sz w:val="22"/>
          <w:szCs w:val="22"/>
          <w:lang w:val="cs-CZ"/>
        </w:rPr>
        <w:t>modelu</w:t>
      </w:r>
      <w:r w:rsidR="008E0BBD" w:rsidRPr="0028273C">
        <w:rPr>
          <w:sz w:val="22"/>
          <w:szCs w:val="22"/>
          <w:lang w:val="cs-CZ"/>
        </w:rPr>
        <w:t xml:space="preserve"> </w:t>
      </w:r>
      <w:r w:rsidR="002054B2">
        <w:rPr>
          <w:sz w:val="22"/>
          <w:szCs w:val="22"/>
          <w:lang w:val="cs-CZ"/>
        </w:rPr>
        <w:t> </w:t>
      </w:r>
      <w:r w:rsidR="005A6DC3">
        <w:rPr>
          <w:sz w:val="22"/>
          <w:szCs w:val="22"/>
          <w:lang w:val="cs-CZ"/>
        </w:rPr>
        <w:t>pomocí</w:t>
      </w:r>
      <w:proofErr w:type="gramEnd"/>
      <w:r w:rsidR="008E0BBD" w:rsidRPr="0028273C">
        <w:rPr>
          <w:sz w:val="22"/>
          <w:szCs w:val="22"/>
          <w:lang w:val="cs-CZ"/>
        </w:rPr>
        <w:t xml:space="preserve"> chromogenního testu</w:t>
      </w:r>
    </w:p>
    <w:p w14:paraId="3B1EA0B7" w14:textId="77777777" w:rsidR="00D06E95" w:rsidRPr="0028273C" w:rsidRDefault="00D06E95" w:rsidP="00735457">
      <w:pPr>
        <w:keepNext/>
        <w:rPr>
          <w:szCs w:val="22"/>
          <w:highlight w:val="green"/>
          <w:lang w:val="cs-CZ"/>
        </w:rPr>
      </w:pPr>
    </w:p>
    <w:tbl>
      <w:tblPr>
        <w:tblW w:w="902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39"/>
        <w:gridCol w:w="1610"/>
        <w:gridCol w:w="1732"/>
        <w:gridCol w:w="1696"/>
        <w:gridCol w:w="1849"/>
      </w:tblGrid>
      <w:tr w:rsidR="003C155D" w:rsidRPr="0028273C" w14:paraId="26778488" w14:textId="77777777" w:rsidTr="0005661C">
        <w:trPr>
          <w:trHeight w:hRule="exact" w:val="559"/>
        </w:trPr>
        <w:tc>
          <w:tcPr>
            <w:tcW w:w="2139" w:type="dxa"/>
            <w:tcBorders>
              <w:top w:val="single" w:sz="12" w:space="0" w:color="auto"/>
              <w:left w:val="single" w:sz="12" w:space="0" w:color="auto"/>
              <w:bottom w:val="single" w:sz="12" w:space="0" w:color="auto"/>
              <w:right w:val="single" w:sz="4" w:space="0" w:color="auto"/>
            </w:tcBorders>
          </w:tcPr>
          <w:p w14:paraId="210864C0" w14:textId="03C7C9AA" w:rsidR="003C155D" w:rsidRPr="0028273C" w:rsidRDefault="003C155D" w:rsidP="003C155D">
            <w:pPr>
              <w:pStyle w:val="BayerTableColumnHeadings"/>
              <w:rPr>
                <w:rFonts w:ascii="Times New Roman" w:hAnsi="Times New Roman"/>
                <w:sz w:val="22"/>
                <w:szCs w:val="22"/>
                <w:lang w:val="cs-CZ"/>
              </w:rPr>
            </w:pPr>
            <w:r w:rsidRPr="0028273C">
              <w:rPr>
                <w:rFonts w:ascii="Times New Roman" w:hAnsi="Times New Roman"/>
                <w:sz w:val="22"/>
                <w:szCs w:val="22"/>
                <w:lang w:val="cs-CZ"/>
              </w:rPr>
              <w:t>FK parametr</w:t>
            </w:r>
            <w:r w:rsidRPr="0028273C">
              <w:rPr>
                <w:sz w:val="22"/>
                <w:szCs w:val="22"/>
                <w:lang w:val="cs-CZ"/>
              </w:rPr>
              <w:t> </w:t>
            </w:r>
            <w:r w:rsidRPr="0028273C">
              <w:rPr>
                <w:rFonts w:ascii="Times New Roman" w:hAnsi="Times New Roman"/>
                <w:sz w:val="22"/>
                <w:szCs w:val="22"/>
                <w:lang w:val="cs-CZ"/>
              </w:rPr>
              <w:t>(jednotka)</w:t>
            </w:r>
          </w:p>
        </w:tc>
        <w:tc>
          <w:tcPr>
            <w:tcW w:w="1610" w:type="dxa"/>
            <w:tcBorders>
              <w:top w:val="single" w:sz="12" w:space="0" w:color="auto"/>
              <w:left w:val="single" w:sz="4" w:space="0" w:color="auto"/>
              <w:bottom w:val="single" w:sz="12" w:space="0" w:color="auto"/>
              <w:right w:val="single" w:sz="4" w:space="0" w:color="auto"/>
            </w:tcBorders>
          </w:tcPr>
          <w:p w14:paraId="6C968659" w14:textId="6EDCFFF6" w:rsidR="003C155D" w:rsidRPr="0030458A" w:rsidRDefault="003C155D" w:rsidP="003C155D">
            <w:pPr>
              <w:pStyle w:val="BayerTableColumnHeadings"/>
              <w:rPr>
                <w:rFonts w:ascii="Times New Roman" w:hAnsi="Times New Roman"/>
                <w:sz w:val="22"/>
                <w:szCs w:val="22"/>
              </w:rPr>
            </w:pPr>
            <w:r w:rsidRPr="0030458A">
              <w:rPr>
                <w:rFonts w:ascii="Times New Roman" w:hAnsi="Times New Roman"/>
                <w:sz w:val="22"/>
                <w:szCs w:val="22"/>
              </w:rPr>
              <w:t>7</w:t>
            </w:r>
            <w:r w:rsidRPr="00501C7F">
              <w:rPr>
                <w:rFonts w:ascii="Times New Roman" w:hAnsi="Times New Roman"/>
                <w:sz w:val="22"/>
                <w:szCs w:val="22"/>
              </w:rPr>
              <w:t> </w:t>
            </w:r>
            <w:proofErr w:type="spellStart"/>
            <w:r>
              <w:rPr>
                <w:rFonts w:ascii="Times New Roman" w:hAnsi="Times New Roman"/>
                <w:sz w:val="22"/>
                <w:szCs w:val="22"/>
              </w:rPr>
              <w:t>až</w:t>
            </w:r>
            <w:proofErr w:type="spellEnd"/>
            <w:r w:rsidR="00D1448A">
              <w:rPr>
                <w:rFonts w:ascii="Times New Roman" w:hAnsi="Times New Roman"/>
                <w:sz w:val="22"/>
                <w:szCs w:val="22"/>
              </w:rPr>
              <w:t xml:space="preserve"> </w:t>
            </w:r>
            <w:r w:rsidRPr="00501C7F">
              <w:rPr>
                <w:rFonts w:ascii="Times New Roman" w:hAnsi="Times New Roman"/>
                <w:sz w:val="22"/>
                <w:szCs w:val="22"/>
              </w:rPr>
              <w:t>&lt; 12</w:t>
            </w:r>
            <w:r w:rsidRPr="001879C9">
              <w:rPr>
                <w:bCs/>
                <w:sz w:val="22"/>
                <w:szCs w:val="22"/>
              </w:rPr>
              <w:t> </w:t>
            </w:r>
            <w:r>
              <w:rPr>
                <w:rFonts w:ascii="Times New Roman" w:hAnsi="Times New Roman"/>
                <w:sz w:val="22"/>
                <w:szCs w:val="22"/>
              </w:rPr>
              <w:t>let</w:t>
            </w:r>
          </w:p>
          <w:p w14:paraId="687D7449" w14:textId="03FC9B82" w:rsidR="003C155D" w:rsidRPr="0028273C" w:rsidRDefault="003C155D" w:rsidP="003C155D">
            <w:pPr>
              <w:pStyle w:val="BayerTableColumnHeadings"/>
              <w:rPr>
                <w:rFonts w:ascii="Times New Roman" w:hAnsi="Times New Roman"/>
                <w:sz w:val="22"/>
                <w:szCs w:val="22"/>
                <w:lang w:val="cs-CZ"/>
              </w:rPr>
            </w:pPr>
            <w:r>
              <w:rPr>
                <w:rFonts w:ascii="Times New Roman" w:hAnsi="Times New Roman"/>
                <w:sz w:val="22"/>
                <w:szCs w:val="22"/>
              </w:rPr>
              <w:t>n</w:t>
            </w:r>
            <w:r w:rsidR="00D1448A">
              <w:rPr>
                <w:rFonts w:ascii="Times New Roman" w:hAnsi="Times New Roman"/>
                <w:sz w:val="22"/>
                <w:szCs w:val="22"/>
              </w:rPr>
              <w:t> </w:t>
            </w:r>
            <w:r w:rsidRPr="0030458A">
              <w:rPr>
                <w:rFonts w:ascii="Times New Roman" w:hAnsi="Times New Roman"/>
                <w:sz w:val="22"/>
                <w:szCs w:val="22"/>
              </w:rPr>
              <w:t>=</w:t>
            </w:r>
            <w:r w:rsidR="00D1448A">
              <w:rPr>
                <w:rFonts w:ascii="Times New Roman" w:hAnsi="Times New Roman"/>
                <w:sz w:val="22"/>
                <w:szCs w:val="22"/>
              </w:rPr>
              <w:t> </w:t>
            </w:r>
            <w:r w:rsidRPr="00501C7F">
              <w:rPr>
                <w:rFonts w:ascii="Times New Roman" w:hAnsi="Times New Roman"/>
                <w:sz w:val="22"/>
                <w:szCs w:val="22"/>
              </w:rPr>
              <w:t>25</w:t>
            </w:r>
          </w:p>
        </w:tc>
        <w:tc>
          <w:tcPr>
            <w:tcW w:w="1732" w:type="dxa"/>
            <w:tcBorders>
              <w:top w:val="single" w:sz="12" w:space="0" w:color="auto"/>
              <w:left w:val="single" w:sz="4" w:space="0" w:color="auto"/>
              <w:bottom w:val="single" w:sz="12" w:space="0" w:color="auto"/>
              <w:right w:val="single" w:sz="4" w:space="0" w:color="auto"/>
            </w:tcBorders>
          </w:tcPr>
          <w:p w14:paraId="5A0DCC2D" w14:textId="1720819F" w:rsidR="003C155D" w:rsidRPr="0028273C" w:rsidRDefault="003C155D" w:rsidP="003C155D">
            <w:pPr>
              <w:pStyle w:val="BayerTableColumnHeadings"/>
              <w:rPr>
                <w:rFonts w:ascii="Times New Roman" w:hAnsi="Times New Roman"/>
                <w:sz w:val="22"/>
                <w:szCs w:val="22"/>
                <w:lang w:val="cs-CZ"/>
              </w:rPr>
            </w:pPr>
            <w:proofErr w:type="gramStart"/>
            <w:r w:rsidRPr="0028273C">
              <w:rPr>
                <w:rFonts w:ascii="Times New Roman" w:hAnsi="Times New Roman"/>
                <w:sz w:val="22"/>
                <w:szCs w:val="22"/>
                <w:lang w:val="cs-CZ"/>
              </w:rPr>
              <w:t>12</w:t>
            </w:r>
            <w:r>
              <w:rPr>
                <w:rFonts w:ascii="Times New Roman" w:hAnsi="Times New Roman"/>
                <w:sz w:val="22"/>
                <w:szCs w:val="22"/>
              </w:rPr>
              <w:t> </w:t>
            </w:r>
            <w:r w:rsidR="008D52A6" w:rsidRPr="00331C04">
              <w:rPr>
                <w:bCs/>
                <w:szCs w:val="22"/>
                <w:lang w:val="it-IT"/>
              </w:rPr>
              <w:t xml:space="preserve"> </w:t>
            </w:r>
            <w:r w:rsidR="003C1962">
              <w:rPr>
                <w:bCs/>
                <w:szCs w:val="22"/>
                <w:lang w:val="it-IT"/>
              </w:rPr>
              <w:t>až</w:t>
            </w:r>
            <w:proofErr w:type="gramEnd"/>
            <w:r w:rsidR="003C1962">
              <w:rPr>
                <w:bCs/>
                <w:szCs w:val="22"/>
                <w:lang w:val="it-IT"/>
              </w:rPr>
              <w:t xml:space="preserve"> </w:t>
            </w:r>
            <w:proofErr w:type="gramStart"/>
            <w:r w:rsidR="008D52A6" w:rsidRPr="00331C04">
              <w:rPr>
                <w:bCs/>
                <w:szCs w:val="22"/>
                <w:lang w:val="it-IT"/>
              </w:rPr>
              <w:t>&lt;</w:t>
            </w:r>
            <w:r>
              <w:rPr>
                <w:rFonts w:ascii="Times New Roman" w:hAnsi="Times New Roman"/>
                <w:sz w:val="22"/>
                <w:szCs w:val="22"/>
              </w:rPr>
              <w:t> </w:t>
            </w:r>
            <w:r w:rsidRPr="0028273C">
              <w:rPr>
                <w:rFonts w:ascii="Times New Roman" w:hAnsi="Times New Roman"/>
                <w:sz w:val="22"/>
                <w:szCs w:val="22"/>
                <w:lang w:val="cs-CZ"/>
              </w:rPr>
              <w:t>18</w:t>
            </w:r>
            <w:proofErr w:type="gramEnd"/>
            <w:r w:rsidRPr="0028273C">
              <w:rPr>
                <w:rFonts w:ascii="Times New Roman" w:hAnsi="Times New Roman"/>
                <w:sz w:val="22"/>
                <w:szCs w:val="22"/>
                <w:lang w:val="cs-CZ"/>
              </w:rPr>
              <w:t> let</w:t>
            </w:r>
          </w:p>
          <w:p w14:paraId="5E5EBD8D" w14:textId="1287B4F6" w:rsidR="003C155D" w:rsidRPr="0028273C" w:rsidRDefault="003C155D" w:rsidP="003C155D">
            <w:pPr>
              <w:pStyle w:val="BayerTableColumnHeadings"/>
              <w:rPr>
                <w:rFonts w:ascii="Times New Roman" w:hAnsi="Times New Roman"/>
                <w:sz w:val="22"/>
                <w:szCs w:val="22"/>
                <w:lang w:val="cs-CZ"/>
              </w:rPr>
            </w:pPr>
            <w:r>
              <w:rPr>
                <w:rFonts w:ascii="Times New Roman" w:hAnsi="Times New Roman"/>
                <w:sz w:val="22"/>
                <w:szCs w:val="22"/>
                <w:lang w:val="cs-CZ"/>
              </w:rPr>
              <w:t>n</w:t>
            </w:r>
            <w:r w:rsidRPr="0028273C">
              <w:rPr>
                <w:rFonts w:ascii="Times New Roman" w:hAnsi="Times New Roman"/>
                <w:sz w:val="22"/>
                <w:szCs w:val="22"/>
                <w:lang w:val="cs-CZ"/>
              </w:rPr>
              <w:t>=12</w:t>
            </w:r>
          </w:p>
        </w:tc>
        <w:tc>
          <w:tcPr>
            <w:tcW w:w="1696" w:type="dxa"/>
            <w:tcBorders>
              <w:top w:val="single" w:sz="12" w:space="0" w:color="auto"/>
              <w:left w:val="single" w:sz="4" w:space="0" w:color="auto"/>
              <w:bottom w:val="single" w:sz="12" w:space="0" w:color="auto"/>
              <w:right w:val="single" w:sz="4" w:space="0" w:color="auto"/>
            </w:tcBorders>
          </w:tcPr>
          <w:p w14:paraId="739AB6F1" w14:textId="777948BF" w:rsidR="003C155D" w:rsidRPr="0028273C" w:rsidRDefault="003C155D" w:rsidP="003C155D">
            <w:pPr>
              <w:pStyle w:val="BayerTableColumnHeadings"/>
              <w:rPr>
                <w:rFonts w:ascii="Times New Roman" w:hAnsi="Times New Roman"/>
                <w:sz w:val="22"/>
                <w:szCs w:val="22"/>
                <w:lang w:val="cs-CZ"/>
              </w:rPr>
            </w:pPr>
            <w:r w:rsidRPr="0028273C">
              <w:rPr>
                <w:rFonts w:ascii="Times New Roman" w:hAnsi="Times New Roman"/>
                <w:sz w:val="22"/>
                <w:szCs w:val="22"/>
                <w:lang w:val="cs-CZ"/>
              </w:rPr>
              <w:t>≥</w:t>
            </w:r>
            <w:r>
              <w:rPr>
                <w:rFonts w:ascii="Times New Roman" w:hAnsi="Times New Roman"/>
                <w:sz w:val="22"/>
                <w:szCs w:val="22"/>
              </w:rPr>
              <w:t> </w:t>
            </w:r>
            <w:r w:rsidRPr="0028273C">
              <w:rPr>
                <w:rFonts w:ascii="Times New Roman" w:hAnsi="Times New Roman"/>
                <w:sz w:val="22"/>
                <w:szCs w:val="22"/>
                <w:lang w:val="cs-CZ"/>
              </w:rPr>
              <w:t>18 let</w:t>
            </w:r>
          </w:p>
          <w:p w14:paraId="11692AE6" w14:textId="7B360B35" w:rsidR="003C155D" w:rsidRPr="0028273C" w:rsidRDefault="003C155D" w:rsidP="003C155D">
            <w:pPr>
              <w:pStyle w:val="BayerTableColumnHeadings"/>
              <w:rPr>
                <w:rFonts w:ascii="Times New Roman" w:hAnsi="Times New Roman"/>
                <w:sz w:val="22"/>
                <w:szCs w:val="22"/>
                <w:lang w:val="cs-CZ"/>
              </w:rPr>
            </w:pPr>
            <w:r>
              <w:rPr>
                <w:rFonts w:ascii="Times New Roman" w:hAnsi="Times New Roman"/>
                <w:sz w:val="22"/>
                <w:szCs w:val="22"/>
                <w:lang w:val="cs-CZ"/>
              </w:rPr>
              <w:t>n</w:t>
            </w:r>
            <w:r w:rsidRPr="0028273C">
              <w:rPr>
                <w:rFonts w:ascii="Times New Roman" w:hAnsi="Times New Roman"/>
                <w:sz w:val="22"/>
                <w:szCs w:val="22"/>
                <w:lang w:val="cs-CZ"/>
              </w:rPr>
              <w:t>=133</w:t>
            </w:r>
          </w:p>
        </w:tc>
        <w:tc>
          <w:tcPr>
            <w:tcW w:w="1849" w:type="dxa"/>
            <w:tcBorders>
              <w:top w:val="single" w:sz="12" w:space="0" w:color="auto"/>
              <w:left w:val="single" w:sz="4" w:space="0" w:color="auto"/>
              <w:bottom w:val="single" w:sz="12" w:space="0" w:color="auto"/>
              <w:right w:val="single" w:sz="12" w:space="0" w:color="auto"/>
            </w:tcBorders>
          </w:tcPr>
          <w:p w14:paraId="0A9F6A09" w14:textId="02E8CF03" w:rsidR="003C155D" w:rsidRPr="0028273C" w:rsidRDefault="003C155D" w:rsidP="003C155D">
            <w:pPr>
              <w:pStyle w:val="BayerTableColumnHeadings"/>
              <w:rPr>
                <w:rFonts w:ascii="Times New Roman" w:hAnsi="Times New Roman"/>
                <w:sz w:val="22"/>
                <w:szCs w:val="22"/>
                <w:lang w:val="cs-CZ"/>
              </w:rPr>
            </w:pPr>
            <w:r w:rsidRPr="0028273C">
              <w:rPr>
                <w:rFonts w:ascii="Times New Roman" w:hAnsi="Times New Roman"/>
                <w:sz w:val="22"/>
                <w:szCs w:val="22"/>
                <w:lang w:val="cs-CZ"/>
              </w:rPr>
              <w:t>Celkem (≥</w:t>
            </w:r>
            <w:r>
              <w:rPr>
                <w:rFonts w:ascii="Times New Roman" w:hAnsi="Times New Roman"/>
                <w:sz w:val="22"/>
                <w:szCs w:val="22"/>
              </w:rPr>
              <w:t> </w:t>
            </w:r>
            <w:r w:rsidRPr="0028273C">
              <w:rPr>
                <w:rFonts w:ascii="Times New Roman" w:hAnsi="Times New Roman"/>
                <w:sz w:val="22"/>
                <w:szCs w:val="22"/>
                <w:lang w:val="cs-CZ"/>
              </w:rPr>
              <w:t>12 let)</w:t>
            </w:r>
          </w:p>
          <w:p w14:paraId="20B3A2C1" w14:textId="6358DD89" w:rsidR="003C155D" w:rsidRPr="0028273C" w:rsidRDefault="003C155D" w:rsidP="003C155D">
            <w:pPr>
              <w:pStyle w:val="BayerTableColumnHeadings"/>
              <w:rPr>
                <w:rFonts w:ascii="Times New Roman" w:hAnsi="Times New Roman"/>
                <w:sz w:val="22"/>
                <w:szCs w:val="22"/>
                <w:lang w:val="cs-CZ"/>
              </w:rPr>
            </w:pPr>
            <w:r>
              <w:rPr>
                <w:rFonts w:ascii="Times New Roman" w:hAnsi="Times New Roman"/>
                <w:sz w:val="22"/>
                <w:szCs w:val="22"/>
                <w:lang w:val="cs-CZ"/>
              </w:rPr>
              <w:t>n</w:t>
            </w:r>
            <w:r w:rsidRPr="0028273C">
              <w:rPr>
                <w:rFonts w:ascii="Times New Roman" w:hAnsi="Times New Roman"/>
                <w:sz w:val="22"/>
                <w:szCs w:val="22"/>
                <w:lang w:val="cs-CZ"/>
              </w:rPr>
              <w:t>=145</w:t>
            </w:r>
          </w:p>
        </w:tc>
      </w:tr>
      <w:tr w:rsidR="003C155D" w:rsidRPr="0028273C" w14:paraId="7D369222" w14:textId="77777777" w:rsidTr="0005661C">
        <w:trPr>
          <w:trHeight w:hRule="exact" w:val="462"/>
        </w:trPr>
        <w:tc>
          <w:tcPr>
            <w:tcW w:w="2139" w:type="dxa"/>
            <w:tcBorders>
              <w:top w:val="single" w:sz="12" w:space="0" w:color="auto"/>
              <w:left w:val="single" w:sz="18" w:space="0" w:color="auto"/>
            </w:tcBorders>
          </w:tcPr>
          <w:p w14:paraId="522414A5" w14:textId="77777777" w:rsidR="003C155D" w:rsidRPr="0028273C" w:rsidRDefault="003C155D" w:rsidP="003C155D">
            <w:pPr>
              <w:pStyle w:val="BayerTableColumnHeadings"/>
              <w:rPr>
                <w:rFonts w:ascii="Times New Roman" w:hAnsi="Times New Roman"/>
                <w:b w:val="0"/>
                <w:sz w:val="22"/>
                <w:szCs w:val="22"/>
                <w:lang w:val="cs-CZ"/>
              </w:rPr>
            </w:pPr>
            <w:r w:rsidRPr="0028273C">
              <w:rPr>
                <w:rFonts w:ascii="Times New Roman" w:hAnsi="Times New Roman"/>
                <w:b w:val="0"/>
                <w:sz w:val="22"/>
                <w:szCs w:val="22"/>
                <w:lang w:val="cs-CZ"/>
              </w:rPr>
              <w:t>AUC (</w:t>
            </w:r>
            <w:proofErr w:type="spellStart"/>
            <w:r w:rsidRPr="0028273C">
              <w:rPr>
                <w:rFonts w:ascii="Times New Roman" w:hAnsi="Times New Roman"/>
                <w:b w:val="0"/>
                <w:sz w:val="22"/>
                <w:szCs w:val="22"/>
                <w:lang w:val="cs-CZ"/>
              </w:rPr>
              <w:t>IU.h</w:t>
            </w:r>
            <w:proofErr w:type="spellEnd"/>
            <w:r w:rsidRPr="0028273C">
              <w:rPr>
                <w:rFonts w:ascii="Times New Roman" w:hAnsi="Times New Roman"/>
                <w:b w:val="0"/>
                <w:sz w:val="22"/>
                <w:szCs w:val="22"/>
                <w:lang w:val="cs-CZ"/>
              </w:rPr>
              <w:t>/</w:t>
            </w:r>
            <w:proofErr w:type="gramStart"/>
            <w:r w:rsidRPr="0028273C">
              <w:rPr>
                <w:rFonts w:ascii="Times New Roman" w:hAnsi="Times New Roman"/>
                <w:b w:val="0"/>
                <w:sz w:val="22"/>
                <w:szCs w:val="22"/>
                <w:lang w:val="cs-CZ"/>
              </w:rPr>
              <w:t>dl)*</w:t>
            </w:r>
            <w:proofErr w:type="gramEnd"/>
          </w:p>
        </w:tc>
        <w:tc>
          <w:tcPr>
            <w:tcW w:w="1610" w:type="dxa"/>
            <w:tcBorders>
              <w:top w:val="single" w:sz="12" w:space="0" w:color="auto"/>
            </w:tcBorders>
          </w:tcPr>
          <w:p w14:paraId="34A4BA22" w14:textId="7AC5174C" w:rsidR="003C155D" w:rsidRPr="0028273C" w:rsidRDefault="003C155D" w:rsidP="003C155D">
            <w:pPr>
              <w:pStyle w:val="BayerTableColumnHeadings"/>
              <w:rPr>
                <w:rFonts w:ascii="Times New Roman" w:hAnsi="Times New Roman"/>
                <w:b w:val="0"/>
                <w:sz w:val="22"/>
                <w:szCs w:val="22"/>
                <w:lang w:val="cs-CZ"/>
              </w:rPr>
            </w:pPr>
            <w:proofErr w:type="gramStart"/>
            <w:r w:rsidRPr="33D1D9B6">
              <w:rPr>
                <w:rFonts w:ascii="Times New Roman" w:hAnsi="Times New Roman"/>
                <w:b w:val="0"/>
                <w:sz w:val="22"/>
                <w:szCs w:val="22"/>
              </w:rPr>
              <w:t>2</w:t>
            </w:r>
            <w:r w:rsidR="0E2B1EA6" w:rsidRPr="33D1D9B6">
              <w:rPr>
                <w:rFonts w:ascii="Times New Roman" w:hAnsi="Times New Roman"/>
                <w:sz w:val="22"/>
                <w:szCs w:val="22"/>
              </w:rPr>
              <w:t xml:space="preserve">  </w:t>
            </w:r>
            <w:r w:rsidRPr="33D1D9B6">
              <w:rPr>
                <w:rFonts w:ascii="Times New Roman" w:hAnsi="Times New Roman"/>
                <w:b w:val="0"/>
                <w:sz w:val="22"/>
                <w:szCs w:val="22"/>
              </w:rPr>
              <w:t>694</w:t>
            </w:r>
            <w:proofErr w:type="gramEnd"/>
            <w:r w:rsidRPr="33D1D9B6">
              <w:rPr>
                <w:rFonts w:ascii="Times New Roman" w:hAnsi="Times New Roman"/>
                <w:b w:val="0"/>
                <w:sz w:val="22"/>
                <w:szCs w:val="22"/>
              </w:rPr>
              <w:t xml:space="preserve"> (23)</w:t>
            </w:r>
          </w:p>
        </w:tc>
        <w:tc>
          <w:tcPr>
            <w:tcW w:w="1732" w:type="dxa"/>
            <w:tcBorders>
              <w:top w:val="single" w:sz="12" w:space="0" w:color="auto"/>
            </w:tcBorders>
          </w:tcPr>
          <w:p w14:paraId="4D38E378" w14:textId="46B2EBDA" w:rsidR="003C155D" w:rsidRPr="0028273C" w:rsidRDefault="003C155D" w:rsidP="003C155D">
            <w:pPr>
              <w:pStyle w:val="BayerTableColumnHeadings"/>
              <w:rPr>
                <w:rFonts w:ascii="Times New Roman" w:hAnsi="Times New Roman"/>
                <w:b w:val="0"/>
                <w:sz w:val="22"/>
                <w:szCs w:val="22"/>
                <w:lang w:val="cs-CZ"/>
              </w:rPr>
            </w:pPr>
            <w:proofErr w:type="gramStart"/>
            <w:r w:rsidRPr="33D1D9B6">
              <w:rPr>
                <w:rFonts w:ascii="Times New Roman" w:hAnsi="Times New Roman"/>
                <w:b w:val="0"/>
                <w:sz w:val="22"/>
                <w:szCs w:val="22"/>
                <w:lang w:val="cs-CZ"/>
              </w:rPr>
              <w:t>3</w:t>
            </w:r>
            <w:r w:rsidR="3B1FB570" w:rsidRPr="33D1D9B6">
              <w:rPr>
                <w:rFonts w:ascii="Times New Roman" w:hAnsi="Times New Roman"/>
                <w:sz w:val="22"/>
                <w:szCs w:val="22"/>
                <w:lang w:val="cs-CZ"/>
              </w:rPr>
              <w:t xml:space="preserve">  </w:t>
            </w:r>
            <w:r w:rsidRPr="33D1D9B6">
              <w:rPr>
                <w:rFonts w:ascii="Times New Roman" w:hAnsi="Times New Roman"/>
                <w:b w:val="0"/>
                <w:sz w:val="22"/>
                <w:szCs w:val="22"/>
                <w:lang w:val="cs-CZ"/>
              </w:rPr>
              <w:t>341</w:t>
            </w:r>
            <w:proofErr w:type="gramEnd"/>
            <w:r w:rsidRPr="33D1D9B6">
              <w:rPr>
                <w:rFonts w:ascii="Times New Roman" w:hAnsi="Times New Roman"/>
                <w:b w:val="0"/>
                <w:sz w:val="22"/>
                <w:szCs w:val="22"/>
                <w:lang w:val="cs-CZ"/>
              </w:rPr>
              <w:t xml:space="preserve"> (34,2)</w:t>
            </w:r>
          </w:p>
        </w:tc>
        <w:tc>
          <w:tcPr>
            <w:tcW w:w="1696" w:type="dxa"/>
            <w:tcBorders>
              <w:top w:val="single" w:sz="12" w:space="0" w:color="auto"/>
            </w:tcBorders>
          </w:tcPr>
          <w:p w14:paraId="1A7B5128" w14:textId="2F9C1D06" w:rsidR="003C155D" w:rsidRPr="0028273C" w:rsidRDefault="003C155D" w:rsidP="003C155D">
            <w:pPr>
              <w:pStyle w:val="BayerTableColumnHeadings"/>
              <w:rPr>
                <w:rFonts w:ascii="Times New Roman" w:hAnsi="Times New Roman"/>
                <w:b w:val="0"/>
                <w:sz w:val="22"/>
                <w:szCs w:val="22"/>
                <w:lang w:val="cs-CZ"/>
              </w:rPr>
            </w:pPr>
            <w:proofErr w:type="gramStart"/>
            <w:r w:rsidRPr="33D1D9B6">
              <w:rPr>
                <w:rFonts w:ascii="Times New Roman" w:hAnsi="Times New Roman"/>
                <w:b w:val="0"/>
                <w:sz w:val="22"/>
                <w:szCs w:val="22"/>
                <w:lang w:val="cs-CZ"/>
              </w:rPr>
              <w:t>4</w:t>
            </w:r>
            <w:r w:rsidR="15EB728E" w:rsidRPr="33D1D9B6">
              <w:rPr>
                <w:rFonts w:ascii="Times New Roman" w:hAnsi="Times New Roman"/>
                <w:sz w:val="22"/>
                <w:szCs w:val="22"/>
                <w:lang w:val="cs-CZ"/>
              </w:rPr>
              <w:t xml:space="preserve">  </w:t>
            </w:r>
            <w:r w:rsidRPr="33D1D9B6">
              <w:rPr>
                <w:rFonts w:ascii="Times New Roman" w:hAnsi="Times New Roman"/>
                <w:b w:val="0"/>
                <w:sz w:val="22"/>
                <w:szCs w:val="22"/>
                <w:lang w:val="cs-CZ"/>
              </w:rPr>
              <w:t>052</w:t>
            </w:r>
            <w:proofErr w:type="gramEnd"/>
            <w:r w:rsidRPr="33D1D9B6">
              <w:rPr>
                <w:rFonts w:ascii="Times New Roman" w:hAnsi="Times New Roman"/>
                <w:b w:val="0"/>
                <w:sz w:val="22"/>
                <w:szCs w:val="22"/>
                <w:lang w:val="cs-CZ"/>
              </w:rPr>
              <w:t xml:space="preserve"> (31,1)</w:t>
            </w:r>
          </w:p>
        </w:tc>
        <w:tc>
          <w:tcPr>
            <w:tcW w:w="1849" w:type="dxa"/>
            <w:tcBorders>
              <w:top w:val="single" w:sz="12" w:space="0" w:color="auto"/>
              <w:right w:val="single" w:sz="18" w:space="0" w:color="auto"/>
            </w:tcBorders>
          </w:tcPr>
          <w:p w14:paraId="07E527DA" w14:textId="2ACCC8CD" w:rsidR="003C155D" w:rsidRPr="0028273C" w:rsidRDefault="003C155D" w:rsidP="003C155D">
            <w:pPr>
              <w:pStyle w:val="BayerTableColumnHeadings"/>
              <w:rPr>
                <w:rFonts w:ascii="Times New Roman" w:hAnsi="Times New Roman"/>
                <w:b w:val="0"/>
                <w:sz w:val="22"/>
                <w:szCs w:val="22"/>
                <w:lang w:val="cs-CZ"/>
              </w:rPr>
            </w:pPr>
            <w:proofErr w:type="gramStart"/>
            <w:r w:rsidRPr="33D1D9B6">
              <w:rPr>
                <w:rFonts w:ascii="Times New Roman" w:hAnsi="Times New Roman"/>
                <w:b w:val="0"/>
                <w:sz w:val="22"/>
                <w:szCs w:val="22"/>
                <w:lang w:val="cs-CZ"/>
              </w:rPr>
              <w:t>3</w:t>
            </w:r>
            <w:r w:rsidR="4E4B50FB" w:rsidRPr="33D1D9B6">
              <w:rPr>
                <w:rFonts w:ascii="Times New Roman" w:hAnsi="Times New Roman"/>
                <w:sz w:val="22"/>
                <w:szCs w:val="22"/>
                <w:lang w:val="cs-CZ"/>
              </w:rPr>
              <w:t xml:space="preserve">  </w:t>
            </w:r>
            <w:r w:rsidRPr="33D1D9B6">
              <w:rPr>
                <w:rFonts w:ascii="Times New Roman" w:hAnsi="Times New Roman"/>
                <w:b w:val="0"/>
                <w:sz w:val="22"/>
                <w:szCs w:val="22"/>
                <w:lang w:val="cs-CZ"/>
              </w:rPr>
              <w:t>997</w:t>
            </w:r>
            <w:proofErr w:type="gramEnd"/>
            <w:r w:rsidRPr="33D1D9B6">
              <w:rPr>
                <w:rFonts w:ascii="Times New Roman" w:hAnsi="Times New Roman"/>
                <w:b w:val="0"/>
                <w:sz w:val="22"/>
                <w:szCs w:val="22"/>
                <w:lang w:val="cs-CZ"/>
              </w:rPr>
              <w:t xml:space="preserve"> (31,6)</w:t>
            </w:r>
          </w:p>
        </w:tc>
      </w:tr>
      <w:tr w:rsidR="003C155D" w:rsidRPr="0028273C" w14:paraId="0D4B91DF" w14:textId="77777777" w:rsidTr="0005661C">
        <w:trPr>
          <w:trHeight w:hRule="exact" w:val="252"/>
        </w:trPr>
        <w:tc>
          <w:tcPr>
            <w:tcW w:w="2139" w:type="dxa"/>
            <w:tcBorders>
              <w:left w:val="single" w:sz="18" w:space="0" w:color="auto"/>
            </w:tcBorders>
          </w:tcPr>
          <w:p w14:paraId="31912E8B" w14:textId="77777777" w:rsidR="003C155D" w:rsidRPr="0028273C" w:rsidRDefault="003C155D" w:rsidP="003C155D">
            <w:pPr>
              <w:pStyle w:val="BayerTableColumnHeadings"/>
              <w:rPr>
                <w:rFonts w:ascii="Times New Roman" w:hAnsi="Times New Roman"/>
                <w:b w:val="0"/>
                <w:sz w:val="22"/>
                <w:szCs w:val="22"/>
                <w:lang w:val="cs-CZ"/>
              </w:rPr>
            </w:pPr>
            <w:proofErr w:type="spellStart"/>
            <w:r w:rsidRPr="0028273C">
              <w:rPr>
                <w:rFonts w:ascii="Times New Roman" w:hAnsi="Times New Roman"/>
                <w:b w:val="0"/>
                <w:sz w:val="22"/>
                <w:szCs w:val="22"/>
                <w:lang w:val="cs-CZ"/>
              </w:rPr>
              <w:t>AUC</w:t>
            </w:r>
            <w:r w:rsidRPr="00764A31">
              <w:rPr>
                <w:rFonts w:ascii="Times New Roman" w:hAnsi="Times New Roman"/>
                <w:b w:val="0"/>
                <w:sz w:val="22"/>
                <w:szCs w:val="22"/>
                <w:lang w:val="cs-CZ"/>
              </w:rPr>
              <w:t>norm</w:t>
            </w:r>
            <w:proofErr w:type="spellEnd"/>
            <w:r w:rsidRPr="00673201">
              <w:rPr>
                <w:rFonts w:ascii="Times New Roman" w:hAnsi="Times New Roman"/>
                <w:b w:val="0"/>
                <w:sz w:val="22"/>
                <w:szCs w:val="22"/>
                <w:lang w:val="cs-CZ"/>
              </w:rPr>
              <w:t xml:space="preserve"> </w:t>
            </w:r>
            <w:r w:rsidRPr="0028273C">
              <w:rPr>
                <w:rFonts w:ascii="Times New Roman" w:hAnsi="Times New Roman"/>
                <w:b w:val="0"/>
                <w:sz w:val="22"/>
                <w:szCs w:val="22"/>
                <w:lang w:val="cs-CZ"/>
              </w:rPr>
              <w:t>(</w:t>
            </w:r>
            <w:proofErr w:type="spellStart"/>
            <w:r w:rsidRPr="0028273C">
              <w:rPr>
                <w:rFonts w:ascii="Times New Roman" w:hAnsi="Times New Roman"/>
                <w:b w:val="0"/>
                <w:sz w:val="22"/>
                <w:szCs w:val="22"/>
                <w:lang w:val="cs-CZ"/>
              </w:rPr>
              <w:t>kg.h</w:t>
            </w:r>
            <w:proofErr w:type="spellEnd"/>
            <w:r w:rsidRPr="0028273C">
              <w:rPr>
                <w:rFonts w:ascii="Times New Roman" w:hAnsi="Times New Roman"/>
                <w:b w:val="0"/>
                <w:sz w:val="22"/>
                <w:szCs w:val="22"/>
                <w:lang w:val="cs-CZ"/>
              </w:rPr>
              <w:t>/dl)</w:t>
            </w:r>
          </w:p>
        </w:tc>
        <w:tc>
          <w:tcPr>
            <w:tcW w:w="1610" w:type="dxa"/>
          </w:tcPr>
          <w:p w14:paraId="4F58E992" w14:textId="40D3DAA7" w:rsidR="003C155D" w:rsidRPr="0028273C" w:rsidRDefault="003C155D" w:rsidP="003C155D">
            <w:pPr>
              <w:pStyle w:val="BayerTableColumnHeadings"/>
              <w:rPr>
                <w:rFonts w:ascii="Times New Roman" w:hAnsi="Times New Roman"/>
                <w:b w:val="0"/>
                <w:sz w:val="22"/>
                <w:szCs w:val="22"/>
                <w:lang w:val="cs-CZ"/>
              </w:rPr>
            </w:pPr>
            <w:r w:rsidRPr="0030458A">
              <w:rPr>
                <w:rFonts w:ascii="Times New Roman" w:hAnsi="Times New Roman"/>
                <w:b w:val="0"/>
                <w:sz w:val="22"/>
                <w:szCs w:val="22"/>
              </w:rPr>
              <w:t>44</w:t>
            </w:r>
            <w:r>
              <w:rPr>
                <w:rFonts w:ascii="Times New Roman" w:hAnsi="Times New Roman"/>
                <w:b w:val="0"/>
                <w:sz w:val="22"/>
                <w:szCs w:val="22"/>
              </w:rPr>
              <w:t>,</w:t>
            </w:r>
            <w:r w:rsidRPr="0030458A">
              <w:rPr>
                <w:rFonts w:ascii="Times New Roman" w:hAnsi="Times New Roman"/>
                <w:b w:val="0"/>
                <w:sz w:val="22"/>
                <w:szCs w:val="22"/>
              </w:rPr>
              <w:t>9 (23)</w:t>
            </w:r>
          </w:p>
        </w:tc>
        <w:tc>
          <w:tcPr>
            <w:tcW w:w="1732" w:type="dxa"/>
          </w:tcPr>
          <w:p w14:paraId="29B35EA4" w14:textId="0D878DF4" w:rsidR="003C155D" w:rsidRPr="0028273C" w:rsidRDefault="003C155D" w:rsidP="003C155D">
            <w:pPr>
              <w:pStyle w:val="BayerTableColumnHeadings"/>
              <w:rPr>
                <w:rFonts w:ascii="Times New Roman" w:hAnsi="Times New Roman"/>
                <w:b w:val="0"/>
                <w:sz w:val="22"/>
                <w:szCs w:val="22"/>
                <w:lang w:val="cs-CZ"/>
              </w:rPr>
            </w:pPr>
            <w:r w:rsidRPr="0028273C">
              <w:rPr>
                <w:rFonts w:ascii="Times New Roman" w:hAnsi="Times New Roman"/>
                <w:b w:val="0"/>
                <w:sz w:val="22"/>
                <w:szCs w:val="22"/>
                <w:lang w:val="cs-CZ"/>
              </w:rPr>
              <w:t>57,4 (32,6)</w:t>
            </w:r>
          </w:p>
        </w:tc>
        <w:tc>
          <w:tcPr>
            <w:tcW w:w="1696" w:type="dxa"/>
          </w:tcPr>
          <w:p w14:paraId="614292BE" w14:textId="77777777" w:rsidR="003C155D" w:rsidRPr="0028273C" w:rsidRDefault="003C155D" w:rsidP="003C155D">
            <w:pPr>
              <w:pStyle w:val="BayerTableColumnHeadings"/>
              <w:rPr>
                <w:rFonts w:ascii="Times New Roman" w:hAnsi="Times New Roman"/>
                <w:b w:val="0"/>
                <w:sz w:val="22"/>
                <w:szCs w:val="22"/>
                <w:lang w:val="cs-CZ"/>
              </w:rPr>
            </w:pPr>
            <w:r w:rsidRPr="0028273C">
              <w:rPr>
                <w:rFonts w:ascii="Times New Roman" w:hAnsi="Times New Roman"/>
                <w:b w:val="0"/>
                <w:sz w:val="22"/>
                <w:szCs w:val="22"/>
                <w:lang w:val="cs-CZ"/>
              </w:rPr>
              <w:t>67,5 (30,6)</w:t>
            </w:r>
          </w:p>
        </w:tc>
        <w:tc>
          <w:tcPr>
            <w:tcW w:w="1849" w:type="dxa"/>
            <w:tcBorders>
              <w:right w:val="single" w:sz="18" w:space="0" w:color="auto"/>
            </w:tcBorders>
          </w:tcPr>
          <w:p w14:paraId="520462B5" w14:textId="77777777" w:rsidR="003C155D" w:rsidRPr="0028273C" w:rsidRDefault="003C155D" w:rsidP="003C155D">
            <w:pPr>
              <w:pStyle w:val="BayerTableColumnHeadings"/>
              <w:rPr>
                <w:rFonts w:ascii="Times New Roman" w:hAnsi="Times New Roman"/>
                <w:b w:val="0"/>
                <w:sz w:val="22"/>
                <w:szCs w:val="22"/>
                <w:lang w:val="cs-CZ"/>
              </w:rPr>
            </w:pPr>
            <w:r w:rsidRPr="0028273C">
              <w:rPr>
                <w:rFonts w:ascii="Times New Roman" w:hAnsi="Times New Roman"/>
                <w:b w:val="0"/>
                <w:sz w:val="22"/>
                <w:szCs w:val="22"/>
                <w:lang w:val="cs-CZ"/>
              </w:rPr>
              <w:t>66,6 (31,0)</w:t>
            </w:r>
          </w:p>
        </w:tc>
      </w:tr>
      <w:tr w:rsidR="003C155D" w:rsidRPr="0028273C" w14:paraId="14D735E1" w14:textId="77777777" w:rsidTr="0005661C">
        <w:trPr>
          <w:trHeight w:hRule="exact" w:val="252"/>
        </w:trPr>
        <w:tc>
          <w:tcPr>
            <w:tcW w:w="2139" w:type="dxa"/>
            <w:tcBorders>
              <w:left w:val="single" w:sz="18" w:space="0" w:color="auto"/>
            </w:tcBorders>
          </w:tcPr>
          <w:p w14:paraId="2727E2DE" w14:textId="77777777" w:rsidR="003C155D" w:rsidRPr="0028273C" w:rsidRDefault="003C155D" w:rsidP="003C155D">
            <w:pPr>
              <w:pStyle w:val="BayerTableColumnHeadings"/>
              <w:rPr>
                <w:rFonts w:ascii="Times New Roman" w:hAnsi="Times New Roman"/>
                <w:b w:val="0"/>
                <w:sz w:val="22"/>
                <w:szCs w:val="22"/>
                <w:lang w:val="cs-CZ"/>
              </w:rPr>
            </w:pPr>
            <w:r w:rsidRPr="0028273C">
              <w:rPr>
                <w:rFonts w:ascii="Times New Roman" w:hAnsi="Times New Roman"/>
                <w:b w:val="0"/>
                <w:sz w:val="22"/>
                <w:szCs w:val="22"/>
                <w:lang w:val="cs-CZ"/>
              </w:rPr>
              <w:t>t</w:t>
            </w:r>
            <w:r w:rsidRPr="0028273C">
              <w:rPr>
                <w:rFonts w:ascii="Times New Roman" w:hAnsi="Times New Roman"/>
                <w:b w:val="0"/>
                <w:sz w:val="22"/>
                <w:szCs w:val="22"/>
                <w:vertAlign w:val="subscript"/>
                <w:lang w:val="cs-CZ"/>
              </w:rPr>
              <w:t xml:space="preserve">1/2 </w:t>
            </w:r>
            <w:r w:rsidRPr="0028273C">
              <w:rPr>
                <w:rFonts w:ascii="Times New Roman" w:hAnsi="Times New Roman"/>
                <w:b w:val="0"/>
                <w:sz w:val="22"/>
                <w:szCs w:val="22"/>
                <w:lang w:val="cs-CZ"/>
              </w:rPr>
              <w:t>(h)</w:t>
            </w:r>
          </w:p>
        </w:tc>
        <w:tc>
          <w:tcPr>
            <w:tcW w:w="1610" w:type="dxa"/>
          </w:tcPr>
          <w:p w14:paraId="69CB4369" w14:textId="583F1B1D" w:rsidR="003C155D" w:rsidRPr="0028273C" w:rsidRDefault="003C155D" w:rsidP="003C155D">
            <w:pPr>
              <w:pStyle w:val="BayerTableColumnHeadings"/>
              <w:rPr>
                <w:rFonts w:ascii="Times New Roman" w:hAnsi="Times New Roman"/>
                <w:b w:val="0"/>
                <w:sz w:val="22"/>
                <w:szCs w:val="22"/>
                <w:lang w:val="cs-CZ"/>
              </w:rPr>
            </w:pPr>
            <w:r w:rsidRPr="0030458A">
              <w:rPr>
                <w:rFonts w:ascii="Times New Roman" w:hAnsi="Times New Roman"/>
                <w:b w:val="0"/>
                <w:sz w:val="22"/>
                <w:szCs w:val="22"/>
              </w:rPr>
              <w:t>15</w:t>
            </w:r>
            <w:r>
              <w:rPr>
                <w:rFonts w:ascii="Times New Roman" w:hAnsi="Times New Roman"/>
                <w:b w:val="0"/>
                <w:sz w:val="22"/>
                <w:szCs w:val="22"/>
              </w:rPr>
              <w:t>,</w:t>
            </w:r>
            <w:r w:rsidRPr="0030458A">
              <w:rPr>
                <w:rFonts w:ascii="Times New Roman" w:hAnsi="Times New Roman"/>
                <w:b w:val="0"/>
                <w:sz w:val="22"/>
                <w:szCs w:val="22"/>
              </w:rPr>
              <w:t>0 (19</w:t>
            </w:r>
            <w:r>
              <w:rPr>
                <w:rFonts w:ascii="Times New Roman" w:hAnsi="Times New Roman"/>
                <w:b w:val="0"/>
                <w:sz w:val="22"/>
                <w:szCs w:val="22"/>
              </w:rPr>
              <w:t>,</w:t>
            </w:r>
            <w:r w:rsidRPr="0030458A">
              <w:rPr>
                <w:rFonts w:ascii="Times New Roman" w:hAnsi="Times New Roman"/>
                <w:b w:val="0"/>
                <w:sz w:val="22"/>
                <w:szCs w:val="22"/>
              </w:rPr>
              <w:t>3)</w:t>
            </w:r>
          </w:p>
        </w:tc>
        <w:tc>
          <w:tcPr>
            <w:tcW w:w="1732" w:type="dxa"/>
          </w:tcPr>
          <w:p w14:paraId="403723BC" w14:textId="31E915D2" w:rsidR="003C155D" w:rsidRPr="0028273C" w:rsidRDefault="003C155D" w:rsidP="003C155D">
            <w:pPr>
              <w:pStyle w:val="BayerTableColumnHeadings"/>
              <w:rPr>
                <w:rFonts w:ascii="Times New Roman" w:hAnsi="Times New Roman"/>
                <w:b w:val="0"/>
                <w:sz w:val="22"/>
                <w:szCs w:val="22"/>
                <w:lang w:val="cs-CZ"/>
              </w:rPr>
            </w:pPr>
            <w:r w:rsidRPr="0028273C">
              <w:rPr>
                <w:rFonts w:ascii="Times New Roman" w:hAnsi="Times New Roman"/>
                <w:b w:val="0"/>
                <w:sz w:val="22"/>
                <w:szCs w:val="22"/>
                <w:lang w:val="cs-CZ"/>
              </w:rPr>
              <w:t>16,8 (25,2)</w:t>
            </w:r>
          </w:p>
        </w:tc>
        <w:tc>
          <w:tcPr>
            <w:tcW w:w="1696" w:type="dxa"/>
          </w:tcPr>
          <w:p w14:paraId="1E62A8E8" w14:textId="77777777" w:rsidR="003C155D" w:rsidRPr="0028273C" w:rsidRDefault="003C155D" w:rsidP="003C155D">
            <w:pPr>
              <w:pStyle w:val="BayerTableColumnHeadings"/>
              <w:rPr>
                <w:rFonts w:ascii="Times New Roman" w:hAnsi="Times New Roman"/>
                <w:b w:val="0"/>
                <w:sz w:val="22"/>
                <w:szCs w:val="22"/>
                <w:lang w:val="cs-CZ"/>
              </w:rPr>
            </w:pPr>
            <w:r w:rsidRPr="0028273C">
              <w:rPr>
                <w:rFonts w:ascii="Times New Roman" w:hAnsi="Times New Roman"/>
                <w:b w:val="0"/>
                <w:sz w:val="22"/>
                <w:szCs w:val="22"/>
                <w:lang w:val="cs-CZ"/>
              </w:rPr>
              <w:t>17,4 (28,8)</w:t>
            </w:r>
          </w:p>
        </w:tc>
        <w:tc>
          <w:tcPr>
            <w:tcW w:w="1849" w:type="dxa"/>
            <w:tcBorders>
              <w:right w:val="single" w:sz="18" w:space="0" w:color="auto"/>
            </w:tcBorders>
          </w:tcPr>
          <w:p w14:paraId="49F69C4E" w14:textId="77777777" w:rsidR="003C155D" w:rsidRPr="0028273C" w:rsidRDefault="003C155D" w:rsidP="003C155D">
            <w:pPr>
              <w:pStyle w:val="BayerTableColumnHeadings"/>
              <w:rPr>
                <w:rFonts w:ascii="Times New Roman" w:hAnsi="Times New Roman"/>
                <w:b w:val="0"/>
                <w:sz w:val="22"/>
                <w:szCs w:val="22"/>
                <w:lang w:val="cs-CZ"/>
              </w:rPr>
            </w:pPr>
            <w:r w:rsidRPr="0028273C">
              <w:rPr>
                <w:rFonts w:ascii="Times New Roman" w:hAnsi="Times New Roman"/>
                <w:b w:val="0"/>
                <w:sz w:val="22"/>
                <w:szCs w:val="22"/>
                <w:lang w:val="cs-CZ"/>
              </w:rPr>
              <w:t>17,4 (28,4)</w:t>
            </w:r>
          </w:p>
        </w:tc>
      </w:tr>
      <w:tr w:rsidR="003C155D" w:rsidRPr="0028273C" w14:paraId="525F1D0A" w14:textId="77777777" w:rsidTr="0005661C">
        <w:trPr>
          <w:trHeight w:hRule="exact" w:val="263"/>
        </w:trPr>
        <w:tc>
          <w:tcPr>
            <w:tcW w:w="2139" w:type="dxa"/>
            <w:tcBorders>
              <w:left w:val="single" w:sz="18" w:space="0" w:color="auto"/>
            </w:tcBorders>
          </w:tcPr>
          <w:p w14:paraId="1F3AAE8A" w14:textId="77777777" w:rsidR="003C155D" w:rsidRPr="0028273C" w:rsidRDefault="003C155D" w:rsidP="003C155D">
            <w:pPr>
              <w:pStyle w:val="BayerTableColumnHeadings"/>
              <w:rPr>
                <w:rFonts w:ascii="Times New Roman" w:hAnsi="Times New Roman"/>
                <w:b w:val="0"/>
                <w:sz w:val="22"/>
                <w:szCs w:val="22"/>
                <w:lang w:val="cs-CZ"/>
              </w:rPr>
            </w:pPr>
            <w:proofErr w:type="spellStart"/>
            <w:r w:rsidRPr="0028273C">
              <w:rPr>
                <w:rFonts w:ascii="Times New Roman" w:hAnsi="Times New Roman"/>
                <w:b w:val="0"/>
                <w:sz w:val="22"/>
                <w:szCs w:val="22"/>
                <w:lang w:val="cs-CZ"/>
              </w:rPr>
              <w:t>V</w:t>
            </w:r>
            <w:r w:rsidRPr="0028273C">
              <w:rPr>
                <w:rFonts w:ascii="Times New Roman" w:hAnsi="Times New Roman"/>
                <w:b w:val="0"/>
                <w:sz w:val="22"/>
                <w:szCs w:val="22"/>
                <w:vertAlign w:val="subscript"/>
                <w:lang w:val="cs-CZ"/>
              </w:rPr>
              <w:t>ss</w:t>
            </w:r>
            <w:proofErr w:type="spellEnd"/>
            <w:r w:rsidRPr="0028273C">
              <w:rPr>
                <w:rFonts w:ascii="Times New Roman" w:hAnsi="Times New Roman"/>
                <w:b w:val="0"/>
                <w:sz w:val="22"/>
                <w:szCs w:val="22"/>
                <w:lang w:val="cs-CZ"/>
              </w:rPr>
              <w:t xml:space="preserve"> (dl/kg)</w:t>
            </w:r>
          </w:p>
        </w:tc>
        <w:tc>
          <w:tcPr>
            <w:tcW w:w="1610" w:type="dxa"/>
          </w:tcPr>
          <w:p w14:paraId="56223345" w14:textId="00FB79E3" w:rsidR="003C155D" w:rsidRPr="0028273C" w:rsidRDefault="003C155D" w:rsidP="003C155D">
            <w:pPr>
              <w:pStyle w:val="BayerTableColumnHeadings"/>
              <w:rPr>
                <w:rFonts w:ascii="Times New Roman" w:hAnsi="Times New Roman"/>
                <w:b w:val="0"/>
                <w:sz w:val="22"/>
                <w:szCs w:val="22"/>
                <w:lang w:val="cs-CZ"/>
              </w:rPr>
            </w:pPr>
            <w:r w:rsidRPr="0030458A">
              <w:rPr>
                <w:rFonts w:ascii="Times New Roman" w:hAnsi="Times New Roman"/>
                <w:b w:val="0"/>
                <w:sz w:val="22"/>
                <w:szCs w:val="22"/>
              </w:rPr>
              <w:t>0</w:t>
            </w:r>
            <w:r>
              <w:rPr>
                <w:rFonts w:ascii="Times New Roman" w:hAnsi="Times New Roman"/>
                <w:b w:val="0"/>
                <w:sz w:val="22"/>
                <w:szCs w:val="22"/>
              </w:rPr>
              <w:t>,</w:t>
            </w:r>
            <w:r w:rsidRPr="0030458A">
              <w:rPr>
                <w:rFonts w:ascii="Times New Roman" w:hAnsi="Times New Roman"/>
                <w:b w:val="0"/>
                <w:sz w:val="22"/>
                <w:szCs w:val="22"/>
              </w:rPr>
              <w:t>481 (15</w:t>
            </w:r>
            <w:r>
              <w:rPr>
                <w:rFonts w:ascii="Times New Roman" w:hAnsi="Times New Roman"/>
                <w:b w:val="0"/>
                <w:sz w:val="22"/>
                <w:szCs w:val="22"/>
              </w:rPr>
              <w:t>,</w:t>
            </w:r>
            <w:r w:rsidRPr="0030458A">
              <w:rPr>
                <w:rFonts w:ascii="Times New Roman" w:hAnsi="Times New Roman"/>
                <w:b w:val="0"/>
                <w:sz w:val="22"/>
                <w:szCs w:val="22"/>
              </w:rPr>
              <w:t>3)</w:t>
            </w:r>
          </w:p>
        </w:tc>
        <w:tc>
          <w:tcPr>
            <w:tcW w:w="1732" w:type="dxa"/>
          </w:tcPr>
          <w:p w14:paraId="2946A7A5" w14:textId="7D1F3310" w:rsidR="003C155D" w:rsidRPr="0028273C" w:rsidRDefault="003C155D" w:rsidP="003C155D">
            <w:pPr>
              <w:pStyle w:val="BayerTableColumnHeadings"/>
              <w:rPr>
                <w:rFonts w:ascii="Times New Roman" w:hAnsi="Times New Roman"/>
                <w:b w:val="0"/>
                <w:sz w:val="22"/>
                <w:szCs w:val="22"/>
                <w:lang w:val="cs-CZ"/>
              </w:rPr>
            </w:pPr>
            <w:r w:rsidRPr="0028273C">
              <w:rPr>
                <w:rFonts w:ascii="Times New Roman" w:hAnsi="Times New Roman"/>
                <w:b w:val="0"/>
                <w:sz w:val="22"/>
                <w:szCs w:val="22"/>
                <w:lang w:val="cs-CZ"/>
              </w:rPr>
              <w:t>0,423 (15,5)</w:t>
            </w:r>
          </w:p>
        </w:tc>
        <w:tc>
          <w:tcPr>
            <w:tcW w:w="1696" w:type="dxa"/>
          </w:tcPr>
          <w:p w14:paraId="169A31AC" w14:textId="77777777" w:rsidR="003C155D" w:rsidRPr="0028273C" w:rsidRDefault="003C155D" w:rsidP="003C155D">
            <w:pPr>
              <w:pStyle w:val="BayerTableColumnHeadings"/>
              <w:rPr>
                <w:rFonts w:ascii="Times New Roman" w:hAnsi="Times New Roman"/>
                <w:b w:val="0"/>
                <w:sz w:val="22"/>
                <w:szCs w:val="22"/>
                <w:lang w:val="cs-CZ"/>
              </w:rPr>
            </w:pPr>
            <w:r w:rsidRPr="0028273C">
              <w:rPr>
                <w:rFonts w:ascii="Times New Roman" w:hAnsi="Times New Roman"/>
                <w:b w:val="0"/>
                <w:sz w:val="22"/>
                <w:szCs w:val="22"/>
                <w:lang w:val="cs-CZ"/>
              </w:rPr>
              <w:t>0,373 (15,6)</w:t>
            </w:r>
          </w:p>
        </w:tc>
        <w:tc>
          <w:tcPr>
            <w:tcW w:w="1849" w:type="dxa"/>
            <w:tcBorders>
              <w:right w:val="single" w:sz="18" w:space="0" w:color="auto"/>
            </w:tcBorders>
          </w:tcPr>
          <w:p w14:paraId="347046F6" w14:textId="77777777" w:rsidR="003C155D" w:rsidRPr="0028273C" w:rsidRDefault="003C155D" w:rsidP="003C155D">
            <w:pPr>
              <w:pStyle w:val="BayerTableColumnHeadings"/>
              <w:rPr>
                <w:rFonts w:ascii="Times New Roman" w:hAnsi="Times New Roman"/>
                <w:b w:val="0"/>
                <w:sz w:val="22"/>
                <w:szCs w:val="22"/>
                <w:lang w:val="cs-CZ"/>
              </w:rPr>
            </w:pPr>
            <w:r w:rsidRPr="0028273C">
              <w:rPr>
                <w:rFonts w:ascii="Times New Roman" w:hAnsi="Times New Roman"/>
                <w:b w:val="0"/>
                <w:sz w:val="22"/>
                <w:szCs w:val="22"/>
                <w:lang w:val="cs-CZ"/>
              </w:rPr>
              <w:t>0,376 (15,9)</w:t>
            </w:r>
          </w:p>
        </w:tc>
      </w:tr>
      <w:tr w:rsidR="003C155D" w:rsidRPr="0028273C" w14:paraId="6A3FD644" w14:textId="77777777" w:rsidTr="0005661C">
        <w:trPr>
          <w:trHeight w:hRule="exact" w:val="252"/>
        </w:trPr>
        <w:tc>
          <w:tcPr>
            <w:tcW w:w="2139" w:type="dxa"/>
            <w:tcBorders>
              <w:left w:val="single" w:sz="18" w:space="0" w:color="auto"/>
              <w:bottom w:val="single" w:sz="18" w:space="0" w:color="auto"/>
            </w:tcBorders>
          </w:tcPr>
          <w:p w14:paraId="25E9E206" w14:textId="77777777" w:rsidR="003C155D" w:rsidRPr="0028273C" w:rsidRDefault="003C155D" w:rsidP="003C155D">
            <w:pPr>
              <w:pStyle w:val="BayerTableColumnHeadings"/>
              <w:rPr>
                <w:rFonts w:ascii="Times New Roman" w:hAnsi="Times New Roman"/>
                <w:b w:val="0"/>
                <w:sz w:val="22"/>
                <w:szCs w:val="22"/>
                <w:lang w:val="cs-CZ"/>
              </w:rPr>
            </w:pPr>
            <w:r w:rsidRPr="0028273C">
              <w:rPr>
                <w:rFonts w:ascii="Times New Roman" w:hAnsi="Times New Roman"/>
                <w:b w:val="0"/>
                <w:sz w:val="22"/>
                <w:szCs w:val="22"/>
                <w:lang w:val="cs-CZ"/>
              </w:rPr>
              <w:t>CL (dl/h/kg)</w:t>
            </w:r>
          </w:p>
        </w:tc>
        <w:tc>
          <w:tcPr>
            <w:tcW w:w="1610" w:type="dxa"/>
            <w:tcBorders>
              <w:bottom w:val="single" w:sz="18" w:space="0" w:color="auto"/>
            </w:tcBorders>
          </w:tcPr>
          <w:p w14:paraId="544DCDA5" w14:textId="1D0B973D" w:rsidR="003C155D" w:rsidRPr="0028273C" w:rsidRDefault="003C155D" w:rsidP="003C155D">
            <w:pPr>
              <w:pStyle w:val="BayerTableColumnHeadings"/>
              <w:rPr>
                <w:rFonts w:ascii="Times New Roman" w:hAnsi="Times New Roman"/>
                <w:b w:val="0"/>
                <w:sz w:val="22"/>
                <w:szCs w:val="22"/>
                <w:lang w:val="cs-CZ"/>
              </w:rPr>
            </w:pPr>
            <w:r w:rsidRPr="0030458A">
              <w:rPr>
                <w:rFonts w:ascii="Times New Roman" w:hAnsi="Times New Roman"/>
                <w:b w:val="0"/>
                <w:sz w:val="22"/>
                <w:szCs w:val="22"/>
              </w:rPr>
              <w:t>0</w:t>
            </w:r>
            <w:r>
              <w:rPr>
                <w:rFonts w:ascii="Times New Roman" w:hAnsi="Times New Roman"/>
                <w:b w:val="0"/>
                <w:sz w:val="22"/>
                <w:szCs w:val="22"/>
              </w:rPr>
              <w:t>,</w:t>
            </w:r>
            <w:r w:rsidRPr="0030458A">
              <w:rPr>
                <w:rFonts w:ascii="Times New Roman" w:hAnsi="Times New Roman"/>
                <w:b w:val="0"/>
                <w:sz w:val="22"/>
                <w:szCs w:val="22"/>
              </w:rPr>
              <w:t>0223 (22</w:t>
            </w:r>
            <w:r>
              <w:rPr>
                <w:rFonts w:ascii="Times New Roman" w:hAnsi="Times New Roman"/>
                <w:b w:val="0"/>
                <w:sz w:val="22"/>
                <w:szCs w:val="22"/>
              </w:rPr>
              <w:t>,</w:t>
            </w:r>
            <w:r w:rsidRPr="0030458A">
              <w:rPr>
                <w:rFonts w:ascii="Times New Roman" w:hAnsi="Times New Roman"/>
                <w:b w:val="0"/>
                <w:sz w:val="22"/>
                <w:szCs w:val="22"/>
              </w:rPr>
              <w:t>9)</w:t>
            </w:r>
          </w:p>
        </w:tc>
        <w:tc>
          <w:tcPr>
            <w:tcW w:w="1732" w:type="dxa"/>
            <w:tcBorders>
              <w:bottom w:val="single" w:sz="18" w:space="0" w:color="auto"/>
            </w:tcBorders>
          </w:tcPr>
          <w:p w14:paraId="1890CE68" w14:textId="0BC46612" w:rsidR="003C155D" w:rsidRPr="0028273C" w:rsidRDefault="003C155D" w:rsidP="003C155D">
            <w:pPr>
              <w:pStyle w:val="BayerTableColumnHeadings"/>
              <w:rPr>
                <w:rFonts w:ascii="Times New Roman" w:hAnsi="Times New Roman"/>
                <w:b w:val="0"/>
                <w:sz w:val="22"/>
                <w:szCs w:val="22"/>
                <w:lang w:val="cs-CZ"/>
              </w:rPr>
            </w:pPr>
            <w:r w:rsidRPr="0028273C">
              <w:rPr>
                <w:rFonts w:ascii="Times New Roman" w:hAnsi="Times New Roman"/>
                <w:b w:val="0"/>
                <w:sz w:val="22"/>
                <w:szCs w:val="22"/>
                <w:lang w:val="cs-CZ"/>
              </w:rPr>
              <w:t>0,0174 (34,2)</w:t>
            </w:r>
          </w:p>
        </w:tc>
        <w:tc>
          <w:tcPr>
            <w:tcW w:w="1696" w:type="dxa"/>
            <w:tcBorders>
              <w:bottom w:val="single" w:sz="18" w:space="0" w:color="auto"/>
            </w:tcBorders>
          </w:tcPr>
          <w:p w14:paraId="064B378A" w14:textId="77777777" w:rsidR="003C155D" w:rsidRPr="0028273C" w:rsidRDefault="003C155D" w:rsidP="003C155D">
            <w:pPr>
              <w:pStyle w:val="BayerTableColumnHeadings"/>
              <w:rPr>
                <w:rFonts w:ascii="Times New Roman" w:hAnsi="Times New Roman"/>
                <w:b w:val="0"/>
                <w:sz w:val="22"/>
                <w:szCs w:val="22"/>
                <w:lang w:val="cs-CZ"/>
              </w:rPr>
            </w:pPr>
            <w:r w:rsidRPr="0028273C">
              <w:rPr>
                <w:rFonts w:ascii="Times New Roman" w:hAnsi="Times New Roman"/>
                <w:b w:val="0"/>
                <w:sz w:val="22"/>
                <w:szCs w:val="22"/>
                <w:lang w:val="cs-CZ"/>
              </w:rPr>
              <w:t>0,0148 (31,1)</w:t>
            </w:r>
          </w:p>
        </w:tc>
        <w:tc>
          <w:tcPr>
            <w:tcW w:w="1849" w:type="dxa"/>
            <w:tcBorders>
              <w:bottom w:val="single" w:sz="18" w:space="0" w:color="auto"/>
              <w:right w:val="single" w:sz="18" w:space="0" w:color="auto"/>
            </w:tcBorders>
          </w:tcPr>
          <w:p w14:paraId="0E9E4EC0" w14:textId="77777777" w:rsidR="003C155D" w:rsidRPr="0028273C" w:rsidRDefault="003C155D" w:rsidP="003C155D">
            <w:pPr>
              <w:pStyle w:val="BayerTableColumnHeadings"/>
              <w:rPr>
                <w:rFonts w:ascii="Times New Roman" w:hAnsi="Times New Roman"/>
                <w:b w:val="0"/>
                <w:sz w:val="22"/>
                <w:szCs w:val="22"/>
                <w:lang w:val="cs-CZ"/>
              </w:rPr>
            </w:pPr>
            <w:r w:rsidRPr="0028273C">
              <w:rPr>
                <w:rFonts w:ascii="Times New Roman" w:hAnsi="Times New Roman"/>
                <w:b w:val="0"/>
                <w:sz w:val="22"/>
                <w:szCs w:val="22"/>
                <w:lang w:val="cs-CZ"/>
              </w:rPr>
              <w:t>0,0150 (31,6)</w:t>
            </w:r>
          </w:p>
        </w:tc>
      </w:tr>
    </w:tbl>
    <w:p w14:paraId="2E0BE996" w14:textId="77777777" w:rsidR="00D06E95" w:rsidRPr="0028273C" w:rsidRDefault="00D06E95" w:rsidP="00735457">
      <w:pPr>
        <w:autoSpaceDE w:val="0"/>
        <w:autoSpaceDN w:val="0"/>
        <w:adjustRightInd w:val="0"/>
        <w:rPr>
          <w:szCs w:val="22"/>
          <w:lang w:val="cs-CZ"/>
        </w:rPr>
      </w:pPr>
      <w:r w:rsidRPr="0028273C">
        <w:rPr>
          <w:szCs w:val="22"/>
          <w:lang w:val="cs-CZ"/>
        </w:rPr>
        <w:t>*</w:t>
      </w:r>
      <w:r w:rsidR="008E0BBD" w:rsidRPr="0028273C">
        <w:rPr>
          <w:lang w:val="cs-CZ"/>
        </w:rPr>
        <w:t xml:space="preserve"> AUC vypočtená pro dávku 60 IU/kg</w:t>
      </w:r>
    </w:p>
    <w:p w14:paraId="1A0CF523" w14:textId="77777777" w:rsidR="00D06E95" w:rsidRPr="0028273C" w:rsidRDefault="00D06E95" w:rsidP="00735457">
      <w:pPr>
        <w:autoSpaceDE w:val="0"/>
        <w:autoSpaceDN w:val="0"/>
        <w:adjustRightInd w:val="0"/>
        <w:rPr>
          <w:szCs w:val="22"/>
          <w:lang w:val="cs-CZ"/>
        </w:rPr>
      </w:pPr>
    </w:p>
    <w:p w14:paraId="7E250ACA" w14:textId="77777777" w:rsidR="00DD6503" w:rsidRPr="0028273C" w:rsidRDefault="00DD6503" w:rsidP="00FA1963">
      <w:pPr>
        <w:keepNext/>
        <w:tabs>
          <w:tab w:val="clear" w:pos="567"/>
        </w:tabs>
        <w:outlineLvl w:val="2"/>
        <w:rPr>
          <w:b/>
          <w:szCs w:val="22"/>
          <w:lang w:val="cs-CZ"/>
        </w:rPr>
      </w:pPr>
      <w:r w:rsidRPr="0028273C">
        <w:rPr>
          <w:b/>
          <w:szCs w:val="22"/>
          <w:lang w:val="cs-CZ"/>
        </w:rPr>
        <w:t>5.3</w:t>
      </w:r>
      <w:r w:rsidRPr="0028273C">
        <w:rPr>
          <w:b/>
          <w:szCs w:val="22"/>
          <w:lang w:val="cs-CZ"/>
        </w:rPr>
        <w:tab/>
      </w:r>
      <w:proofErr w:type="spellStart"/>
      <w:r w:rsidR="00883D61" w:rsidRPr="0028273C">
        <w:rPr>
          <w:b/>
          <w:szCs w:val="22"/>
          <w:lang w:val="cs-CZ"/>
        </w:rPr>
        <w:t>Předklinické</w:t>
      </w:r>
      <w:proofErr w:type="spellEnd"/>
      <w:r w:rsidR="00883D61" w:rsidRPr="0028273C">
        <w:rPr>
          <w:b/>
          <w:szCs w:val="22"/>
          <w:lang w:val="cs-CZ"/>
        </w:rPr>
        <w:t xml:space="preserve"> údaje vztahující se k bezpečnosti</w:t>
      </w:r>
    </w:p>
    <w:p w14:paraId="6E1BE7BC" w14:textId="77777777" w:rsidR="00DD6503" w:rsidRPr="0028273C" w:rsidRDefault="00DD6503" w:rsidP="00735457">
      <w:pPr>
        <w:keepNext/>
        <w:keepLines/>
        <w:tabs>
          <w:tab w:val="clear" w:pos="567"/>
        </w:tabs>
        <w:rPr>
          <w:szCs w:val="22"/>
          <w:lang w:val="cs-CZ"/>
        </w:rPr>
      </w:pPr>
    </w:p>
    <w:p w14:paraId="3F95F6FB" w14:textId="77777777" w:rsidR="00287DAB" w:rsidRPr="0028273C" w:rsidRDefault="00287DAB" w:rsidP="00735457">
      <w:pPr>
        <w:rPr>
          <w:szCs w:val="22"/>
          <w:lang w:val="cs-CZ"/>
        </w:rPr>
      </w:pPr>
      <w:r w:rsidRPr="0028273C">
        <w:rPr>
          <w:szCs w:val="22"/>
          <w:lang w:val="cs-CZ"/>
        </w:rPr>
        <w:t xml:space="preserve">Přípravek </w:t>
      </w:r>
      <w:proofErr w:type="spellStart"/>
      <w:r w:rsidRPr="0028273C">
        <w:rPr>
          <w:szCs w:val="22"/>
          <w:lang w:val="cs-CZ"/>
        </w:rPr>
        <w:t>Jivi</w:t>
      </w:r>
      <w:proofErr w:type="spellEnd"/>
      <w:r w:rsidRPr="0028273C">
        <w:rPr>
          <w:szCs w:val="22"/>
          <w:lang w:val="cs-CZ"/>
        </w:rPr>
        <w:t xml:space="preserve"> byl hodnocen ve farmakologických studiích, ve studiích s jednorázovou a opakovanou dávkou, stejně jako ve studiích toxicity u</w:t>
      </w:r>
      <w:r w:rsidR="005E5256" w:rsidRPr="0028273C">
        <w:rPr>
          <w:szCs w:val="22"/>
          <w:lang w:val="cs-CZ"/>
        </w:rPr>
        <w:t> mláďat</w:t>
      </w:r>
      <w:r w:rsidRPr="0028273C">
        <w:rPr>
          <w:szCs w:val="22"/>
          <w:lang w:val="cs-CZ"/>
        </w:rPr>
        <w:t xml:space="preserve"> potkanů a králíků.</w:t>
      </w:r>
      <w:r w:rsidR="00656B5D" w:rsidRPr="0028273C">
        <w:rPr>
          <w:szCs w:val="22"/>
          <w:lang w:val="cs-CZ"/>
        </w:rPr>
        <w:t xml:space="preserve"> V dlouhodobé 6měsíční studii chronické toxicity nebyl</w:t>
      </w:r>
      <w:r w:rsidR="005E5256" w:rsidRPr="0028273C">
        <w:rPr>
          <w:szCs w:val="22"/>
          <w:lang w:val="cs-CZ"/>
        </w:rPr>
        <w:t>y</w:t>
      </w:r>
      <w:r w:rsidR="00656B5D" w:rsidRPr="0028273C">
        <w:rPr>
          <w:szCs w:val="22"/>
          <w:lang w:val="cs-CZ"/>
        </w:rPr>
        <w:t xml:space="preserve"> pozorován</w:t>
      </w:r>
      <w:r w:rsidR="005E5256" w:rsidRPr="0028273C">
        <w:rPr>
          <w:szCs w:val="22"/>
          <w:lang w:val="cs-CZ"/>
        </w:rPr>
        <w:t>y</w:t>
      </w:r>
      <w:r w:rsidR="00656B5D" w:rsidRPr="0028273C">
        <w:rPr>
          <w:szCs w:val="22"/>
          <w:lang w:val="cs-CZ"/>
        </w:rPr>
        <w:t xml:space="preserve"> žádn</w:t>
      </w:r>
      <w:r w:rsidR="005E5256" w:rsidRPr="0028273C">
        <w:rPr>
          <w:szCs w:val="22"/>
          <w:lang w:val="cs-CZ"/>
        </w:rPr>
        <w:t>é projevy</w:t>
      </w:r>
      <w:r w:rsidR="00656B5D" w:rsidRPr="0028273C">
        <w:rPr>
          <w:szCs w:val="22"/>
          <w:lang w:val="cs-CZ"/>
        </w:rPr>
        <w:t xml:space="preserve"> akumulace PEG </w:t>
      </w:r>
      <w:r w:rsidR="005E5256" w:rsidRPr="0028273C">
        <w:rPr>
          <w:szCs w:val="22"/>
          <w:lang w:val="cs-CZ"/>
        </w:rPr>
        <w:t>ani</w:t>
      </w:r>
      <w:r w:rsidR="00656B5D" w:rsidRPr="0028273C">
        <w:rPr>
          <w:szCs w:val="22"/>
          <w:lang w:val="cs-CZ"/>
        </w:rPr>
        <w:t xml:space="preserve"> další účinky související s podáváním přípravku </w:t>
      </w:r>
      <w:proofErr w:type="spellStart"/>
      <w:r w:rsidR="00656B5D" w:rsidRPr="0028273C">
        <w:rPr>
          <w:szCs w:val="22"/>
          <w:lang w:val="cs-CZ"/>
        </w:rPr>
        <w:t>Jivi</w:t>
      </w:r>
      <w:proofErr w:type="spellEnd"/>
      <w:r w:rsidR="00656B5D" w:rsidRPr="0028273C">
        <w:rPr>
          <w:szCs w:val="22"/>
          <w:lang w:val="cs-CZ"/>
        </w:rPr>
        <w:t>.</w:t>
      </w:r>
      <w:r w:rsidRPr="0028273C">
        <w:rPr>
          <w:szCs w:val="22"/>
          <w:lang w:val="cs-CZ"/>
        </w:rPr>
        <w:t xml:space="preserve"> </w:t>
      </w:r>
      <w:r w:rsidR="005E5256" w:rsidRPr="0028273C">
        <w:rPr>
          <w:szCs w:val="22"/>
          <w:lang w:val="cs-CZ"/>
        </w:rPr>
        <w:t xml:space="preserve">Dále byly provedeny 4týdenní studie toxicity s PEG skupinou přípravku </w:t>
      </w:r>
      <w:proofErr w:type="spellStart"/>
      <w:r w:rsidR="005E5256" w:rsidRPr="0028273C">
        <w:rPr>
          <w:szCs w:val="22"/>
          <w:lang w:val="cs-CZ"/>
        </w:rPr>
        <w:t>Jivi</w:t>
      </w:r>
      <w:proofErr w:type="spellEnd"/>
      <w:r w:rsidR="005E5256" w:rsidRPr="0028273C">
        <w:rPr>
          <w:szCs w:val="22"/>
          <w:lang w:val="cs-CZ"/>
        </w:rPr>
        <w:t xml:space="preserve"> u dvou druhů zvířat. Skupina linkeru </w:t>
      </w:r>
      <w:r w:rsidR="00656B5D" w:rsidRPr="0028273C">
        <w:rPr>
          <w:szCs w:val="22"/>
          <w:lang w:val="cs-CZ"/>
        </w:rPr>
        <w:t>PEG byla také testována u</w:t>
      </w:r>
      <w:r w:rsidR="005E5256" w:rsidRPr="0028273C">
        <w:rPr>
          <w:szCs w:val="22"/>
          <w:lang w:val="cs-CZ"/>
        </w:rPr>
        <w:t> </w:t>
      </w:r>
      <w:r w:rsidR="00656B5D" w:rsidRPr="0028273C">
        <w:rPr>
          <w:szCs w:val="22"/>
          <w:lang w:val="cs-CZ"/>
        </w:rPr>
        <w:t xml:space="preserve">standardního souboru </w:t>
      </w:r>
      <w:r w:rsidR="004418BF" w:rsidRPr="0028273C">
        <w:rPr>
          <w:szCs w:val="22"/>
          <w:lang w:val="cs-CZ"/>
        </w:rPr>
        <w:t xml:space="preserve">studií genotoxicity </w:t>
      </w:r>
      <w:r w:rsidR="00656B5D" w:rsidRPr="0028273C">
        <w:rPr>
          <w:i/>
          <w:szCs w:val="22"/>
          <w:lang w:val="cs-CZ"/>
        </w:rPr>
        <w:t>in</w:t>
      </w:r>
      <w:r w:rsidR="005E5256" w:rsidRPr="0028273C">
        <w:rPr>
          <w:i/>
          <w:szCs w:val="22"/>
          <w:lang w:val="cs-CZ"/>
        </w:rPr>
        <w:t> </w:t>
      </w:r>
      <w:proofErr w:type="spellStart"/>
      <w:r w:rsidR="00656B5D" w:rsidRPr="0028273C">
        <w:rPr>
          <w:i/>
          <w:szCs w:val="22"/>
          <w:lang w:val="cs-CZ"/>
        </w:rPr>
        <w:t>vivo</w:t>
      </w:r>
      <w:proofErr w:type="spellEnd"/>
      <w:r w:rsidR="00656B5D" w:rsidRPr="0028273C">
        <w:rPr>
          <w:szCs w:val="22"/>
          <w:lang w:val="cs-CZ"/>
        </w:rPr>
        <w:t xml:space="preserve"> a</w:t>
      </w:r>
      <w:r w:rsidR="005E5256" w:rsidRPr="00124755">
        <w:rPr>
          <w:i/>
          <w:szCs w:val="22"/>
          <w:lang w:val="cs-CZ"/>
        </w:rPr>
        <w:t> </w:t>
      </w:r>
      <w:r w:rsidR="00656B5D" w:rsidRPr="00202168">
        <w:rPr>
          <w:i/>
          <w:szCs w:val="22"/>
          <w:lang w:val="cs-CZ"/>
        </w:rPr>
        <w:t>in</w:t>
      </w:r>
      <w:r w:rsidR="005E5256" w:rsidRPr="00202168">
        <w:rPr>
          <w:i/>
          <w:szCs w:val="22"/>
          <w:lang w:val="cs-CZ"/>
        </w:rPr>
        <w:t> </w:t>
      </w:r>
      <w:r w:rsidR="00656B5D" w:rsidRPr="00202168">
        <w:rPr>
          <w:i/>
          <w:szCs w:val="22"/>
          <w:lang w:val="cs-CZ"/>
        </w:rPr>
        <w:t>vitro</w:t>
      </w:r>
      <w:r w:rsidR="004418BF" w:rsidRPr="0028273C">
        <w:rPr>
          <w:szCs w:val="22"/>
          <w:lang w:val="cs-CZ"/>
        </w:rPr>
        <w:t>, jež</w:t>
      </w:r>
      <w:r w:rsidR="00656B5D" w:rsidRPr="0028273C">
        <w:rPr>
          <w:szCs w:val="22"/>
          <w:lang w:val="cs-CZ"/>
        </w:rPr>
        <w:t xml:space="preserve"> </w:t>
      </w:r>
      <w:r w:rsidR="004418BF" w:rsidRPr="0028273C">
        <w:rPr>
          <w:szCs w:val="22"/>
          <w:lang w:val="cs-CZ"/>
        </w:rPr>
        <w:t>nenaznačily</w:t>
      </w:r>
      <w:r w:rsidR="00656B5D" w:rsidRPr="0028273C">
        <w:rPr>
          <w:szCs w:val="22"/>
          <w:lang w:val="cs-CZ"/>
        </w:rPr>
        <w:t xml:space="preserve"> žádný genotoxický potenciál. Tyto s</w:t>
      </w:r>
      <w:r w:rsidRPr="0028273C">
        <w:rPr>
          <w:szCs w:val="22"/>
          <w:lang w:val="cs-CZ"/>
        </w:rPr>
        <w:t xml:space="preserve">tudie nezjistily žádné bezpečnostní obavy </w:t>
      </w:r>
      <w:r w:rsidR="002054B2">
        <w:rPr>
          <w:szCs w:val="22"/>
          <w:lang w:val="cs-CZ"/>
        </w:rPr>
        <w:t xml:space="preserve">použití </w:t>
      </w:r>
      <w:r w:rsidRPr="0028273C">
        <w:rPr>
          <w:szCs w:val="22"/>
          <w:lang w:val="cs-CZ"/>
        </w:rPr>
        <w:t>u lidí.</w:t>
      </w:r>
    </w:p>
    <w:p w14:paraId="7730D35F" w14:textId="77777777" w:rsidR="00287DAB" w:rsidRPr="0028273C" w:rsidRDefault="00287DAB" w:rsidP="00735457">
      <w:pPr>
        <w:rPr>
          <w:szCs w:val="22"/>
          <w:highlight w:val="green"/>
          <w:lang w:val="cs-CZ"/>
        </w:rPr>
      </w:pPr>
    </w:p>
    <w:p w14:paraId="2729DBB3" w14:textId="77777777" w:rsidR="00287DAB" w:rsidRPr="0028273C" w:rsidRDefault="00287DAB" w:rsidP="00735457">
      <w:pPr>
        <w:rPr>
          <w:szCs w:val="22"/>
          <w:lang w:val="cs-CZ"/>
        </w:rPr>
      </w:pPr>
      <w:r w:rsidRPr="0028273C">
        <w:rPr>
          <w:szCs w:val="22"/>
          <w:lang w:val="cs-CZ"/>
        </w:rPr>
        <w:t xml:space="preserve">Studie s jednou dávkou u potkanů s radioaktivně značenou PEG skupinou ukázaly, že v těle zvířete nebyly žádné známky </w:t>
      </w:r>
      <w:r w:rsidR="000E5D8D">
        <w:rPr>
          <w:szCs w:val="22"/>
          <w:lang w:val="cs-CZ"/>
        </w:rPr>
        <w:t>hromadění</w:t>
      </w:r>
      <w:r w:rsidR="000E5D8D" w:rsidRPr="0028273C">
        <w:rPr>
          <w:szCs w:val="22"/>
          <w:lang w:val="cs-CZ"/>
        </w:rPr>
        <w:t xml:space="preserve"> </w:t>
      </w:r>
      <w:r w:rsidRPr="0028273C">
        <w:rPr>
          <w:szCs w:val="22"/>
          <w:lang w:val="cs-CZ"/>
        </w:rPr>
        <w:t xml:space="preserve">nebo ireverzibilní vazby radioaktivity. Konkrétně </w:t>
      </w:r>
      <w:r w:rsidR="002A0249">
        <w:rPr>
          <w:szCs w:val="22"/>
          <w:lang w:val="cs-CZ"/>
        </w:rPr>
        <w:t xml:space="preserve">v mozku </w:t>
      </w:r>
      <w:r w:rsidRPr="0028273C">
        <w:rPr>
          <w:szCs w:val="22"/>
          <w:lang w:val="cs-CZ"/>
        </w:rPr>
        <w:t>nebyla zjištěna žádná reziduální radioaktivita, což naznačuje, že radioaktivně značená sloučenina ne</w:t>
      </w:r>
      <w:r w:rsidR="002A0249">
        <w:rPr>
          <w:szCs w:val="22"/>
          <w:lang w:val="cs-CZ"/>
        </w:rPr>
        <w:t>prostoupila</w:t>
      </w:r>
      <w:r w:rsidRPr="0028273C">
        <w:rPr>
          <w:szCs w:val="22"/>
          <w:lang w:val="cs-CZ"/>
        </w:rPr>
        <w:t xml:space="preserve"> hematoencefalickou bariér</w:t>
      </w:r>
      <w:r w:rsidR="002A0249">
        <w:rPr>
          <w:szCs w:val="22"/>
          <w:lang w:val="cs-CZ"/>
        </w:rPr>
        <w:t>o</w:t>
      </w:r>
      <w:r w:rsidRPr="0028273C">
        <w:rPr>
          <w:szCs w:val="22"/>
          <w:lang w:val="cs-CZ"/>
        </w:rPr>
        <w:t xml:space="preserve">u. V studiích distribuce a eliminace u potkanů bylo prokázáno, že 60kDa složka PEG v přípravku </w:t>
      </w:r>
      <w:proofErr w:type="spellStart"/>
      <w:r w:rsidRPr="0028273C">
        <w:rPr>
          <w:szCs w:val="22"/>
          <w:lang w:val="cs-CZ"/>
        </w:rPr>
        <w:t>Jivi</w:t>
      </w:r>
      <w:proofErr w:type="spellEnd"/>
      <w:r w:rsidRPr="0028273C">
        <w:rPr>
          <w:szCs w:val="22"/>
          <w:lang w:val="cs-CZ"/>
        </w:rPr>
        <w:t xml:space="preserve"> je rozsáhle distribuována a eliminována z orgánů a tkání a eliminována močí (68,4 % až do dne 231 po podání) a stolicí (13,8 % až 168</w:t>
      </w:r>
      <w:r w:rsidR="00FC5D76" w:rsidRPr="0028273C">
        <w:rPr>
          <w:szCs w:val="22"/>
          <w:lang w:val="cs-CZ"/>
        </w:rPr>
        <w:t> </w:t>
      </w:r>
      <w:r w:rsidRPr="0028273C">
        <w:rPr>
          <w:szCs w:val="22"/>
          <w:lang w:val="cs-CZ"/>
        </w:rPr>
        <w:t>dnů po podání).</w:t>
      </w:r>
    </w:p>
    <w:p w14:paraId="0BDE22FE" w14:textId="77777777" w:rsidR="00287DAB" w:rsidRPr="0028273C" w:rsidRDefault="00287DAB" w:rsidP="00735457">
      <w:pPr>
        <w:rPr>
          <w:szCs w:val="22"/>
          <w:highlight w:val="green"/>
          <w:lang w:val="cs-CZ"/>
        </w:rPr>
      </w:pPr>
    </w:p>
    <w:p w14:paraId="63F13041" w14:textId="6337BAF1" w:rsidR="00287DAB" w:rsidRPr="0028273C" w:rsidRDefault="00287DAB" w:rsidP="00735457">
      <w:pPr>
        <w:rPr>
          <w:szCs w:val="22"/>
          <w:highlight w:val="green"/>
          <w:lang w:val="cs-CZ"/>
        </w:rPr>
      </w:pPr>
      <w:r w:rsidRPr="0028273C">
        <w:rPr>
          <w:szCs w:val="22"/>
          <w:lang w:val="cs-CZ"/>
        </w:rPr>
        <w:t xml:space="preserve">Nebyly provedeny žádné dlouhodobé studie </w:t>
      </w:r>
      <w:r w:rsidR="008D0867">
        <w:rPr>
          <w:szCs w:val="22"/>
          <w:lang w:val="cs-CZ"/>
        </w:rPr>
        <w:t>na</w:t>
      </w:r>
      <w:r w:rsidRPr="0028273C">
        <w:rPr>
          <w:szCs w:val="22"/>
          <w:lang w:val="cs-CZ"/>
        </w:rPr>
        <w:t xml:space="preserve"> zvířat</w:t>
      </w:r>
      <w:r w:rsidR="008D0867">
        <w:rPr>
          <w:szCs w:val="22"/>
          <w:lang w:val="cs-CZ"/>
        </w:rPr>
        <w:t>ech</w:t>
      </w:r>
      <w:r w:rsidRPr="0028273C">
        <w:rPr>
          <w:szCs w:val="22"/>
          <w:lang w:val="cs-CZ"/>
        </w:rPr>
        <w:t xml:space="preserve"> s cílem zhodnotit karcinogenní potenciál přípravku </w:t>
      </w:r>
      <w:proofErr w:type="spellStart"/>
      <w:r w:rsidRPr="0028273C">
        <w:rPr>
          <w:szCs w:val="22"/>
          <w:lang w:val="cs-CZ"/>
        </w:rPr>
        <w:t>Jivi</w:t>
      </w:r>
      <w:proofErr w:type="spellEnd"/>
      <w:r w:rsidRPr="0028273C">
        <w:rPr>
          <w:szCs w:val="22"/>
          <w:lang w:val="cs-CZ"/>
        </w:rPr>
        <w:t xml:space="preserve"> nebo studie hodnotící účinky přípravku </w:t>
      </w:r>
      <w:proofErr w:type="spellStart"/>
      <w:r w:rsidRPr="0028273C">
        <w:rPr>
          <w:szCs w:val="22"/>
          <w:lang w:val="cs-CZ"/>
        </w:rPr>
        <w:t>Jivi</w:t>
      </w:r>
      <w:proofErr w:type="spellEnd"/>
      <w:r w:rsidRPr="0028273C">
        <w:rPr>
          <w:szCs w:val="22"/>
          <w:lang w:val="cs-CZ"/>
        </w:rPr>
        <w:t xml:space="preserve"> na reprodukci.</w:t>
      </w:r>
    </w:p>
    <w:p w14:paraId="36D5207B" w14:textId="77777777" w:rsidR="0055491B" w:rsidRPr="0028273C" w:rsidRDefault="0055491B" w:rsidP="00735457">
      <w:pPr>
        <w:rPr>
          <w:szCs w:val="22"/>
          <w:highlight w:val="green"/>
          <w:lang w:val="cs-CZ" w:eastAsia="de-DE"/>
        </w:rPr>
      </w:pPr>
    </w:p>
    <w:p w14:paraId="294BD39F" w14:textId="77777777" w:rsidR="00DD6503" w:rsidRPr="0028273C" w:rsidRDefault="00DD6503" w:rsidP="00735457">
      <w:pPr>
        <w:tabs>
          <w:tab w:val="clear" w:pos="567"/>
        </w:tabs>
        <w:rPr>
          <w:szCs w:val="22"/>
          <w:lang w:val="cs-CZ"/>
        </w:rPr>
      </w:pPr>
    </w:p>
    <w:p w14:paraId="5D02326F" w14:textId="77777777" w:rsidR="00DD6503" w:rsidRPr="0028273C" w:rsidRDefault="00DD6503" w:rsidP="00FA1963">
      <w:pPr>
        <w:keepNext/>
        <w:keepLines/>
        <w:tabs>
          <w:tab w:val="clear" w:pos="567"/>
        </w:tabs>
        <w:ind w:left="567" w:hanging="567"/>
        <w:outlineLvl w:val="1"/>
        <w:rPr>
          <w:b/>
          <w:szCs w:val="22"/>
          <w:lang w:val="cs-CZ"/>
        </w:rPr>
      </w:pPr>
      <w:r w:rsidRPr="0028273C">
        <w:rPr>
          <w:b/>
          <w:szCs w:val="22"/>
          <w:lang w:val="cs-CZ"/>
        </w:rPr>
        <w:t>6.</w:t>
      </w:r>
      <w:r w:rsidRPr="0028273C">
        <w:rPr>
          <w:b/>
          <w:szCs w:val="22"/>
          <w:lang w:val="cs-CZ"/>
        </w:rPr>
        <w:tab/>
      </w:r>
      <w:r w:rsidR="00883D61" w:rsidRPr="0028273C">
        <w:rPr>
          <w:b/>
          <w:szCs w:val="22"/>
          <w:lang w:val="cs-CZ"/>
        </w:rPr>
        <w:t>FARMACEUTICKÉ ÚDAJE</w:t>
      </w:r>
    </w:p>
    <w:p w14:paraId="3855A497" w14:textId="77777777" w:rsidR="00DD6503" w:rsidRPr="0028273C" w:rsidRDefault="00DD6503" w:rsidP="00735457">
      <w:pPr>
        <w:keepNext/>
        <w:keepLines/>
        <w:tabs>
          <w:tab w:val="clear" w:pos="567"/>
        </w:tabs>
        <w:rPr>
          <w:szCs w:val="22"/>
          <w:lang w:val="cs-CZ"/>
        </w:rPr>
      </w:pPr>
    </w:p>
    <w:p w14:paraId="48980DA5" w14:textId="77777777" w:rsidR="00DD6503" w:rsidRPr="0028273C" w:rsidRDefault="00DD6503" w:rsidP="00FA1963">
      <w:pPr>
        <w:keepNext/>
        <w:keepLines/>
        <w:tabs>
          <w:tab w:val="clear" w:pos="567"/>
        </w:tabs>
        <w:ind w:left="567" w:hanging="567"/>
        <w:outlineLvl w:val="2"/>
        <w:rPr>
          <w:b/>
          <w:szCs w:val="22"/>
          <w:lang w:val="cs-CZ"/>
        </w:rPr>
      </w:pPr>
      <w:r w:rsidRPr="0028273C">
        <w:rPr>
          <w:b/>
          <w:szCs w:val="22"/>
          <w:lang w:val="cs-CZ"/>
        </w:rPr>
        <w:t>6.1</w:t>
      </w:r>
      <w:r w:rsidRPr="0028273C">
        <w:rPr>
          <w:b/>
          <w:szCs w:val="22"/>
          <w:lang w:val="cs-CZ"/>
        </w:rPr>
        <w:tab/>
      </w:r>
      <w:r w:rsidR="00883D61" w:rsidRPr="0028273C">
        <w:rPr>
          <w:b/>
          <w:szCs w:val="22"/>
          <w:lang w:val="cs-CZ"/>
        </w:rPr>
        <w:t>Seznam pomocných látek</w:t>
      </w:r>
    </w:p>
    <w:p w14:paraId="0C505626" w14:textId="77777777" w:rsidR="00DD6503" w:rsidRPr="0028273C" w:rsidRDefault="00DD6503" w:rsidP="00735457">
      <w:pPr>
        <w:keepNext/>
        <w:keepLines/>
        <w:tabs>
          <w:tab w:val="clear" w:pos="567"/>
        </w:tabs>
        <w:rPr>
          <w:szCs w:val="22"/>
          <w:lang w:val="cs-CZ"/>
        </w:rPr>
      </w:pPr>
    </w:p>
    <w:p w14:paraId="0105B62B" w14:textId="77777777" w:rsidR="00DD6503" w:rsidRPr="0028273C" w:rsidRDefault="00883D61" w:rsidP="00735457">
      <w:pPr>
        <w:keepNext/>
        <w:keepLines/>
        <w:tabs>
          <w:tab w:val="clear" w:pos="567"/>
        </w:tabs>
        <w:rPr>
          <w:szCs w:val="22"/>
          <w:u w:val="single"/>
          <w:lang w:val="cs-CZ"/>
        </w:rPr>
      </w:pPr>
      <w:r w:rsidRPr="0028273C">
        <w:rPr>
          <w:szCs w:val="22"/>
          <w:u w:val="single"/>
          <w:lang w:val="cs-CZ"/>
        </w:rPr>
        <w:t>Prášek</w:t>
      </w:r>
    </w:p>
    <w:p w14:paraId="532A323D" w14:textId="77777777" w:rsidR="00DD6503" w:rsidRPr="0028273C" w:rsidRDefault="00883D61" w:rsidP="00735457">
      <w:pPr>
        <w:keepNext/>
        <w:tabs>
          <w:tab w:val="clear" w:pos="567"/>
        </w:tabs>
        <w:rPr>
          <w:szCs w:val="22"/>
          <w:lang w:val="cs-CZ"/>
        </w:rPr>
      </w:pPr>
      <w:r w:rsidRPr="0028273C">
        <w:rPr>
          <w:szCs w:val="22"/>
          <w:lang w:val="cs-CZ"/>
        </w:rPr>
        <w:t>Sachar</w:t>
      </w:r>
      <w:r w:rsidR="003D4CC5" w:rsidRPr="0028273C">
        <w:rPr>
          <w:szCs w:val="22"/>
          <w:lang w:val="cs-CZ"/>
        </w:rPr>
        <w:t>óza</w:t>
      </w:r>
    </w:p>
    <w:p w14:paraId="14D624DB" w14:textId="77777777" w:rsidR="00DD6503" w:rsidRPr="0028273C" w:rsidRDefault="00DD6503" w:rsidP="00735457">
      <w:pPr>
        <w:keepNext/>
        <w:keepLines/>
        <w:tabs>
          <w:tab w:val="clear" w:pos="567"/>
        </w:tabs>
        <w:rPr>
          <w:szCs w:val="22"/>
          <w:lang w:val="cs-CZ"/>
        </w:rPr>
      </w:pPr>
      <w:r w:rsidRPr="0028273C">
        <w:rPr>
          <w:szCs w:val="22"/>
          <w:lang w:val="cs-CZ"/>
        </w:rPr>
        <w:t>Histidin</w:t>
      </w:r>
    </w:p>
    <w:p w14:paraId="7650AA91" w14:textId="22050BD7" w:rsidR="00DD6503" w:rsidRPr="0028273C" w:rsidRDefault="00DD6503" w:rsidP="00735457">
      <w:pPr>
        <w:keepNext/>
        <w:keepLines/>
        <w:tabs>
          <w:tab w:val="clear" w:pos="567"/>
        </w:tabs>
        <w:rPr>
          <w:szCs w:val="22"/>
          <w:lang w:val="cs-CZ"/>
        </w:rPr>
      </w:pPr>
      <w:r w:rsidRPr="0028273C">
        <w:rPr>
          <w:szCs w:val="22"/>
          <w:lang w:val="cs-CZ"/>
        </w:rPr>
        <w:t>Glycin</w:t>
      </w:r>
      <w:r w:rsidR="00AB3A4B">
        <w:rPr>
          <w:szCs w:val="22"/>
          <w:lang w:val="cs-CZ"/>
        </w:rPr>
        <w:t xml:space="preserve"> </w:t>
      </w:r>
      <w:r w:rsidR="00AB3A4B" w:rsidRPr="00331C04">
        <w:rPr>
          <w:szCs w:val="22"/>
          <w:lang w:val="cs-CZ"/>
        </w:rPr>
        <w:t>(E 640)</w:t>
      </w:r>
    </w:p>
    <w:p w14:paraId="0FAC61AF" w14:textId="77777777" w:rsidR="00DD6503" w:rsidRPr="0028273C" w:rsidRDefault="00883D61" w:rsidP="00735457">
      <w:pPr>
        <w:keepNext/>
        <w:keepLines/>
        <w:tabs>
          <w:tab w:val="clear" w:pos="567"/>
        </w:tabs>
        <w:rPr>
          <w:szCs w:val="22"/>
          <w:lang w:val="cs-CZ"/>
        </w:rPr>
      </w:pPr>
      <w:r w:rsidRPr="0028273C">
        <w:rPr>
          <w:szCs w:val="22"/>
          <w:lang w:val="cs-CZ"/>
        </w:rPr>
        <w:t>Chlorid sodný</w:t>
      </w:r>
    </w:p>
    <w:p w14:paraId="632C245B" w14:textId="4342FEAE" w:rsidR="00DD6503" w:rsidRPr="0028273C" w:rsidRDefault="00883D61" w:rsidP="00735457">
      <w:pPr>
        <w:keepNext/>
        <w:keepLines/>
        <w:tabs>
          <w:tab w:val="clear" w:pos="567"/>
        </w:tabs>
        <w:rPr>
          <w:szCs w:val="22"/>
          <w:lang w:val="cs-CZ"/>
        </w:rPr>
      </w:pPr>
      <w:r w:rsidRPr="0028273C">
        <w:rPr>
          <w:szCs w:val="22"/>
          <w:lang w:val="cs-CZ"/>
        </w:rPr>
        <w:t>Dihydrát chloridu vápenatého</w:t>
      </w:r>
      <w:r w:rsidR="00196F7B">
        <w:rPr>
          <w:szCs w:val="22"/>
          <w:lang w:val="cs-CZ"/>
        </w:rPr>
        <w:t xml:space="preserve"> </w:t>
      </w:r>
      <w:r w:rsidR="00196F7B" w:rsidRPr="00331C04">
        <w:rPr>
          <w:szCs w:val="22"/>
          <w:lang w:val="cs-CZ"/>
        </w:rPr>
        <w:t>(E 509)</w:t>
      </w:r>
    </w:p>
    <w:p w14:paraId="2F7B9039" w14:textId="09D82E93" w:rsidR="00DD6503" w:rsidRDefault="00DD6503" w:rsidP="00735457">
      <w:pPr>
        <w:keepNext/>
        <w:keepLines/>
        <w:tabs>
          <w:tab w:val="clear" w:pos="567"/>
        </w:tabs>
        <w:rPr>
          <w:szCs w:val="22"/>
          <w:lang w:val="cs-CZ"/>
        </w:rPr>
      </w:pPr>
      <w:proofErr w:type="spellStart"/>
      <w:r w:rsidRPr="0028273C">
        <w:rPr>
          <w:szCs w:val="22"/>
          <w:lang w:val="cs-CZ"/>
        </w:rPr>
        <w:t>Polysorb</w:t>
      </w:r>
      <w:r w:rsidR="00883D61" w:rsidRPr="0028273C">
        <w:rPr>
          <w:szCs w:val="22"/>
          <w:lang w:val="cs-CZ"/>
        </w:rPr>
        <w:t>át</w:t>
      </w:r>
      <w:proofErr w:type="spellEnd"/>
      <w:r w:rsidR="00C46CA3" w:rsidRPr="0028273C">
        <w:rPr>
          <w:szCs w:val="22"/>
          <w:lang w:val="cs-CZ"/>
        </w:rPr>
        <w:t> </w:t>
      </w:r>
      <w:r w:rsidRPr="0028273C">
        <w:rPr>
          <w:szCs w:val="22"/>
          <w:lang w:val="cs-CZ"/>
        </w:rPr>
        <w:t>80</w:t>
      </w:r>
      <w:r w:rsidR="008035C0">
        <w:rPr>
          <w:szCs w:val="22"/>
          <w:lang w:val="cs-CZ"/>
        </w:rPr>
        <w:t xml:space="preserve"> </w:t>
      </w:r>
      <w:r w:rsidR="008035C0" w:rsidRPr="00331C04">
        <w:rPr>
          <w:szCs w:val="22"/>
          <w:lang w:val="cs-CZ"/>
        </w:rPr>
        <w:t>(E 433)</w:t>
      </w:r>
    </w:p>
    <w:p w14:paraId="3258BA64" w14:textId="28549895" w:rsidR="00C976BB" w:rsidRPr="00C976BB" w:rsidRDefault="00C976BB" w:rsidP="00735457">
      <w:pPr>
        <w:keepNext/>
        <w:keepLines/>
        <w:tabs>
          <w:tab w:val="clear" w:pos="567"/>
        </w:tabs>
        <w:rPr>
          <w:szCs w:val="22"/>
          <w:lang w:val="cs-CZ"/>
        </w:rPr>
      </w:pPr>
      <w:r w:rsidRPr="00C976BB">
        <w:rPr>
          <w:szCs w:val="22"/>
          <w:lang w:val="cs-CZ"/>
        </w:rPr>
        <w:t>Ledová kyselina octová (k úpravě pH)</w:t>
      </w:r>
      <w:r w:rsidR="001155A1">
        <w:rPr>
          <w:szCs w:val="22"/>
          <w:lang w:val="cs-CZ"/>
        </w:rPr>
        <w:t xml:space="preserve"> </w:t>
      </w:r>
      <w:r w:rsidR="001155A1" w:rsidRPr="00331C04">
        <w:rPr>
          <w:szCs w:val="22"/>
          <w:lang w:val="cs-CZ"/>
        </w:rPr>
        <w:t>(E 260)</w:t>
      </w:r>
    </w:p>
    <w:p w14:paraId="10F36672" w14:textId="77777777" w:rsidR="00230CAD" w:rsidRPr="0028273C" w:rsidRDefault="00230CAD" w:rsidP="00735457">
      <w:pPr>
        <w:tabs>
          <w:tab w:val="clear" w:pos="567"/>
        </w:tabs>
        <w:rPr>
          <w:szCs w:val="22"/>
          <w:lang w:val="cs-CZ"/>
        </w:rPr>
      </w:pPr>
    </w:p>
    <w:p w14:paraId="64ADEE44" w14:textId="77777777" w:rsidR="00DD6503" w:rsidRPr="0028273C" w:rsidRDefault="00883D61" w:rsidP="00735457">
      <w:pPr>
        <w:keepNext/>
        <w:keepLines/>
        <w:tabs>
          <w:tab w:val="clear" w:pos="567"/>
        </w:tabs>
        <w:rPr>
          <w:szCs w:val="22"/>
          <w:u w:val="single"/>
          <w:lang w:val="cs-CZ"/>
        </w:rPr>
      </w:pPr>
      <w:r w:rsidRPr="0028273C">
        <w:rPr>
          <w:szCs w:val="22"/>
          <w:u w:val="single"/>
          <w:lang w:val="cs-CZ"/>
        </w:rPr>
        <w:t>Rozpouštědlo</w:t>
      </w:r>
    </w:p>
    <w:p w14:paraId="7F9A9226" w14:textId="77777777" w:rsidR="00DD6503" w:rsidRPr="0028273C" w:rsidRDefault="00883D61" w:rsidP="00735457">
      <w:pPr>
        <w:keepNext/>
        <w:tabs>
          <w:tab w:val="clear" w:pos="567"/>
        </w:tabs>
        <w:rPr>
          <w:szCs w:val="22"/>
          <w:lang w:val="cs-CZ"/>
        </w:rPr>
      </w:pPr>
      <w:r w:rsidRPr="0028273C">
        <w:rPr>
          <w:szCs w:val="22"/>
          <w:lang w:val="cs-CZ"/>
        </w:rPr>
        <w:t xml:space="preserve">Voda </w:t>
      </w:r>
      <w:r w:rsidR="009716EE">
        <w:rPr>
          <w:szCs w:val="22"/>
          <w:lang w:val="cs-CZ"/>
        </w:rPr>
        <w:t>pro</w:t>
      </w:r>
      <w:r w:rsidR="009716EE" w:rsidRPr="0028273C">
        <w:rPr>
          <w:szCs w:val="22"/>
          <w:lang w:val="cs-CZ"/>
        </w:rPr>
        <w:t xml:space="preserve"> </w:t>
      </w:r>
      <w:r w:rsidRPr="0028273C">
        <w:rPr>
          <w:szCs w:val="22"/>
          <w:lang w:val="cs-CZ"/>
        </w:rPr>
        <w:t>injekc</w:t>
      </w:r>
      <w:r w:rsidR="00FE0049">
        <w:rPr>
          <w:szCs w:val="22"/>
          <w:lang w:val="cs-CZ"/>
        </w:rPr>
        <w:t>i</w:t>
      </w:r>
    </w:p>
    <w:p w14:paraId="67E5A7C6" w14:textId="77777777" w:rsidR="00DD6503" w:rsidRPr="0028273C" w:rsidRDefault="00DD6503" w:rsidP="00735457">
      <w:pPr>
        <w:tabs>
          <w:tab w:val="clear" w:pos="567"/>
        </w:tabs>
        <w:rPr>
          <w:szCs w:val="22"/>
          <w:lang w:val="cs-CZ"/>
        </w:rPr>
      </w:pPr>
    </w:p>
    <w:p w14:paraId="70624D64" w14:textId="77777777" w:rsidR="00DD6503" w:rsidRPr="0028273C" w:rsidRDefault="00DD6503" w:rsidP="00FA1963">
      <w:pPr>
        <w:keepNext/>
        <w:keepLines/>
        <w:tabs>
          <w:tab w:val="clear" w:pos="567"/>
        </w:tabs>
        <w:ind w:left="567" w:hanging="567"/>
        <w:outlineLvl w:val="2"/>
        <w:rPr>
          <w:b/>
          <w:szCs w:val="22"/>
          <w:lang w:val="cs-CZ"/>
        </w:rPr>
      </w:pPr>
      <w:r w:rsidRPr="0028273C">
        <w:rPr>
          <w:b/>
          <w:szCs w:val="22"/>
          <w:lang w:val="cs-CZ"/>
        </w:rPr>
        <w:t>6.2</w:t>
      </w:r>
      <w:r w:rsidRPr="0028273C">
        <w:rPr>
          <w:b/>
          <w:szCs w:val="22"/>
          <w:lang w:val="cs-CZ"/>
        </w:rPr>
        <w:tab/>
      </w:r>
      <w:r w:rsidR="00883D61" w:rsidRPr="0028273C">
        <w:rPr>
          <w:b/>
          <w:szCs w:val="22"/>
          <w:lang w:val="cs-CZ"/>
        </w:rPr>
        <w:t>Inkompatibility</w:t>
      </w:r>
    </w:p>
    <w:p w14:paraId="063FD5D7" w14:textId="77777777" w:rsidR="00DD6503" w:rsidRPr="0028273C" w:rsidRDefault="00DD6503" w:rsidP="00735457">
      <w:pPr>
        <w:keepNext/>
        <w:keepLines/>
        <w:tabs>
          <w:tab w:val="clear" w:pos="567"/>
        </w:tabs>
        <w:rPr>
          <w:szCs w:val="22"/>
          <w:lang w:val="cs-CZ"/>
        </w:rPr>
      </w:pPr>
    </w:p>
    <w:p w14:paraId="59FB4AC8" w14:textId="77777777" w:rsidR="00883D61" w:rsidRPr="0028273C" w:rsidRDefault="00883D61" w:rsidP="00735457">
      <w:pPr>
        <w:keepNext/>
        <w:rPr>
          <w:lang w:val="cs-CZ"/>
        </w:rPr>
      </w:pPr>
      <w:r w:rsidRPr="0028273C">
        <w:rPr>
          <w:lang w:val="cs-CZ"/>
        </w:rPr>
        <w:t>Studie kompatibility nejsou k dispozici, a proto nesmí být tento léčivý přípravek mísen s jinými léčivými přípravky.</w:t>
      </w:r>
    </w:p>
    <w:p w14:paraId="1870C4E8" w14:textId="77777777" w:rsidR="00DD6503" w:rsidRPr="0028273C" w:rsidRDefault="00DD6503" w:rsidP="00735457">
      <w:pPr>
        <w:tabs>
          <w:tab w:val="clear" w:pos="567"/>
        </w:tabs>
        <w:rPr>
          <w:szCs w:val="22"/>
          <w:lang w:val="cs-CZ"/>
        </w:rPr>
      </w:pPr>
    </w:p>
    <w:p w14:paraId="393EC17D" w14:textId="77777777" w:rsidR="00DD6503" w:rsidRPr="0028273C" w:rsidRDefault="00AD1DE0" w:rsidP="00735457">
      <w:pPr>
        <w:tabs>
          <w:tab w:val="clear" w:pos="567"/>
        </w:tabs>
        <w:rPr>
          <w:szCs w:val="22"/>
          <w:lang w:val="cs-CZ"/>
        </w:rPr>
      </w:pPr>
      <w:r>
        <w:rPr>
          <w:szCs w:val="22"/>
          <w:lang w:val="cs-CZ"/>
        </w:rPr>
        <w:lastRenderedPageBreak/>
        <w:t>K</w:t>
      </w:r>
      <w:r w:rsidR="008E0BBD" w:rsidRPr="0028273C">
        <w:rPr>
          <w:szCs w:val="22"/>
          <w:lang w:val="cs-CZ"/>
        </w:rPr>
        <w:t xml:space="preserve"> rekonstituci a injekci m</w:t>
      </w:r>
      <w:r w:rsidR="00656B5D" w:rsidRPr="0028273C">
        <w:rPr>
          <w:szCs w:val="22"/>
          <w:lang w:val="cs-CZ"/>
        </w:rPr>
        <w:t>ají</w:t>
      </w:r>
      <w:r w:rsidR="008E0BBD" w:rsidRPr="0028273C">
        <w:rPr>
          <w:szCs w:val="22"/>
          <w:lang w:val="cs-CZ"/>
        </w:rPr>
        <w:t xml:space="preserve"> být použit</w:t>
      </w:r>
      <w:r w:rsidR="00656B5D" w:rsidRPr="0028273C">
        <w:rPr>
          <w:szCs w:val="22"/>
          <w:lang w:val="cs-CZ"/>
        </w:rPr>
        <w:t>y</w:t>
      </w:r>
      <w:r w:rsidR="008E0BBD" w:rsidRPr="0028273C">
        <w:rPr>
          <w:szCs w:val="22"/>
          <w:lang w:val="cs-CZ"/>
        </w:rPr>
        <w:t xml:space="preserve"> pouze</w:t>
      </w:r>
      <w:r w:rsidR="00656B5D" w:rsidRPr="0028273C">
        <w:rPr>
          <w:szCs w:val="22"/>
          <w:lang w:val="cs-CZ"/>
        </w:rPr>
        <w:t xml:space="preserve"> </w:t>
      </w:r>
      <w:r w:rsidR="00C101F1">
        <w:rPr>
          <w:szCs w:val="22"/>
          <w:lang w:val="cs-CZ"/>
        </w:rPr>
        <w:t>dodávané komponenty</w:t>
      </w:r>
      <w:r w:rsidR="00984AB2">
        <w:rPr>
          <w:szCs w:val="22"/>
          <w:lang w:val="cs-CZ"/>
        </w:rPr>
        <w:t xml:space="preserve"> </w:t>
      </w:r>
      <w:r w:rsidR="00656B5D" w:rsidRPr="0028273C">
        <w:rPr>
          <w:szCs w:val="22"/>
          <w:lang w:val="cs-CZ"/>
        </w:rPr>
        <w:t>v</w:t>
      </w:r>
      <w:r w:rsidR="004418BF" w:rsidRPr="0028273C">
        <w:rPr>
          <w:szCs w:val="22"/>
          <w:lang w:val="cs-CZ"/>
        </w:rPr>
        <w:t> </w:t>
      </w:r>
      <w:r w:rsidR="00656B5D" w:rsidRPr="0028273C">
        <w:rPr>
          <w:szCs w:val="22"/>
          <w:lang w:val="cs-CZ"/>
        </w:rPr>
        <w:t>balení</w:t>
      </w:r>
      <w:r w:rsidR="008E0BBD" w:rsidRPr="0028273C">
        <w:rPr>
          <w:szCs w:val="22"/>
          <w:lang w:val="cs-CZ"/>
        </w:rPr>
        <w:t xml:space="preserve">, protože může dojít k selhání léčby </w:t>
      </w:r>
      <w:r>
        <w:rPr>
          <w:szCs w:val="22"/>
          <w:lang w:val="cs-CZ"/>
        </w:rPr>
        <w:t>v</w:t>
      </w:r>
      <w:r w:rsidRPr="0028273C">
        <w:rPr>
          <w:szCs w:val="22"/>
          <w:lang w:val="cs-CZ"/>
        </w:rPr>
        <w:t xml:space="preserve"> </w:t>
      </w:r>
      <w:r w:rsidR="008E0BBD" w:rsidRPr="0028273C">
        <w:rPr>
          <w:szCs w:val="22"/>
          <w:lang w:val="cs-CZ"/>
        </w:rPr>
        <w:t>důsledk</w:t>
      </w:r>
      <w:r>
        <w:rPr>
          <w:szCs w:val="22"/>
          <w:lang w:val="cs-CZ"/>
        </w:rPr>
        <w:t>u</w:t>
      </w:r>
      <w:r w:rsidR="008E0BBD" w:rsidRPr="0028273C">
        <w:rPr>
          <w:szCs w:val="22"/>
          <w:lang w:val="cs-CZ"/>
        </w:rPr>
        <w:t xml:space="preserve"> </w:t>
      </w:r>
      <w:r w:rsidR="003D4CC5" w:rsidRPr="0028273C">
        <w:rPr>
          <w:szCs w:val="22"/>
          <w:lang w:val="cs-CZ"/>
        </w:rPr>
        <w:t>adsorpce</w:t>
      </w:r>
      <w:r w:rsidR="008E0BBD" w:rsidRPr="0028273C">
        <w:rPr>
          <w:szCs w:val="22"/>
          <w:lang w:val="cs-CZ"/>
        </w:rPr>
        <w:t xml:space="preserve"> faktoru</w:t>
      </w:r>
      <w:r w:rsidR="00FC5D76" w:rsidRPr="0028273C">
        <w:rPr>
          <w:szCs w:val="22"/>
          <w:lang w:val="cs-CZ"/>
        </w:rPr>
        <w:t> </w:t>
      </w:r>
      <w:r w:rsidR="008E0BBD" w:rsidRPr="0028273C">
        <w:rPr>
          <w:szCs w:val="22"/>
          <w:lang w:val="cs-CZ"/>
        </w:rPr>
        <w:t>VII</w:t>
      </w:r>
      <w:r>
        <w:rPr>
          <w:szCs w:val="22"/>
          <w:lang w:val="cs-CZ"/>
        </w:rPr>
        <w:t>I</w:t>
      </w:r>
      <w:r w:rsidR="008E0BBD" w:rsidRPr="0028273C">
        <w:rPr>
          <w:szCs w:val="22"/>
          <w:lang w:val="cs-CZ"/>
        </w:rPr>
        <w:t xml:space="preserve"> na vnitřní </w:t>
      </w:r>
      <w:r w:rsidR="003D4CC5" w:rsidRPr="0028273C">
        <w:rPr>
          <w:szCs w:val="22"/>
          <w:lang w:val="cs-CZ"/>
        </w:rPr>
        <w:t>povrchy</w:t>
      </w:r>
      <w:r w:rsidR="008E0BBD" w:rsidRPr="0028273C">
        <w:rPr>
          <w:szCs w:val="22"/>
          <w:lang w:val="cs-CZ"/>
        </w:rPr>
        <w:t xml:space="preserve"> někter</w:t>
      </w:r>
      <w:r w:rsidR="00C101F1">
        <w:rPr>
          <w:szCs w:val="22"/>
          <w:lang w:val="cs-CZ"/>
        </w:rPr>
        <w:t xml:space="preserve">ého </w:t>
      </w:r>
      <w:proofErr w:type="gramStart"/>
      <w:r w:rsidR="00C101F1">
        <w:rPr>
          <w:szCs w:val="22"/>
          <w:lang w:val="cs-CZ"/>
        </w:rPr>
        <w:t xml:space="preserve">typu </w:t>
      </w:r>
      <w:r w:rsidR="008E0BBD" w:rsidRPr="0028273C">
        <w:rPr>
          <w:szCs w:val="22"/>
          <w:lang w:val="cs-CZ"/>
        </w:rPr>
        <w:t xml:space="preserve"> </w:t>
      </w:r>
      <w:r w:rsidR="00C101F1">
        <w:rPr>
          <w:szCs w:val="22"/>
          <w:lang w:val="cs-CZ"/>
        </w:rPr>
        <w:t>infuzního</w:t>
      </w:r>
      <w:proofErr w:type="gramEnd"/>
      <w:r w:rsidR="00C101F1">
        <w:rPr>
          <w:szCs w:val="22"/>
          <w:lang w:val="cs-CZ"/>
        </w:rPr>
        <w:t xml:space="preserve"> </w:t>
      </w:r>
      <w:r w:rsidRPr="0028273C">
        <w:rPr>
          <w:szCs w:val="22"/>
          <w:lang w:val="cs-CZ"/>
        </w:rPr>
        <w:t xml:space="preserve"> </w:t>
      </w:r>
      <w:r w:rsidR="008E0BBD" w:rsidRPr="0028273C">
        <w:rPr>
          <w:szCs w:val="22"/>
          <w:lang w:val="cs-CZ"/>
        </w:rPr>
        <w:t>zařízení</w:t>
      </w:r>
      <w:r w:rsidR="00DD6503" w:rsidRPr="0028273C">
        <w:rPr>
          <w:szCs w:val="22"/>
          <w:lang w:val="cs-CZ"/>
        </w:rPr>
        <w:t>.</w:t>
      </w:r>
    </w:p>
    <w:p w14:paraId="37919DA5" w14:textId="77777777" w:rsidR="00DD6503" w:rsidRPr="0028273C" w:rsidRDefault="00DD6503" w:rsidP="00735457">
      <w:pPr>
        <w:tabs>
          <w:tab w:val="clear" w:pos="567"/>
        </w:tabs>
        <w:rPr>
          <w:szCs w:val="22"/>
          <w:lang w:val="cs-CZ"/>
        </w:rPr>
      </w:pPr>
    </w:p>
    <w:p w14:paraId="6859967C" w14:textId="77777777" w:rsidR="00DD6503" w:rsidRPr="0028273C" w:rsidRDefault="00DD6503" w:rsidP="00FA1963">
      <w:pPr>
        <w:keepNext/>
        <w:keepLines/>
        <w:tabs>
          <w:tab w:val="clear" w:pos="567"/>
        </w:tabs>
        <w:ind w:left="567" w:hanging="567"/>
        <w:outlineLvl w:val="2"/>
        <w:rPr>
          <w:b/>
          <w:szCs w:val="22"/>
          <w:lang w:val="cs-CZ"/>
        </w:rPr>
      </w:pPr>
      <w:r w:rsidRPr="0028273C">
        <w:rPr>
          <w:b/>
          <w:szCs w:val="22"/>
          <w:lang w:val="cs-CZ"/>
        </w:rPr>
        <w:t>6.3</w:t>
      </w:r>
      <w:r w:rsidRPr="0028273C">
        <w:rPr>
          <w:b/>
          <w:szCs w:val="22"/>
          <w:lang w:val="cs-CZ"/>
        </w:rPr>
        <w:tab/>
      </w:r>
      <w:r w:rsidR="00883D61" w:rsidRPr="0028273C">
        <w:rPr>
          <w:b/>
          <w:szCs w:val="22"/>
          <w:lang w:val="cs-CZ"/>
        </w:rPr>
        <w:t>Doba použitelnosti</w:t>
      </w:r>
    </w:p>
    <w:p w14:paraId="4FEF0131" w14:textId="77777777" w:rsidR="00DD6503" w:rsidRDefault="00DD6503" w:rsidP="00735457">
      <w:pPr>
        <w:keepNext/>
        <w:keepLines/>
        <w:tabs>
          <w:tab w:val="clear" w:pos="567"/>
        </w:tabs>
        <w:rPr>
          <w:szCs w:val="22"/>
          <w:lang w:val="cs-CZ"/>
        </w:rPr>
      </w:pPr>
    </w:p>
    <w:p w14:paraId="1F0D8F17" w14:textId="77777777" w:rsidR="00B04A8C" w:rsidRDefault="00B04A8C" w:rsidP="00735457">
      <w:pPr>
        <w:keepNext/>
        <w:keepLines/>
        <w:tabs>
          <w:tab w:val="clear" w:pos="567"/>
        </w:tabs>
        <w:rPr>
          <w:szCs w:val="22"/>
          <w:u w:val="single"/>
          <w:lang w:val="cs-CZ"/>
        </w:rPr>
      </w:pPr>
      <w:r w:rsidRPr="00764A31">
        <w:rPr>
          <w:szCs w:val="22"/>
          <w:u w:val="single"/>
          <w:lang w:val="cs-CZ"/>
        </w:rPr>
        <w:t xml:space="preserve">Neotevřená </w:t>
      </w:r>
      <w:r w:rsidR="00FA63F2">
        <w:rPr>
          <w:szCs w:val="22"/>
          <w:u w:val="single"/>
          <w:lang w:val="cs-CZ"/>
        </w:rPr>
        <w:t xml:space="preserve">injekční </w:t>
      </w:r>
      <w:r w:rsidRPr="00764A31">
        <w:rPr>
          <w:szCs w:val="22"/>
          <w:u w:val="single"/>
          <w:lang w:val="cs-CZ"/>
        </w:rPr>
        <w:t>lahvička</w:t>
      </w:r>
    </w:p>
    <w:p w14:paraId="66373A79" w14:textId="77777777" w:rsidR="00A608CF" w:rsidRPr="00764A31" w:rsidRDefault="00A608CF" w:rsidP="00735457">
      <w:pPr>
        <w:keepNext/>
        <w:keepLines/>
        <w:tabs>
          <w:tab w:val="clear" w:pos="567"/>
        </w:tabs>
        <w:rPr>
          <w:szCs w:val="22"/>
          <w:u w:val="single"/>
          <w:lang w:val="cs-CZ"/>
        </w:rPr>
      </w:pPr>
    </w:p>
    <w:p w14:paraId="6FCB1AFB" w14:textId="77777777" w:rsidR="00DD6503" w:rsidRPr="0028273C" w:rsidRDefault="00BF54B9" w:rsidP="00735457">
      <w:pPr>
        <w:keepNext/>
        <w:tabs>
          <w:tab w:val="clear" w:pos="567"/>
        </w:tabs>
        <w:rPr>
          <w:szCs w:val="22"/>
          <w:lang w:val="cs-CZ"/>
        </w:rPr>
      </w:pPr>
      <w:r w:rsidRPr="0028273C">
        <w:rPr>
          <w:szCs w:val="22"/>
          <w:lang w:val="cs-CZ"/>
        </w:rPr>
        <w:t xml:space="preserve">2 </w:t>
      </w:r>
      <w:r w:rsidR="00883D61" w:rsidRPr="0028273C">
        <w:rPr>
          <w:szCs w:val="22"/>
          <w:lang w:val="cs-CZ"/>
        </w:rPr>
        <w:t>roky</w:t>
      </w:r>
      <w:r w:rsidR="00AC3DAD" w:rsidRPr="0028273C">
        <w:rPr>
          <w:szCs w:val="22"/>
          <w:lang w:val="cs-CZ"/>
        </w:rPr>
        <w:t>.</w:t>
      </w:r>
    </w:p>
    <w:p w14:paraId="5DD70605" w14:textId="77777777" w:rsidR="00DD6503" w:rsidRPr="00503F48" w:rsidRDefault="00DD6503" w:rsidP="00735457">
      <w:pPr>
        <w:tabs>
          <w:tab w:val="clear" w:pos="567"/>
        </w:tabs>
        <w:rPr>
          <w:szCs w:val="22"/>
          <w:lang w:val="cs-CZ"/>
        </w:rPr>
      </w:pPr>
    </w:p>
    <w:p w14:paraId="1D0ECAF4" w14:textId="77777777" w:rsidR="00AC3DAD" w:rsidRDefault="00883D61" w:rsidP="00735457">
      <w:pPr>
        <w:keepNext/>
        <w:rPr>
          <w:szCs w:val="22"/>
          <w:u w:val="single"/>
          <w:lang w:val="cs-CZ"/>
        </w:rPr>
      </w:pPr>
      <w:r w:rsidRPr="00764A31">
        <w:rPr>
          <w:szCs w:val="22"/>
          <w:u w:val="single"/>
          <w:lang w:val="cs-CZ"/>
        </w:rPr>
        <w:t>Rekonstituovaný roztok</w:t>
      </w:r>
    </w:p>
    <w:p w14:paraId="5B8CC403" w14:textId="77777777" w:rsidR="00A608CF" w:rsidRPr="00764A31" w:rsidRDefault="00A608CF" w:rsidP="00735457">
      <w:pPr>
        <w:keepNext/>
        <w:rPr>
          <w:szCs w:val="22"/>
          <w:u w:val="single"/>
          <w:lang w:val="cs-CZ"/>
        </w:rPr>
      </w:pPr>
    </w:p>
    <w:p w14:paraId="42488AF8" w14:textId="77777777" w:rsidR="00AC3DAD" w:rsidRDefault="00883D61" w:rsidP="00735457">
      <w:pPr>
        <w:keepNext/>
        <w:tabs>
          <w:tab w:val="clear" w:pos="567"/>
        </w:tabs>
        <w:rPr>
          <w:szCs w:val="22"/>
          <w:lang w:val="cs-CZ"/>
        </w:rPr>
      </w:pPr>
      <w:r w:rsidRPr="0028273C">
        <w:rPr>
          <w:szCs w:val="22"/>
          <w:lang w:val="cs-CZ"/>
        </w:rPr>
        <w:t>Chemická a fyzikální stabilita po otevření před použitím po rekonstituci byla prokázána po dobu 3 hodin při pokojové teplotě.</w:t>
      </w:r>
      <w:r w:rsidR="00984AB2">
        <w:rPr>
          <w:szCs w:val="22"/>
          <w:lang w:val="cs-CZ"/>
        </w:rPr>
        <w:t xml:space="preserve"> </w:t>
      </w:r>
      <w:r w:rsidRPr="0028273C">
        <w:rPr>
          <w:szCs w:val="22"/>
          <w:lang w:val="cs-CZ"/>
        </w:rPr>
        <w:t>Po rekonstituci nevracejte do chladničky</w:t>
      </w:r>
      <w:r w:rsidR="00AC3DAD" w:rsidRPr="0028273C">
        <w:rPr>
          <w:szCs w:val="22"/>
          <w:lang w:val="cs-CZ"/>
        </w:rPr>
        <w:t>.</w:t>
      </w:r>
    </w:p>
    <w:p w14:paraId="4D134F1D" w14:textId="77777777" w:rsidR="00ED2616" w:rsidRPr="0028273C" w:rsidRDefault="00ED2616" w:rsidP="00735457">
      <w:pPr>
        <w:keepNext/>
        <w:tabs>
          <w:tab w:val="clear" w:pos="567"/>
        </w:tabs>
        <w:rPr>
          <w:szCs w:val="22"/>
          <w:lang w:val="cs-CZ"/>
        </w:rPr>
      </w:pPr>
    </w:p>
    <w:p w14:paraId="74082ACD" w14:textId="77777777" w:rsidR="00DD6503" w:rsidRPr="0028273C" w:rsidRDefault="00883D61" w:rsidP="00735457">
      <w:pPr>
        <w:tabs>
          <w:tab w:val="clear" w:pos="567"/>
        </w:tabs>
        <w:rPr>
          <w:szCs w:val="22"/>
          <w:lang w:val="cs-CZ"/>
        </w:rPr>
      </w:pPr>
      <w:r w:rsidRPr="0028273C">
        <w:rPr>
          <w:szCs w:val="22"/>
          <w:lang w:val="cs-CZ"/>
        </w:rPr>
        <w:t>Z mikrobiologického hlediska má být přípravek použit okamžitě po rekonstituci. Není-li použit okamžitě, doba a podmínky uchovávání přípravku po otevření před použitím jsou v odpovědnosti uživatele.</w:t>
      </w:r>
    </w:p>
    <w:p w14:paraId="785EEB16" w14:textId="77777777" w:rsidR="00DD6503" w:rsidRPr="0028273C" w:rsidRDefault="00DD6503" w:rsidP="00735457">
      <w:pPr>
        <w:tabs>
          <w:tab w:val="clear" w:pos="567"/>
        </w:tabs>
        <w:rPr>
          <w:szCs w:val="22"/>
          <w:lang w:val="cs-CZ"/>
        </w:rPr>
      </w:pPr>
    </w:p>
    <w:p w14:paraId="6C6DAB7E" w14:textId="77777777" w:rsidR="00DD6503" w:rsidRPr="0028273C" w:rsidRDefault="00DD6503" w:rsidP="00FA1963">
      <w:pPr>
        <w:keepNext/>
        <w:keepLines/>
        <w:tabs>
          <w:tab w:val="clear" w:pos="567"/>
        </w:tabs>
        <w:ind w:left="567" w:hanging="567"/>
        <w:outlineLvl w:val="2"/>
        <w:rPr>
          <w:b/>
          <w:szCs w:val="22"/>
          <w:lang w:val="cs-CZ"/>
        </w:rPr>
      </w:pPr>
      <w:r w:rsidRPr="0028273C">
        <w:rPr>
          <w:b/>
          <w:szCs w:val="22"/>
          <w:lang w:val="cs-CZ"/>
        </w:rPr>
        <w:t>6.4</w:t>
      </w:r>
      <w:r w:rsidRPr="0028273C">
        <w:rPr>
          <w:b/>
          <w:szCs w:val="22"/>
          <w:lang w:val="cs-CZ"/>
        </w:rPr>
        <w:tab/>
      </w:r>
      <w:r w:rsidR="00883D61" w:rsidRPr="0028273C">
        <w:rPr>
          <w:b/>
          <w:szCs w:val="22"/>
          <w:lang w:val="cs-CZ"/>
        </w:rPr>
        <w:t>Zvláštní opatření pro uchovávání</w:t>
      </w:r>
    </w:p>
    <w:p w14:paraId="4658EE65" w14:textId="77777777" w:rsidR="00DD6503" w:rsidRPr="0028273C" w:rsidRDefault="00DD6503" w:rsidP="00735457">
      <w:pPr>
        <w:keepNext/>
        <w:keepLines/>
        <w:tabs>
          <w:tab w:val="clear" w:pos="567"/>
        </w:tabs>
        <w:rPr>
          <w:szCs w:val="22"/>
          <w:lang w:val="cs-CZ"/>
        </w:rPr>
      </w:pPr>
    </w:p>
    <w:p w14:paraId="5CBE68A3" w14:textId="77777777" w:rsidR="00043526" w:rsidRPr="0028273C" w:rsidRDefault="00883D61" w:rsidP="00735457">
      <w:pPr>
        <w:keepNext/>
        <w:keepLines/>
        <w:tabs>
          <w:tab w:val="clear" w:pos="567"/>
        </w:tabs>
        <w:rPr>
          <w:szCs w:val="22"/>
          <w:lang w:val="cs-CZ"/>
        </w:rPr>
      </w:pPr>
      <w:r w:rsidRPr="0028273C">
        <w:rPr>
          <w:noProof/>
          <w:lang w:val="cs-CZ"/>
        </w:rPr>
        <w:t xml:space="preserve">Uchovávejte v chladničce </w:t>
      </w:r>
      <w:r w:rsidR="00DD6503" w:rsidRPr="0028273C">
        <w:rPr>
          <w:szCs w:val="22"/>
          <w:lang w:val="cs-CZ"/>
        </w:rPr>
        <w:t>(2</w:t>
      </w:r>
      <w:r w:rsidR="00C434F9" w:rsidRPr="0028273C">
        <w:rPr>
          <w:szCs w:val="22"/>
          <w:lang w:val="cs-CZ"/>
        </w:rPr>
        <w:t> </w:t>
      </w:r>
      <w:r w:rsidR="00DD6503" w:rsidRPr="0028273C">
        <w:rPr>
          <w:szCs w:val="22"/>
          <w:lang w:val="cs-CZ"/>
        </w:rPr>
        <w:t>°</w:t>
      </w:r>
      <w:proofErr w:type="gramStart"/>
      <w:r w:rsidR="00DD6503" w:rsidRPr="0028273C">
        <w:rPr>
          <w:szCs w:val="22"/>
          <w:lang w:val="cs-CZ"/>
        </w:rPr>
        <w:t>C</w:t>
      </w:r>
      <w:r w:rsidR="00A3137C" w:rsidRPr="0028273C">
        <w:rPr>
          <w:szCs w:val="22"/>
          <w:lang w:val="cs-CZ"/>
        </w:rPr>
        <w:t> </w:t>
      </w:r>
      <w:r w:rsidR="00C434F9" w:rsidRPr="0028273C">
        <w:rPr>
          <w:szCs w:val="22"/>
          <w:lang w:val="cs-CZ"/>
        </w:rPr>
        <w:t>–</w:t>
      </w:r>
      <w:r w:rsidR="00A3137C" w:rsidRPr="0028273C">
        <w:rPr>
          <w:szCs w:val="22"/>
          <w:lang w:val="cs-CZ"/>
        </w:rPr>
        <w:t> </w:t>
      </w:r>
      <w:r w:rsidR="00DD6503" w:rsidRPr="0028273C">
        <w:rPr>
          <w:szCs w:val="22"/>
          <w:lang w:val="cs-CZ"/>
        </w:rPr>
        <w:t>8</w:t>
      </w:r>
      <w:proofErr w:type="gramEnd"/>
      <w:r w:rsidR="00C434F9" w:rsidRPr="0028273C">
        <w:rPr>
          <w:szCs w:val="22"/>
          <w:lang w:val="cs-CZ"/>
        </w:rPr>
        <w:t> </w:t>
      </w:r>
      <w:r w:rsidR="00DD6503" w:rsidRPr="0028273C">
        <w:rPr>
          <w:szCs w:val="22"/>
          <w:lang w:val="cs-CZ"/>
        </w:rPr>
        <w:t>°C).</w:t>
      </w:r>
    </w:p>
    <w:p w14:paraId="0FC12E27" w14:textId="77777777" w:rsidR="00043526" w:rsidRPr="0028273C" w:rsidRDefault="00883D61" w:rsidP="00735457">
      <w:pPr>
        <w:keepNext/>
        <w:keepLines/>
        <w:tabs>
          <w:tab w:val="clear" w:pos="567"/>
        </w:tabs>
        <w:rPr>
          <w:szCs w:val="22"/>
          <w:lang w:val="cs-CZ"/>
        </w:rPr>
      </w:pPr>
      <w:r w:rsidRPr="0028273C">
        <w:rPr>
          <w:lang w:val="cs-CZ"/>
        </w:rPr>
        <w:t>Chraňte před mrazem.</w:t>
      </w:r>
    </w:p>
    <w:p w14:paraId="01144817" w14:textId="77777777" w:rsidR="00DD6503" w:rsidRPr="0028273C" w:rsidRDefault="00883D61" w:rsidP="00735457">
      <w:pPr>
        <w:keepNext/>
        <w:keepLines/>
        <w:tabs>
          <w:tab w:val="clear" w:pos="567"/>
        </w:tabs>
        <w:rPr>
          <w:strike/>
          <w:szCs w:val="22"/>
          <w:lang w:val="cs-CZ"/>
        </w:rPr>
      </w:pPr>
      <w:r w:rsidRPr="0028273C">
        <w:rPr>
          <w:lang w:val="cs-CZ"/>
        </w:rPr>
        <w:t xml:space="preserve">Uchovávejte injekční lahvičku a </w:t>
      </w:r>
      <w:proofErr w:type="spellStart"/>
      <w:r w:rsidRPr="0028273C">
        <w:rPr>
          <w:lang w:val="cs-CZ"/>
        </w:rPr>
        <w:t>předplněnou</w:t>
      </w:r>
      <w:proofErr w:type="spellEnd"/>
      <w:r w:rsidRPr="0028273C">
        <w:rPr>
          <w:lang w:val="cs-CZ"/>
        </w:rPr>
        <w:t xml:space="preserve"> injekční stříkačku v krabičce, aby byl přípravek chráněn před světlem.</w:t>
      </w:r>
    </w:p>
    <w:p w14:paraId="021E5D7F" w14:textId="77777777" w:rsidR="00DD6503" w:rsidRPr="0028273C" w:rsidRDefault="00DD6503" w:rsidP="00735457">
      <w:pPr>
        <w:tabs>
          <w:tab w:val="clear" w:pos="567"/>
        </w:tabs>
        <w:rPr>
          <w:szCs w:val="22"/>
          <w:lang w:val="cs-CZ"/>
        </w:rPr>
      </w:pPr>
    </w:p>
    <w:p w14:paraId="61F57B05" w14:textId="4092DAEC" w:rsidR="00DD6503" w:rsidRPr="0028273C" w:rsidRDefault="008E0BBD" w:rsidP="00735457">
      <w:pPr>
        <w:tabs>
          <w:tab w:val="clear" w:pos="567"/>
        </w:tabs>
        <w:rPr>
          <w:i/>
          <w:szCs w:val="22"/>
          <w:lang w:val="cs-CZ"/>
        </w:rPr>
      </w:pPr>
      <w:r w:rsidRPr="0028273C">
        <w:rPr>
          <w:szCs w:val="22"/>
          <w:lang w:val="cs-CZ"/>
        </w:rPr>
        <w:t xml:space="preserve">Během celkové doby </w:t>
      </w:r>
      <w:r w:rsidR="003D4CC5" w:rsidRPr="0028273C">
        <w:rPr>
          <w:szCs w:val="22"/>
          <w:lang w:val="cs-CZ"/>
        </w:rPr>
        <w:t>použitelnosti</w:t>
      </w:r>
      <w:r w:rsidRPr="0028273C">
        <w:rPr>
          <w:szCs w:val="22"/>
          <w:lang w:val="cs-CZ"/>
        </w:rPr>
        <w:t xml:space="preserve"> v </w:t>
      </w:r>
      <w:r w:rsidR="003D4CC5" w:rsidRPr="0028273C">
        <w:rPr>
          <w:szCs w:val="22"/>
          <w:lang w:val="cs-CZ"/>
        </w:rPr>
        <w:t>délce</w:t>
      </w:r>
      <w:r w:rsidRPr="0028273C">
        <w:rPr>
          <w:szCs w:val="22"/>
          <w:lang w:val="cs-CZ"/>
        </w:rPr>
        <w:t xml:space="preserve"> 2 let může být přípravek uchováván (je-li uchováván ve vnějším obalu) po omezenou dobu </w:t>
      </w:r>
      <w:r w:rsidR="0011234B">
        <w:rPr>
          <w:szCs w:val="22"/>
          <w:lang w:val="cs-CZ"/>
        </w:rPr>
        <w:t xml:space="preserve">6 </w:t>
      </w:r>
      <w:r w:rsidRPr="0028273C">
        <w:rPr>
          <w:szCs w:val="22"/>
          <w:lang w:val="cs-CZ"/>
        </w:rPr>
        <w:t>měsíců</w:t>
      </w:r>
      <w:r w:rsidR="00DD6503" w:rsidRPr="0028273C">
        <w:rPr>
          <w:szCs w:val="22"/>
          <w:lang w:val="cs-CZ"/>
        </w:rPr>
        <w:t>.</w:t>
      </w:r>
      <w:r w:rsidRPr="0028273C">
        <w:rPr>
          <w:szCs w:val="22"/>
          <w:lang w:val="cs-CZ"/>
        </w:rPr>
        <w:t xml:space="preserve"> Kone</w:t>
      </w:r>
      <w:r w:rsidR="004418BF" w:rsidRPr="0028273C">
        <w:rPr>
          <w:szCs w:val="22"/>
          <w:lang w:val="cs-CZ"/>
        </w:rPr>
        <w:t>čné datum</w:t>
      </w:r>
      <w:r w:rsidR="00EE51EF" w:rsidRPr="0028273C">
        <w:rPr>
          <w:szCs w:val="22"/>
          <w:lang w:val="cs-CZ"/>
        </w:rPr>
        <w:t xml:space="preserve"> této</w:t>
      </w:r>
      <w:r w:rsidRPr="0028273C">
        <w:rPr>
          <w:szCs w:val="22"/>
          <w:lang w:val="cs-CZ"/>
        </w:rPr>
        <w:t xml:space="preserve"> 6měsíční doby použitelnosti při teplotě do 25 °C má být zaznamenán</w:t>
      </w:r>
      <w:r w:rsidR="004418BF" w:rsidRPr="0028273C">
        <w:rPr>
          <w:szCs w:val="22"/>
          <w:lang w:val="cs-CZ"/>
        </w:rPr>
        <w:t>o</w:t>
      </w:r>
      <w:r w:rsidRPr="0028273C">
        <w:rPr>
          <w:szCs w:val="22"/>
          <w:lang w:val="cs-CZ"/>
        </w:rPr>
        <w:t xml:space="preserve"> na</w:t>
      </w:r>
      <w:r w:rsidR="005F6668">
        <w:rPr>
          <w:szCs w:val="22"/>
          <w:lang w:val="cs-CZ"/>
        </w:rPr>
        <w:t xml:space="preserve"> krabičce přípravku</w:t>
      </w:r>
      <w:r w:rsidR="003B44E7" w:rsidRPr="0028273C">
        <w:rPr>
          <w:szCs w:val="22"/>
          <w:lang w:val="cs-CZ"/>
        </w:rPr>
        <w:t xml:space="preserve">. </w:t>
      </w:r>
      <w:r w:rsidRPr="0028273C">
        <w:rPr>
          <w:szCs w:val="22"/>
          <w:lang w:val="cs-CZ"/>
        </w:rPr>
        <w:t xml:space="preserve">Toto datum nemá nikdy překročit datum </w:t>
      </w:r>
      <w:r w:rsidR="004418BF" w:rsidRPr="0028273C">
        <w:rPr>
          <w:szCs w:val="22"/>
          <w:lang w:val="cs-CZ"/>
        </w:rPr>
        <w:t xml:space="preserve">použitelnosti </w:t>
      </w:r>
      <w:r w:rsidRPr="0028273C">
        <w:rPr>
          <w:szCs w:val="22"/>
          <w:lang w:val="cs-CZ"/>
        </w:rPr>
        <w:t>uvedené na vnějším obalu</w:t>
      </w:r>
      <w:r w:rsidR="003B44E7" w:rsidRPr="0028273C">
        <w:rPr>
          <w:szCs w:val="22"/>
          <w:lang w:val="cs-CZ"/>
        </w:rPr>
        <w:t>.</w:t>
      </w:r>
      <w:r w:rsidRPr="0028273C">
        <w:rPr>
          <w:szCs w:val="22"/>
          <w:lang w:val="cs-CZ"/>
        </w:rPr>
        <w:t xml:space="preserve"> Na konci tohoto období nemá být přípravek vrácen do </w:t>
      </w:r>
      <w:r w:rsidR="003D4CC5" w:rsidRPr="0028273C">
        <w:rPr>
          <w:szCs w:val="22"/>
          <w:lang w:val="cs-CZ"/>
        </w:rPr>
        <w:t>chladničky,</w:t>
      </w:r>
      <w:r w:rsidRPr="0028273C">
        <w:rPr>
          <w:szCs w:val="22"/>
          <w:lang w:val="cs-CZ"/>
        </w:rPr>
        <w:t xml:space="preserve"> ale má být zlikvidován</w:t>
      </w:r>
      <w:r w:rsidR="003B44E7" w:rsidRPr="0028273C">
        <w:rPr>
          <w:szCs w:val="22"/>
          <w:lang w:val="cs-CZ"/>
        </w:rPr>
        <w:t>.</w:t>
      </w:r>
    </w:p>
    <w:p w14:paraId="217D68C3" w14:textId="77777777" w:rsidR="00DD6503" w:rsidRPr="0028273C" w:rsidRDefault="00DD6503" w:rsidP="00735457">
      <w:pPr>
        <w:tabs>
          <w:tab w:val="clear" w:pos="567"/>
        </w:tabs>
        <w:rPr>
          <w:szCs w:val="22"/>
          <w:lang w:val="cs-CZ"/>
        </w:rPr>
      </w:pPr>
    </w:p>
    <w:p w14:paraId="6328C852" w14:textId="77777777" w:rsidR="00883D61" w:rsidRPr="0028273C" w:rsidRDefault="00883D61" w:rsidP="00735457">
      <w:pPr>
        <w:rPr>
          <w:lang w:val="cs-CZ"/>
        </w:rPr>
      </w:pPr>
      <w:r w:rsidRPr="0028273C">
        <w:rPr>
          <w:lang w:val="cs-CZ"/>
        </w:rPr>
        <w:t xml:space="preserve">Podmínky uchovávání tohoto léčivého přípravku </w:t>
      </w:r>
      <w:r w:rsidRPr="0028273C">
        <w:rPr>
          <w:noProof/>
          <w:szCs w:val="24"/>
          <w:lang w:val="cs-CZ"/>
        </w:rPr>
        <w:t>po jeho rekonstituci</w:t>
      </w:r>
      <w:r w:rsidRPr="0028273C">
        <w:rPr>
          <w:lang w:val="cs-CZ"/>
        </w:rPr>
        <w:t xml:space="preserve"> </w:t>
      </w:r>
      <w:r w:rsidRPr="0028273C">
        <w:rPr>
          <w:noProof/>
          <w:szCs w:val="24"/>
          <w:lang w:val="cs-CZ"/>
        </w:rPr>
        <w:t>jsou uvedeny v</w:t>
      </w:r>
      <w:r w:rsidRPr="0028273C">
        <w:rPr>
          <w:lang w:val="cs-CZ"/>
        </w:rPr>
        <w:t> bod</w:t>
      </w:r>
      <w:r w:rsidRPr="0028273C">
        <w:rPr>
          <w:noProof/>
          <w:szCs w:val="24"/>
          <w:lang w:val="cs-CZ"/>
        </w:rPr>
        <w:t>ě</w:t>
      </w:r>
      <w:r w:rsidRPr="0028273C">
        <w:rPr>
          <w:lang w:val="cs-CZ"/>
        </w:rPr>
        <w:t> 6.3.</w:t>
      </w:r>
    </w:p>
    <w:p w14:paraId="2E99D692" w14:textId="77777777" w:rsidR="00DD6503" w:rsidRPr="0028273C" w:rsidRDefault="00DD6503" w:rsidP="00735457">
      <w:pPr>
        <w:tabs>
          <w:tab w:val="clear" w:pos="567"/>
        </w:tabs>
        <w:rPr>
          <w:szCs w:val="22"/>
          <w:lang w:val="cs-CZ"/>
        </w:rPr>
      </w:pPr>
    </w:p>
    <w:p w14:paraId="5EC95E47" w14:textId="270AE9B0" w:rsidR="00DD6503" w:rsidRPr="0028273C" w:rsidRDefault="00DD6503" w:rsidP="08DAF136">
      <w:pPr>
        <w:keepNext/>
        <w:keepLines/>
        <w:tabs>
          <w:tab w:val="clear" w:pos="567"/>
        </w:tabs>
        <w:ind w:left="567" w:hanging="567"/>
        <w:outlineLvl w:val="2"/>
        <w:rPr>
          <w:b/>
          <w:bCs/>
          <w:lang w:val="cs-CZ"/>
        </w:rPr>
      </w:pPr>
      <w:r w:rsidRPr="08DAF136">
        <w:rPr>
          <w:b/>
          <w:bCs/>
          <w:lang w:val="cs-CZ"/>
        </w:rPr>
        <w:t>6.5</w:t>
      </w:r>
      <w:r>
        <w:tab/>
      </w:r>
      <w:r w:rsidR="00F11B4B" w:rsidRPr="08DAF136">
        <w:rPr>
          <w:b/>
          <w:bCs/>
          <w:lang w:val="cs-CZ"/>
        </w:rPr>
        <w:t>Druh obalu a obsah balení</w:t>
      </w:r>
    </w:p>
    <w:p w14:paraId="6E32AF51" w14:textId="77777777" w:rsidR="00DD6503" w:rsidRPr="0028273C" w:rsidRDefault="00DD6503" w:rsidP="00735457">
      <w:pPr>
        <w:keepNext/>
        <w:tabs>
          <w:tab w:val="clear" w:pos="567"/>
        </w:tabs>
        <w:rPr>
          <w:szCs w:val="22"/>
          <w:lang w:val="cs-CZ"/>
        </w:rPr>
      </w:pPr>
    </w:p>
    <w:p w14:paraId="297CBB5A" w14:textId="77777777" w:rsidR="00DD6503" w:rsidRPr="0028273C" w:rsidRDefault="00A608CF" w:rsidP="00735457">
      <w:pPr>
        <w:keepNext/>
        <w:keepLines/>
        <w:tabs>
          <w:tab w:val="clear" w:pos="567"/>
        </w:tabs>
        <w:rPr>
          <w:szCs w:val="22"/>
          <w:lang w:val="cs-CZ"/>
        </w:rPr>
      </w:pPr>
      <w:r>
        <w:rPr>
          <w:lang w:val="cs-CZ"/>
        </w:rPr>
        <w:t>Každé j</w:t>
      </w:r>
      <w:r w:rsidR="00883D61" w:rsidRPr="0028273C">
        <w:rPr>
          <w:lang w:val="cs-CZ"/>
        </w:rPr>
        <w:t>edno</w:t>
      </w:r>
      <w:r w:rsidR="003F5A81">
        <w:rPr>
          <w:lang w:val="cs-CZ"/>
        </w:rPr>
        <w:t>tlivé</w:t>
      </w:r>
      <w:r w:rsidR="00883D61" w:rsidRPr="0028273C">
        <w:rPr>
          <w:lang w:val="cs-CZ"/>
        </w:rPr>
        <w:t xml:space="preserve"> balení přípravku </w:t>
      </w:r>
      <w:proofErr w:type="spellStart"/>
      <w:r w:rsidR="00883D61" w:rsidRPr="0028273C">
        <w:rPr>
          <w:lang w:val="cs-CZ"/>
        </w:rPr>
        <w:t>Jivi</w:t>
      </w:r>
      <w:proofErr w:type="spellEnd"/>
      <w:r w:rsidR="00883D61" w:rsidRPr="0028273C">
        <w:rPr>
          <w:lang w:val="cs-CZ"/>
        </w:rPr>
        <w:t xml:space="preserve"> obsahuje</w:t>
      </w:r>
      <w:r w:rsidR="00DD6503" w:rsidRPr="0028273C">
        <w:rPr>
          <w:szCs w:val="22"/>
          <w:lang w:val="cs-CZ"/>
        </w:rPr>
        <w:t>:</w:t>
      </w:r>
    </w:p>
    <w:p w14:paraId="312C282A" w14:textId="77777777" w:rsidR="00DD6503" w:rsidRPr="0028273C" w:rsidRDefault="003A4695" w:rsidP="00735457">
      <w:pPr>
        <w:pStyle w:val="Zkladntextodsazen"/>
        <w:keepNext/>
        <w:keepLines/>
        <w:numPr>
          <w:ilvl w:val="0"/>
          <w:numId w:val="17"/>
        </w:numPr>
        <w:tabs>
          <w:tab w:val="clear" w:pos="567"/>
        </w:tabs>
        <w:spacing w:after="0"/>
        <w:ind w:left="567" w:hanging="567"/>
        <w:rPr>
          <w:lang w:val="cs-CZ"/>
        </w:rPr>
      </w:pPr>
      <w:r w:rsidRPr="0028273C">
        <w:rPr>
          <w:lang w:val="cs-CZ"/>
        </w:rPr>
        <w:t>jednu injekční lahvičku s práškem</w:t>
      </w:r>
      <w:r w:rsidR="00DD6503" w:rsidRPr="0028273C">
        <w:rPr>
          <w:lang w:val="cs-CZ"/>
        </w:rPr>
        <w:t xml:space="preserve"> (</w:t>
      </w:r>
      <w:r w:rsidRPr="0028273C">
        <w:rPr>
          <w:lang w:val="cs-CZ"/>
        </w:rPr>
        <w:t xml:space="preserve">injekční lahvička </w:t>
      </w:r>
      <w:r w:rsidR="009716EE" w:rsidRPr="0028273C">
        <w:rPr>
          <w:lang w:val="cs-CZ"/>
        </w:rPr>
        <w:t xml:space="preserve">z čirého skla </w:t>
      </w:r>
      <w:r w:rsidR="009716EE">
        <w:rPr>
          <w:lang w:val="cs-CZ"/>
        </w:rPr>
        <w:t xml:space="preserve">třídy </w:t>
      </w:r>
      <w:r w:rsidR="00076AE4">
        <w:rPr>
          <w:lang w:val="cs-CZ"/>
        </w:rPr>
        <w:t>I</w:t>
      </w:r>
      <w:r w:rsidRPr="0028273C">
        <w:rPr>
          <w:lang w:val="cs-CZ"/>
        </w:rPr>
        <w:t xml:space="preserve"> o objemu 10 ml se zátkou z šedé </w:t>
      </w:r>
      <w:proofErr w:type="spellStart"/>
      <w:r w:rsidR="009716EE">
        <w:rPr>
          <w:lang w:val="cs-CZ"/>
        </w:rPr>
        <w:t>brom</w:t>
      </w:r>
      <w:r w:rsidR="009716EE" w:rsidRPr="0028273C">
        <w:rPr>
          <w:lang w:val="cs-CZ"/>
        </w:rPr>
        <w:t>butylové</w:t>
      </w:r>
      <w:proofErr w:type="spellEnd"/>
      <w:r w:rsidR="009716EE" w:rsidRPr="0028273C">
        <w:rPr>
          <w:lang w:val="cs-CZ"/>
        </w:rPr>
        <w:t xml:space="preserve"> </w:t>
      </w:r>
      <w:r w:rsidRPr="0028273C">
        <w:rPr>
          <w:lang w:val="cs-CZ"/>
        </w:rPr>
        <w:t>pryž</w:t>
      </w:r>
      <w:r w:rsidR="009716EE">
        <w:rPr>
          <w:lang w:val="cs-CZ"/>
        </w:rPr>
        <w:t>e</w:t>
      </w:r>
      <w:r w:rsidRPr="0028273C">
        <w:rPr>
          <w:lang w:val="cs-CZ"/>
        </w:rPr>
        <w:t xml:space="preserve"> a hliníkovým </w:t>
      </w:r>
      <w:r w:rsidR="009716EE">
        <w:rPr>
          <w:lang w:val="cs-CZ"/>
        </w:rPr>
        <w:t>uzávěrem</w:t>
      </w:r>
      <w:r w:rsidR="00DD6503" w:rsidRPr="0028273C">
        <w:rPr>
          <w:lang w:val="cs-CZ"/>
        </w:rPr>
        <w:t>)</w:t>
      </w:r>
    </w:p>
    <w:p w14:paraId="060D9D24" w14:textId="55196C2E" w:rsidR="00DD6503" w:rsidRPr="0028273C" w:rsidRDefault="003A4695" w:rsidP="7078F7E6">
      <w:pPr>
        <w:keepNext/>
        <w:keepLines/>
        <w:numPr>
          <w:ilvl w:val="0"/>
          <w:numId w:val="17"/>
        </w:numPr>
        <w:tabs>
          <w:tab w:val="clear" w:pos="567"/>
        </w:tabs>
        <w:ind w:left="567" w:hanging="567"/>
        <w:rPr>
          <w:lang w:val="cs-CZ"/>
        </w:rPr>
      </w:pPr>
      <w:r w:rsidRPr="7078F7E6">
        <w:rPr>
          <w:lang w:val="cs-CZ"/>
        </w:rPr>
        <w:t xml:space="preserve">jednu </w:t>
      </w:r>
      <w:proofErr w:type="spellStart"/>
      <w:r w:rsidRPr="7078F7E6">
        <w:rPr>
          <w:lang w:val="cs-CZ"/>
        </w:rPr>
        <w:t>předplněnou</w:t>
      </w:r>
      <w:proofErr w:type="spellEnd"/>
      <w:r w:rsidRPr="7078F7E6">
        <w:rPr>
          <w:lang w:val="cs-CZ"/>
        </w:rPr>
        <w:t xml:space="preserve"> injekční stříkačku s </w:t>
      </w:r>
      <w:r w:rsidR="00914B31" w:rsidRPr="7078F7E6">
        <w:rPr>
          <w:lang w:val="cs-CZ"/>
        </w:rPr>
        <w:t>2</w:t>
      </w:r>
      <w:r w:rsidRPr="7078F7E6">
        <w:rPr>
          <w:lang w:val="cs-CZ"/>
        </w:rPr>
        <w:t>,</w:t>
      </w:r>
      <w:r w:rsidR="00914B31" w:rsidRPr="7078F7E6">
        <w:rPr>
          <w:lang w:val="cs-CZ"/>
        </w:rPr>
        <w:t>5</w:t>
      </w:r>
      <w:r w:rsidRPr="7078F7E6">
        <w:rPr>
          <w:lang w:val="cs-CZ"/>
        </w:rPr>
        <w:t> </w:t>
      </w:r>
      <w:r w:rsidR="00914B31" w:rsidRPr="7078F7E6">
        <w:rPr>
          <w:lang w:val="cs-CZ"/>
        </w:rPr>
        <w:t>m</w:t>
      </w:r>
      <w:r w:rsidRPr="7078F7E6">
        <w:rPr>
          <w:lang w:val="cs-CZ"/>
        </w:rPr>
        <w:t xml:space="preserve">l </w:t>
      </w:r>
      <w:r w:rsidR="0016064A" w:rsidRPr="7078F7E6">
        <w:rPr>
          <w:lang w:val="cs-CZ"/>
        </w:rPr>
        <w:t xml:space="preserve">(pro 250 IU, 500 IU, 1 000 IU, 2 000 IU a 3 000 IU) nebo 5 ml (pro 4 000 IU) </w:t>
      </w:r>
      <w:r w:rsidRPr="7078F7E6">
        <w:rPr>
          <w:lang w:val="cs-CZ"/>
        </w:rPr>
        <w:t>rozpouštědla</w:t>
      </w:r>
      <w:r w:rsidR="00DD6503" w:rsidRPr="7078F7E6">
        <w:rPr>
          <w:lang w:val="cs-CZ"/>
        </w:rPr>
        <w:t xml:space="preserve"> </w:t>
      </w:r>
      <w:r w:rsidR="00432699" w:rsidRPr="7078F7E6">
        <w:rPr>
          <w:lang w:val="cs-CZ"/>
        </w:rPr>
        <w:t>(</w:t>
      </w:r>
      <w:r w:rsidR="00D66601" w:rsidRPr="7078F7E6">
        <w:rPr>
          <w:lang w:val="cs-CZ"/>
        </w:rPr>
        <w:t xml:space="preserve">cylindrická stříkačka z </w:t>
      </w:r>
      <w:r w:rsidR="001B5A27" w:rsidRPr="7078F7E6">
        <w:rPr>
          <w:lang w:val="cs-CZ"/>
        </w:rPr>
        <w:t>čiré</w:t>
      </w:r>
      <w:r w:rsidR="00D66601" w:rsidRPr="7078F7E6">
        <w:rPr>
          <w:lang w:val="cs-CZ"/>
        </w:rPr>
        <w:t>ho</w:t>
      </w:r>
      <w:r w:rsidR="001B5A27" w:rsidRPr="7078F7E6">
        <w:rPr>
          <w:lang w:val="cs-CZ"/>
        </w:rPr>
        <w:t xml:space="preserve"> skl</w:t>
      </w:r>
      <w:r w:rsidR="00D66601" w:rsidRPr="7078F7E6">
        <w:rPr>
          <w:lang w:val="cs-CZ"/>
        </w:rPr>
        <w:t>a</w:t>
      </w:r>
      <w:r w:rsidR="001B5A27" w:rsidRPr="7078F7E6">
        <w:rPr>
          <w:lang w:val="cs-CZ"/>
        </w:rPr>
        <w:t xml:space="preserve"> třídy </w:t>
      </w:r>
      <w:r w:rsidR="00076AE4" w:rsidRPr="7078F7E6">
        <w:rPr>
          <w:lang w:val="cs-CZ"/>
        </w:rPr>
        <w:t>I</w:t>
      </w:r>
      <w:r w:rsidR="001B5A27" w:rsidRPr="7078F7E6">
        <w:rPr>
          <w:lang w:val="cs-CZ"/>
        </w:rPr>
        <w:t xml:space="preserve"> se </w:t>
      </w:r>
      <w:r w:rsidR="00F11B4B" w:rsidRPr="7078F7E6">
        <w:rPr>
          <w:lang w:val="cs-CZ"/>
        </w:rPr>
        <w:t xml:space="preserve">zátkou z šedé </w:t>
      </w:r>
      <w:proofErr w:type="spellStart"/>
      <w:r w:rsidR="00F11B4B" w:rsidRPr="7078F7E6">
        <w:rPr>
          <w:lang w:val="cs-CZ"/>
        </w:rPr>
        <w:t>brombutylové</w:t>
      </w:r>
      <w:proofErr w:type="spellEnd"/>
      <w:r w:rsidR="00F11B4B" w:rsidRPr="7078F7E6">
        <w:rPr>
          <w:lang w:val="cs-CZ"/>
        </w:rPr>
        <w:t xml:space="preserve"> pryž</w:t>
      </w:r>
      <w:r w:rsidR="001B5A27" w:rsidRPr="7078F7E6">
        <w:rPr>
          <w:lang w:val="cs-CZ"/>
        </w:rPr>
        <w:t>e</w:t>
      </w:r>
      <w:r w:rsidR="00DD6503" w:rsidRPr="7078F7E6">
        <w:rPr>
          <w:lang w:val="cs-CZ"/>
        </w:rPr>
        <w:t>)</w:t>
      </w:r>
    </w:p>
    <w:p w14:paraId="5352254D" w14:textId="77777777" w:rsidR="00DD6503" w:rsidRPr="0028273C" w:rsidRDefault="00F11B4B" w:rsidP="00735457">
      <w:pPr>
        <w:pStyle w:val="Zkladntextodsazen"/>
        <w:keepNext/>
        <w:keepLines/>
        <w:numPr>
          <w:ilvl w:val="0"/>
          <w:numId w:val="17"/>
        </w:numPr>
        <w:tabs>
          <w:tab w:val="clear" w:pos="567"/>
        </w:tabs>
        <w:spacing w:after="0"/>
        <w:ind w:left="567" w:hanging="567"/>
        <w:rPr>
          <w:lang w:val="cs-CZ"/>
        </w:rPr>
      </w:pPr>
      <w:r w:rsidRPr="0028273C">
        <w:rPr>
          <w:lang w:val="cs-CZ"/>
        </w:rPr>
        <w:t>jeden píst injekční stříkačk</w:t>
      </w:r>
      <w:r w:rsidR="00B62226">
        <w:rPr>
          <w:lang w:val="cs-CZ"/>
        </w:rPr>
        <w:t>y</w:t>
      </w:r>
    </w:p>
    <w:p w14:paraId="116DCFCB" w14:textId="77777777" w:rsidR="00DD6503" w:rsidRPr="0028273C" w:rsidRDefault="00F11B4B" w:rsidP="00735457">
      <w:pPr>
        <w:pStyle w:val="Zkladntextodsazen"/>
        <w:keepNext/>
        <w:keepLines/>
        <w:numPr>
          <w:ilvl w:val="0"/>
          <w:numId w:val="17"/>
        </w:numPr>
        <w:tabs>
          <w:tab w:val="clear" w:pos="567"/>
        </w:tabs>
        <w:spacing w:after="0"/>
        <w:ind w:left="567" w:hanging="567"/>
        <w:rPr>
          <w:lang w:val="cs-CZ"/>
        </w:rPr>
      </w:pPr>
      <w:r w:rsidRPr="0028273C">
        <w:rPr>
          <w:lang w:val="cs-CZ"/>
        </w:rPr>
        <w:t>jeden adaptér injekční lahvičky (s integrovaným filtrem</w:t>
      </w:r>
      <w:r w:rsidR="00D66E5F" w:rsidRPr="0028273C">
        <w:rPr>
          <w:lang w:val="cs-CZ"/>
        </w:rPr>
        <w:t>)</w:t>
      </w:r>
    </w:p>
    <w:p w14:paraId="3CC969E6" w14:textId="77777777" w:rsidR="00DD6503" w:rsidRPr="0028273C" w:rsidRDefault="00F11B4B" w:rsidP="00735457">
      <w:pPr>
        <w:keepNext/>
        <w:keepLines/>
        <w:numPr>
          <w:ilvl w:val="0"/>
          <w:numId w:val="17"/>
        </w:numPr>
        <w:tabs>
          <w:tab w:val="clear" w:pos="567"/>
        </w:tabs>
        <w:ind w:left="567" w:hanging="567"/>
        <w:rPr>
          <w:szCs w:val="22"/>
          <w:lang w:val="cs-CZ"/>
        </w:rPr>
      </w:pPr>
      <w:r w:rsidRPr="0028273C">
        <w:rPr>
          <w:szCs w:val="22"/>
          <w:lang w:val="cs-CZ"/>
        </w:rPr>
        <w:t>jednu venepunkční sadu</w:t>
      </w:r>
    </w:p>
    <w:p w14:paraId="15F07D84" w14:textId="77777777" w:rsidR="00DD6503" w:rsidRPr="0028273C" w:rsidRDefault="00DD6503" w:rsidP="00735457">
      <w:pPr>
        <w:tabs>
          <w:tab w:val="clear" w:pos="567"/>
        </w:tabs>
        <w:rPr>
          <w:szCs w:val="22"/>
          <w:lang w:val="cs-CZ"/>
        </w:rPr>
      </w:pPr>
    </w:p>
    <w:p w14:paraId="460BE614" w14:textId="77777777" w:rsidR="00A608CF" w:rsidRDefault="00A608CF" w:rsidP="00735457">
      <w:pPr>
        <w:keepNext/>
        <w:keepLines/>
        <w:ind w:left="567" w:hanging="567"/>
      </w:pPr>
      <w:proofErr w:type="spellStart"/>
      <w:r w:rsidRPr="00817D17">
        <w:t>Velikosti</w:t>
      </w:r>
      <w:proofErr w:type="spellEnd"/>
      <w:r w:rsidRPr="00817D17">
        <w:t xml:space="preserve"> </w:t>
      </w:r>
      <w:proofErr w:type="spellStart"/>
      <w:r w:rsidRPr="00817D17">
        <w:t>balení</w:t>
      </w:r>
      <w:proofErr w:type="spellEnd"/>
    </w:p>
    <w:p w14:paraId="51865EC9" w14:textId="77777777" w:rsidR="00A608CF" w:rsidRDefault="00A608CF" w:rsidP="00735457">
      <w:pPr>
        <w:keepNext/>
        <w:keepLines/>
        <w:numPr>
          <w:ilvl w:val="0"/>
          <w:numId w:val="81"/>
        </w:numPr>
        <w:tabs>
          <w:tab w:val="clear" w:pos="567"/>
        </w:tabs>
      </w:pPr>
      <w:r>
        <w:t xml:space="preserve">1 </w:t>
      </w:r>
      <w:proofErr w:type="spellStart"/>
      <w:r>
        <w:t>jednotlivé</w:t>
      </w:r>
      <w:proofErr w:type="spellEnd"/>
      <w:r>
        <w:t xml:space="preserve"> </w:t>
      </w:r>
      <w:proofErr w:type="spellStart"/>
      <w:r>
        <w:t>balení</w:t>
      </w:r>
      <w:proofErr w:type="spellEnd"/>
      <w:r>
        <w:t>.</w:t>
      </w:r>
    </w:p>
    <w:p w14:paraId="2AEF36D6" w14:textId="5CE56EF7" w:rsidR="00A608CF" w:rsidRPr="00817D17" w:rsidRDefault="00A608CF" w:rsidP="00735457">
      <w:pPr>
        <w:keepNext/>
        <w:keepLines/>
        <w:numPr>
          <w:ilvl w:val="0"/>
          <w:numId w:val="81"/>
        </w:numPr>
        <w:tabs>
          <w:tab w:val="clear" w:pos="567"/>
        </w:tabs>
      </w:pPr>
      <w:r>
        <w:t xml:space="preserve">1 </w:t>
      </w:r>
      <w:proofErr w:type="spellStart"/>
      <w:r w:rsidR="00D16ECD">
        <w:t>vícečetné</w:t>
      </w:r>
      <w:proofErr w:type="spellEnd"/>
      <w:r w:rsidR="00D16ECD">
        <w:t xml:space="preserve"> </w:t>
      </w:r>
      <w:proofErr w:type="spellStart"/>
      <w:r w:rsidR="00D16ECD">
        <w:t>balení</w:t>
      </w:r>
      <w:proofErr w:type="spellEnd"/>
      <w:r w:rsidR="00D16ECD">
        <w:t xml:space="preserve"> </w:t>
      </w:r>
      <w:r>
        <w:t xml:space="preserve">s 30 </w:t>
      </w:r>
      <w:proofErr w:type="spellStart"/>
      <w:r>
        <w:t>jednotlivými</w:t>
      </w:r>
      <w:proofErr w:type="spellEnd"/>
      <w:r>
        <w:t xml:space="preserve"> </w:t>
      </w:r>
      <w:proofErr w:type="spellStart"/>
      <w:r>
        <w:t>baleními</w:t>
      </w:r>
      <w:proofErr w:type="spellEnd"/>
      <w:r>
        <w:t>.</w:t>
      </w:r>
    </w:p>
    <w:p w14:paraId="36178636" w14:textId="77777777" w:rsidR="00A608CF" w:rsidRDefault="00A608CF" w:rsidP="00735457">
      <w:pPr>
        <w:ind w:left="567" w:hanging="567"/>
        <w:rPr>
          <w:b/>
        </w:rPr>
      </w:pPr>
    </w:p>
    <w:p w14:paraId="3F84909F" w14:textId="77777777" w:rsidR="00A608CF" w:rsidRDefault="00A608CF" w:rsidP="00735457">
      <w:pPr>
        <w:pStyle w:val="Smalltext120"/>
        <w:tabs>
          <w:tab w:val="left" w:pos="567"/>
        </w:tabs>
        <w:rPr>
          <w:noProof/>
          <w:color w:val="000000"/>
          <w:sz w:val="22"/>
          <w:szCs w:val="22"/>
          <w:lang w:val="cs-CZ"/>
        </w:rPr>
      </w:pPr>
      <w:r>
        <w:rPr>
          <w:noProof/>
          <w:color w:val="000000"/>
          <w:sz w:val="22"/>
          <w:szCs w:val="22"/>
          <w:lang w:val="cs-CZ"/>
        </w:rPr>
        <w:t>Na trhu nemusí být všechny velikosti balení.</w:t>
      </w:r>
    </w:p>
    <w:p w14:paraId="5BACF6C8" w14:textId="77777777" w:rsidR="00A608CF" w:rsidRDefault="00A608CF" w:rsidP="00735457">
      <w:pPr>
        <w:tabs>
          <w:tab w:val="clear" w:pos="567"/>
        </w:tabs>
        <w:ind w:left="567" w:hanging="567"/>
        <w:rPr>
          <w:b/>
          <w:szCs w:val="22"/>
          <w:lang w:val="cs-CZ"/>
        </w:rPr>
      </w:pPr>
    </w:p>
    <w:p w14:paraId="15843A64" w14:textId="77777777" w:rsidR="00DD6503" w:rsidRPr="0028273C" w:rsidRDefault="00DD6503" w:rsidP="00FA1963">
      <w:pPr>
        <w:keepNext/>
        <w:keepLines/>
        <w:tabs>
          <w:tab w:val="clear" w:pos="567"/>
        </w:tabs>
        <w:ind w:left="567" w:hanging="567"/>
        <w:outlineLvl w:val="2"/>
        <w:rPr>
          <w:b/>
          <w:szCs w:val="22"/>
          <w:lang w:val="cs-CZ"/>
        </w:rPr>
      </w:pPr>
      <w:r w:rsidRPr="0028273C">
        <w:rPr>
          <w:b/>
          <w:szCs w:val="22"/>
          <w:lang w:val="cs-CZ"/>
        </w:rPr>
        <w:t>6.6</w:t>
      </w:r>
      <w:r w:rsidRPr="0028273C">
        <w:rPr>
          <w:b/>
          <w:szCs w:val="22"/>
          <w:lang w:val="cs-CZ"/>
        </w:rPr>
        <w:tab/>
      </w:r>
      <w:r w:rsidR="00883D61" w:rsidRPr="0028273C">
        <w:rPr>
          <w:b/>
          <w:lang w:val="cs-CZ"/>
        </w:rPr>
        <w:t>Zvláštní opatření pro likvidaci přípravku a pro zacházení s ním</w:t>
      </w:r>
    </w:p>
    <w:p w14:paraId="0CC0B8BE" w14:textId="77777777" w:rsidR="00DD6503" w:rsidRPr="0028273C" w:rsidRDefault="00DD6503" w:rsidP="00735457">
      <w:pPr>
        <w:keepNext/>
        <w:keepLines/>
        <w:tabs>
          <w:tab w:val="clear" w:pos="567"/>
        </w:tabs>
        <w:rPr>
          <w:szCs w:val="22"/>
          <w:lang w:val="cs-CZ"/>
        </w:rPr>
      </w:pPr>
    </w:p>
    <w:p w14:paraId="27ABC0D9" w14:textId="77777777" w:rsidR="00DD6503" w:rsidRPr="0028273C" w:rsidRDefault="00DD6503" w:rsidP="00735457">
      <w:pPr>
        <w:tabs>
          <w:tab w:val="clear" w:pos="567"/>
        </w:tabs>
        <w:rPr>
          <w:szCs w:val="22"/>
          <w:lang w:val="cs-CZ"/>
        </w:rPr>
      </w:pPr>
    </w:p>
    <w:p w14:paraId="03120C18" w14:textId="154CDF75" w:rsidR="004418BF" w:rsidRDefault="00883D61" w:rsidP="00735457">
      <w:pPr>
        <w:rPr>
          <w:lang w:val="cs-CZ"/>
        </w:rPr>
      </w:pPr>
      <w:r w:rsidRPr="0028273C">
        <w:rPr>
          <w:lang w:val="cs-CZ"/>
        </w:rPr>
        <w:t xml:space="preserve">Prášek přípravku </w:t>
      </w:r>
      <w:proofErr w:type="spellStart"/>
      <w:r w:rsidRPr="0028273C">
        <w:rPr>
          <w:lang w:val="cs-CZ"/>
        </w:rPr>
        <w:t>Jivi</w:t>
      </w:r>
      <w:proofErr w:type="spellEnd"/>
      <w:r w:rsidRPr="0028273C">
        <w:rPr>
          <w:lang w:val="cs-CZ"/>
        </w:rPr>
        <w:t xml:space="preserve"> m</w:t>
      </w:r>
      <w:r w:rsidR="005D329A">
        <w:rPr>
          <w:lang w:val="cs-CZ"/>
        </w:rPr>
        <w:t>á</w:t>
      </w:r>
      <w:r w:rsidRPr="0028273C">
        <w:rPr>
          <w:lang w:val="cs-CZ"/>
        </w:rPr>
        <w:t xml:space="preserve"> být rekonstituován pouze s dodaným rozpouštědlem (2,5 ml </w:t>
      </w:r>
      <w:r w:rsidR="0094798E" w:rsidRPr="00634953">
        <w:rPr>
          <w:szCs w:val="22"/>
          <w:lang w:val="cs-CZ"/>
        </w:rPr>
        <w:t>nebo 5</w:t>
      </w:r>
      <w:r w:rsidR="0094798E" w:rsidRPr="0028273C">
        <w:rPr>
          <w:lang w:val="cs-CZ"/>
        </w:rPr>
        <w:t> </w:t>
      </w:r>
      <w:r w:rsidR="0094798E" w:rsidRPr="00634953">
        <w:rPr>
          <w:szCs w:val="22"/>
          <w:lang w:val="cs-CZ"/>
        </w:rPr>
        <w:t xml:space="preserve">ml </w:t>
      </w:r>
      <w:r w:rsidRPr="0028273C">
        <w:rPr>
          <w:lang w:val="cs-CZ"/>
        </w:rPr>
        <w:t xml:space="preserve">vody </w:t>
      </w:r>
      <w:r w:rsidR="00076AE4">
        <w:rPr>
          <w:lang w:val="cs-CZ"/>
        </w:rPr>
        <w:t>pro</w:t>
      </w:r>
      <w:r w:rsidRPr="0028273C">
        <w:rPr>
          <w:lang w:val="cs-CZ"/>
        </w:rPr>
        <w:t xml:space="preserve"> injekci) v </w:t>
      </w:r>
      <w:proofErr w:type="spellStart"/>
      <w:r w:rsidRPr="0028273C">
        <w:rPr>
          <w:lang w:val="cs-CZ"/>
        </w:rPr>
        <w:t>předplněné</w:t>
      </w:r>
      <w:proofErr w:type="spellEnd"/>
      <w:r w:rsidRPr="0028273C">
        <w:rPr>
          <w:lang w:val="cs-CZ"/>
        </w:rPr>
        <w:t xml:space="preserve"> injekční stříkačce a adaptéru injekční lahvičky. Pro</w:t>
      </w:r>
      <w:r w:rsidR="00764A31">
        <w:rPr>
          <w:lang w:val="cs-CZ"/>
        </w:rPr>
        <w:t xml:space="preserve"> </w:t>
      </w:r>
      <w:r w:rsidR="00AD1DE0">
        <w:rPr>
          <w:lang w:val="cs-CZ"/>
        </w:rPr>
        <w:t>infuzi</w:t>
      </w:r>
      <w:r w:rsidR="00A3137C" w:rsidRPr="0028273C">
        <w:rPr>
          <w:lang w:val="cs-CZ"/>
        </w:rPr>
        <w:t xml:space="preserve"> </w:t>
      </w:r>
      <w:r w:rsidRPr="0028273C">
        <w:rPr>
          <w:lang w:val="cs-CZ"/>
        </w:rPr>
        <w:t>musí být</w:t>
      </w:r>
      <w:r w:rsidR="00656B5D" w:rsidRPr="0028273C">
        <w:rPr>
          <w:lang w:val="cs-CZ"/>
        </w:rPr>
        <w:t xml:space="preserve"> léčivý</w:t>
      </w:r>
      <w:r w:rsidRPr="0028273C">
        <w:rPr>
          <w:lang w:val="cs-CZ"/>
        </w:rPr>
        <w:t xml:space="preserve"> </w:t>
      </w:r>
      <w:r w:rsidRPr="0028273C">
        <w:rPr>
          <w:lang w:val="cs-CZ"/>
        </w:rPr>
        <w:lastRenderedPageBreak/>
        <w:t>přípravek připravován</w:t>
      </w:r>
      <w:r w:rsidR="00656B5D" w:rsidRPr="0028273C">
        <w:rPr>
          <w:lang w:val="cs-CZ"/>
        </w:rPr>
        <w:t xml:space="preserve"> </w:t>
      </w:r>
      <w:r w:rsidRPr="0028273C">
        <w:rPr>
          <w:lang w:val="cs-CZ"/>
        </w:rPr>
        <w:t>v aseptických podmínkách. Pokud je kterákoli součást balení otevřená nebo poškozená, nepoužívejte ji.</w:t>
      </w:r>
    </w:p>
    <w:p w14:paraId="44C69749" w14:textId="77777777" w:rsidR="00881149" w:rsidRPr="0028273C" w:rsidRDefault="00881149" w:rsidP="00735457">
      <w:pPr>
        <w:rPr>
          <w:lang w:val="cs-CZ"/>
        </w:rPr>
      </w:pPr>
    </w:p>
    <w:p w14:paraId="66669E3A" w14:textId="77777777" w:rsidR="00883D61" w:rsidRPr="0028273C" w:rsidRDefault="00883D61" w:rsidP="00735457">
      <w:pPr>
        <w:rPr>
          <w:lang w:val="cs-CZ"/>
        </w:rPr>
      </w:pPr>
      <w:r w:rsidRPr="0028273C">
        <w:rPr>
          <w:lang w:val="cs-CZ"/>
        </w:rPr>
        <w:t>Po rekonstituci je roztok čirý</w:t>
      </w:r>
      <w:r w:rsidR="00656B5D" w:rsidRPr="0028273C">
        <w:rPr>
          <w:lang w:val="cs-CZ"/>
        </w:rPr>
        <w:t xml:space="preserve"> a</w:t>
      </w:r>
      <w:r w:rsidR="004418BF" w:rsidRPr="0028273C">
        <w:rPr>
          <w:lang w:val="cs-CZ"/>
        </w:rPr>
        <w:t> </w:t>
      </w:r>
      <w:r w:rsidR="00656B5D" w:rsidRPr="0028273C">
        <w:rPr>
          <w:lang w:val="cs-CZ"/>
        </w:rPr>
        <w:t>bezbarvý a</w:t>
      </w:r>
      <w:r w:rsidR="004418BF" w:rsidRPr="0028273C">
        <w:rPr>
          <w:lang w:val="cs-CZ"/>
        </w:rPr>
        <w:t> </w:t>
      </w:r>
      <w:r w:rsidR="00656B5D" w:rsidRPr="0028273C">
        <w:rPr>
          <w:lang w:val="cs-CZ"/>
        </w:rPr>
        <w:t xml:space="preserve">má být </w:t>
      </w:r>
      <w:r w:rsidR="004418BF" w:rsidRPr="0028273C">
        <w:rPr>
          <w:lang w:val="cs-CZ"/>
        </w:rPr>
        <w:t xml:space="preserve">znovu </w:t>
      </w:r>
      <w:r w:rsidR="00656B5D" w:rsidRPr="0028273C">
        <w:rPr>
          <w:lang w:val="cs-CZ"/>
        </w:rPr>
        <w:t>natažen do injekční stříkačky</w:t>
      </w:r>
      <w:r w:rsidRPr="0028273C">
        <w:rPr>
          <w:lang w:val="cs-CZ"/>
        </w:rPr>
        <w:t xml:space="preserve">. Léčivé přípravky pro parenterální podání je nutno před podáním vizuálně zkontrolovat, zda se v nich nenalézají částice nebo zda nezměnily barvu. </w:t>
      </w:r>
    </w:p>
    <w:p w14:paraId="09D1090B" w14:textId="77777777" w:rsidR="00DD6503" w:rsidRPr="0028273C" w:rsidRDefault="00DD6503" w:rsidP="00735457">
      <w:pPr>
        <w:tabs>
          <w:tab w:val="clear" w:pos="567"/>
        </w:tabs>
        <w:rPr>
          <w:szCs w:val="22"/>
          <w:lang w:val="cs-CZ"/>
        </w:rPr>
      </w:pPr>
    </w:p>
    <w:p w14:paraId="335499AD" w14:textId="77777777" w:rsidR="00DD6503" w:rsidRPr="0028273C" w:rsidRDefault="00883D61" w:rsidP="00735457">
      <w:pPr>
        <w:tabs>
          <w:tab w:val="clear" w:pos="567"/>
        </w:tabs>
        <w:rPr>
          <w:lang w:val="cs-CZ"/>
        </w:rPr>
      </w:pPr>
      <w:r w:rsidRPr="0028273C">
        <w:rPr>
          <w:lang w:val="cs-CZ"/>
        </w:rPr>
        <w:t xml:space="preserve">Rekonstituovaný přípravek je nutno před podáním přefiltrovat, aby byly z roztoku odstraněny případné přítomné částice. </w:t>
      </w:r>
      <w:r w:rsidR="003D4CC5" w:rsidRPr="0028273C">
        <w:rPr>
          <w:lang w:val="cs-CZ"/>
        </w:rPr>
        <w:t>Filtrace</w:t>
      </w:r>
      <w:r w:rsidRPr="0028273C">
        <w:rPr>
          <w:lang w:val="cs-CZ"/>
        </w:rPr>
        <w:t xml:space="preserve"> je dosažena pomocí adaptéru injekční lahvičky</w:t>
      </w:r>
      <w:r w:rsidR="00C101F1">
        <w:rPr>
          <w:lang w:val="cs-CZ"/>
        </w:rPr>
        <w:t>.</w:t>
      </w:r>
    </w:p>
    <w:p w14:paraId="5ABE12D3" w14:textId="77777777" w:rsidR="00B621C6" w:rsidRPr="0028273C" w:rsidRDefault="00B621C6" w:rsidP="00B621C6">
      <w:pPr>
        <w:tabs>
          <w:tab w:val="clear" w:pos="567"/>
        </w:tabs>
        <w:rPr>
          <w:szCs w:val="22"/>
          <w:lang w:val="cs-CZ"/>
        </w:rPr>
      </w:pPr>
    </w:p>
    <w:p w14:paraId="48E4FE25" w14:textId="77777777" w:rsidR="00B621C6" w:rsidRPr="0028273C" w:rsidRDefault="00B621C6" w:rsidP="00B621C6">
      <w:pPr>
        <w:keepNext/>
        <w:outlineLvl w:val="2"/>
        <w:rPr>
          <w:szCs w:val="22"/>
          <w:lang w:val="cs-CZ"/>
        </w:rPr>
      </w:pPr>
      <w:r w:rsidRPr="0028273C">
        <w:rPr>
          <w:b/>
          <w:lang w:val="cs-CZ"/>
        </w:rPr>
        <w:t>Podrobné instrukce pro rekonstituci a podání přípravku</w:t>
      </w:r>
      <w:r w:rsidRPr="0028273C">
        <w:rPr>
          <w:b/>
          <w:szCs w:val="22"/>
          <w:lang w:val="cs-CZ"/>
        </w:rPr>
        <w:t xml:space="preserve"> </w:t>
      </w:r>
      <w:proofErr w:type="spellStart"/>
      <w:r w:rsidRPr="0028273C">
        <w:rPr>
          <w:b/>
          <w:szCs w:val="22"/>
          <w:lang w:val="cs-CZ"/>
        </w:rPr>
        <w:t>Jivi</w:t>
      </w:r>
      <w:proofErr w:type="spellEnd"/>
    </w:p>
    <w:p w14:paraId="13F6B4F3" w14:textId="77777777" w:rsidR="00B621C6" w:rsidRPr="0028273C" w:rsidRDefault="00B621C6" w:rsidP="00B621C6">
      <w:pPr>
        <w:keepNext/>
        <w:rPr>
          <w:szCs w:val="22"/>
          <w:lang w:val="cs-CZ"/>
        </w:rPr>
      </w:pPr>
      <w:r w:rsidRPr="0028273C">
        <w:rPr>
          <w:szCs w:val="22"/>
          <w:lang w:val="cs-CZ"/>
        </w:rPr>
        <w:t>Budete potřebovat tampony napuštěné alkoholem, vatové tampony, náplasti a </w:t>
      </w:r>
      <w:r>
        <w:rPr>
          <w:szCs w:val="22"/>
          <w:lang w:val="cs-CZ"/>
        </w:rPr>
        <w:t>škrtidlo</w:t>
      </w:r>
      <w:r w:rsidRPr="0028273C">
        <w:rPr>
          <w:szCs w:val="22"/>
          <w:lang w:val="cs-CZ"/>
        </w:rPr>
        <w:t xml:space="preserve">. Tyto položky nejsou součástí balení přípravku </w:t>
      </w:r>
      <w:proofErr w:type="spellStart"/>
      <w:r w:rsidRPr="0028273C">
        <w:rPr>
          <w:szCs w:val="22"/>
          <w:lang w:val="cs-CZ"/>
        </w:rPr>
        <w:t>Jivi</w:t>
      </w:r>
      <w:proofErr w:type="spellEnd"/>
      <w:r w:rsidRPr="0028273C">
        <w:rPr>
          <w:szCs w:val="22"/>
          <w:lang w:val="cs-CZ"/>
        </w:rPr>
        <w:t>.</w:t>
      </w:r>
    </w:p>
    <w:p w14:paraId="7A888A24" w14:textId="77777777" w:rsidR="00B621C6" w:rsidRPr="0028273C" w:rsidRDefault="00B621C6" w:rsidP="00B621C6">
      <w:pPr>
        <w:tabs>
          <w:tab w:val="clear" w:pos="567"/>
        </w:tabs>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0"/>
        <w:gridCol w:w="1631"/>
      </w:tblGrid>
      <w:tr w:rsidR="00B621C6" w:rsidRPr="0028273C" w14:paraId="4FB262D2" w14:textId="77777777" w:rsidTr="00EC26E4">
        <w:tc>
          <w:tcPr>
            <w:tcW w:w="9288" w:type="dxa"/>
            <w:gridSpan w:val="2"/>
            <w:shd w:val="clear" w:color="auto" w:fill="auto"/>
          </w:tcPr>
          <w:p w14:paraId="63288C4C" w14:textId="77777777" w:rsidR="00B621C6" w:rsidRPr="0028273C" w:rsidRDefault="00B621C6" w:rsidP="00EC26E4">
            <w:pPr>
              <w:tabs>
                <w:tab w:val="clear" w:pos="567"/>
              </w:tabs>
              <w:ind w:left="567" w:hanging="567"/>
              <w:rPr>
                <w:rFonts w:eastAsia="Calibri"/>
                <w:lang w:val="cs-CZ"/>
              </w:rPr>
            </w:pPr>
            <w:r w:rsidRPr="0028273C">
              <w:rPr>
                <w:rFonts w:eastAsia="Calibri"/>
                <w:lang w:val="cs-CZ"/>
              </w:rPr>
              <w:t>1.</w:t>
            </w:r>
            <w:r w:rsidRPr="0028273C">
              <w:rPr>
                <w:rFonts w:eastAsia="Calibri"/>
                <w:lang w:val="cs-CZ"/>
              </w:rPr>
              <w:tab/>
            </w:r>
            <w:r w:rsidRPr="0028273C">
              <w:rPr>
                <w:lang w:val="cs-CZ"/>
              </w:rPr>
              <w:t>Omyjte si pečlivě ruce mýdlem a teplou vodou.</w:t>
            </w:r>
          </w:p>
          <w:p w14:paraId="259B3E51" w14:textId="77777777" w:rsidR="00B621C6" w:rsidRPr="0028273C" w:rsidRDefault="00B621C6" w:rsidP="00EC26E4">
            <w:pPr>
              <w:rPr>
                <w:rFonts w:eastAsia="Calibri"/>
                <w:lang w:val="cs-CZ"/>
              </w:rPr>
            </w:pPr>
          </w:p>
        </w:tc>
      </w:tr>
      <w:tr w:rsidR="00B621C6" w:rsidRPr="0028273C" w14:paraId="282F4422" w14:textId="77777777" w:rsidTr="00EC26E4">
        <w:tc>
          <w:tcPr>
            <w:tcW w:w="9288" w:type="dxa"/>
            <w:gridSpan w:val="2"/>
            <w:shd w:val="clear" w:color="auto" w:fill="auto"/>
          </w:tcPr>
          <w:p w14:paraId="0985F160" w14:textId="77777777" w:rsidR="00B621C6" w:rsidRPr="0028273C" w:rsidRDefault="00B621C6" w:rsidP="00EC26E4">
            <w:pPr>
              <w:tabs>
                <w:tab w:val="clear" w:pos="567"/>
              </w:tabs>
              <w:ind w:left="567" w:hanging="567"/>
              <w:rPr>
                <w:rFonts w:eastAsia="Calibri"/>
                <w:szCs w:val="22"/>
                <w:lang w:val="cs-CZ"/>
              </w:rPr>
            </w:pPr>
            <w:r w:rsidRPr="0028273C">
              <w:rPr>
                <w:rFonts w:eastAsia="Calibri"/>
                <w:lang w:val="cs-CZ"/>
              </w:rPr>
              <w:t>2.</w:t>
            </w:r>
            <w:r w:rsidRPr="0028273C">
              <w:rPr>
                <w:rFonts w:eastAsia="Calibri"/>
                <w:lang w:val="cs-CZ"/>
              </w:rPr>
              <w:tab/>
              <w:t xml:space="preserve">Držte </w:t>
            </w:r>
            <w:r w:rsidRPr="0028273C">
              <w:rPr>
                <w:snapToGrid w:val="0"/>
                <w:lang w:val="cs-CZ"/>
              </w:rPr>
              <w:t xml:space="preserve">neotevřenou </w:t>
            </w:r>
            <w:r w:rsidRPr="0028273C">
              <w:rPr>
                <w:lang w:val="cs-CZ"/>
              </w:rPr>
              <w:t xml:space="preserve">injekční </w:t>
            </w:r>
            <w:r w:rsidRPr="0028273C">
              <w:rPr>
                <w:snapToGrid w:val="0"/>
                <w:lang w:val="cs-CZ"/>
              </w:rPr>
              <w:t xml:space="preserve">lahvičku a </w:t>
            </w:r>
            <w:r w:rsidRPr="0028273C">
              <w:rPr>
                <w:lang w:val="cs-CZ"/>
              </w:rPr>
              <w:t xml:space="preserve">injekční </w:t>
            </w:r>
            <w:r w:rsidRPr="0028273C">
              <w:rPr>
                <w:snapToGrid w:val="0"/>
                <w:lang w:val="cs-CZ"/>
              </w:rPr>
              <w:t xml:space="preserve">stříkačku ve </w:t>
            </w:r>
            <w:r w:rsidRPr="0028273C">
              <w:rPr>
                <w:lang w:val="cs-CZ"/>
              </w:rPr>
              <w:t>svý</w:t>
            </w:r>
            <w:r w:rsidRPr="0028273C">
              <w:rPr>
                <w:snapToGrid w:val="0"/>
                <w:lang w:val="cs-CZ"/>
              </w:rPr>
              <w:t xml:space="preserve">ch rukách a zahřejte je </w:t>
            </w:r>
            <w:r w:rsidRPr="0028273C">
              <w:rPr>
                <w:lang w:val="cs-CZ"/>
              </w:rPr>
              <w:t xml:space="preserve">na příjemnou </w:t>
            </w:r>
            <w:r w:rsidRPr="0028273C">
              <w:rPr>
                <w:snapToGrid w:val="0"/>
                <w:lang w:val="cs-CZ"/>
              </w:rPr>
              <w:t>teplotu (nesmí překročit 37</w:t>
            </w:r>
            <w:r w:rsidRPr="0028273C">
              <w:rPr>
                <w:lang w:val="cs-CZ"/>
              </w:rPr>
              <w:t> </w:t>
            </w:r>
            <w:r w:rsidRPr="0028273C">
              <w:rPr>
                <w:snapToGrid w:val="0"/>
                <w:lang w:val="cs-CZ"/>
              </w:rPr>
              <w:t>°C).</w:t>
            </w:r>
          </w:p>
          <w:p w14:paraId="7289B69B" w14:textId="77777777" w:rsidR="00B621C6" w:rsidRPr="0028273C" w:rsidRDefault="00B621C6" w:rsidP="00EC26E4">
            <w:pPr>
              <w:rPr>
                <w:rFonts w:eastAsia="Calibri"/>
                <w:lang w:val="cs-CZ"/>
              </w:rPr>
            </w:pPr>
          </w:p>
        </w:tc>
      </w:tr>
      <w:tr w:rsidR="00B621C6" w:rsidRPr="0028273C" w14:paraId="0DDFC27D" w14:textId="77777777" w:rsidTr="00EC26E4">
        <w:tc>
          <w:tcPr>
            <w:tcW w:w="7657" w:type="dxa"/>
            <w:shd w:val="clear" w:color="auto" w:fill="auto"/>
          </w:tcPr>
          <w:p w14:paraId="38558E84" w14:textId="77777777" w:rsidR="00B621C6" w:rsidRPr="0028273C" w:rsidRDefault="00B621C6" w:rsidP="00EC26E4">
            <w:pPr>
              <w:tabs>
                <w:tab w:val="clear" w:pos="567"/>
              </w:tabs>
              <w:ind w:left="567" w:hanging="567"/>
              <w:rPr>
                <w:rFonts w:eastAsia="Calibri"/>
                <w:szCs w:val="22"/>
                <w:lang w:val="cs-CZ"/>
              </w:rPr>
            </w:pPr>
            <w:r w:rsidRPr="0028273C">
              <w:rPr>
                <w:rFonts w:eastAsia="Calibri"/>
                <w:szCs w:val="22"/>
                <w:lang w:val="cs-CZ"/>
              </w:rPr>
              <w:t>3.</w:t>
            </w:r>
            <w:r w:rsidRPr="0028273C">
              <w:rPr>
                <w:rFonts w:eastAsia="Calibri"/>
                <w:szCs w:val="22"/>
                <w:lang w:val="cs-CZ"/>
              </w:rPr>
              <w:tab/>
            </w:r>
            <w:r w:rsidRPr="0028273C">
              <w:rPr>
                <w:snapToGrid w:val="0"/>
                <w:lang w:val="cs-CZ"/>
              </w:rPr>
              <w:t xml:space="preserve">Odstraňte ochranné víčko </w:t>
            </w:r>
            <w:r w:rsidRPr="0028273C">
              <w:rPr>
                <w:lang w:val="cs-CZ"/>
              </w:rPr>
              <w:t xml:space="preserve">z injekční </w:t>
            </w:r>
            <w:r w:rsidRPr="0028273C">
              <w:rPr>
                <w:bCs/>
                <w:snapToGrid w:val="0"/>
                <w:lang w:val="cs-CZ"/>
              </w:rPr>
              <w:t>lahvičky </w:t>
            </w:r>
            <w:r w:rsidRPr="0028273C">
              <w:rPr>
                <w:b/>
                <w:snapToGrid w:val="0"/>
                <w:lang w:val="cs-CZ"/>
              </w:rPr>
              <w:t>(A)</w:t>
            </w:r>
            <w:r w:rsidRPr="0028273C">
              <w:rPr>
                <w:snapToGrid w:val="0"/>
                <w:lang w:val="cs-CZ"/>
              </w:rPr>
              <w:t xml:space="preserve"> a očistěte pryžovou zátku injekční lahvičky tamponem namočeným v alkoholu a nechte zátku před použitím uschnout.</w:t>
            </w:r>
          </w:p>
          <w:p w14:paraId="45492057" w14:textId="77777777" w:rsidR="00B621C6" w:rsidRPr="0028273C" w:rsidRDefault="00B621C6" w:rsidP="00EC26E4">
            <w:pPr>
              <w:ind w:left="567" w:hanging="567"/>
              <w:rPr>
                <w:rFonts w:eastAsia="Calibri"/>
                <w:lang w:val="cs-CZ"/>
              </w:rPr>
            </w:pPr>
          </w:p>
        </w:tc>
        <w:tc>
          <w:tcPr>
            <w:tcW w:w="1631" w:type="dxa"/>
            <w:shd w:val="clear" w:color="auto" w:fill="auto"/>
          </w:tcPr>
          <w:p w14:paraId="216A80E6" w14:textId="77777777" w:rsidR="00B621C6" w:rsidRPr="0028273C" w:rsidRDefault="00B621C6" w:rsidP="00EC26E4">
            <w:pPr>
              <w:tabs>
                <w:tab w:val="clear" w:pos="567"/>
              </w:tabs>
              <w:rPr>
                <w:rFonts w:eastAsia="Calibri"/>
                <w:lang w:val="cs-CZ"/>
              </w:rPr>
            </w:pPr>
            <w:r>
              <w:rPr>
                <w:rFonts w:eastAsia="Calibri"/>
                <w:noProof/>
                <w:szCs w:val="22"/>
                <w:lang w:val="cs-CZ" w:eastAsia="de-DE"/>
              </w:rPr>
              <w:drawing>
                <wp:inline distT="0" distB="0" distL="0" distR="0" wp14:anchorId="378964AC" wp14:editId="2CE7FD04">
                  <wp:extent cx="895350" cy="914400"/>
                  <wp:effectExtent l="0" t="0" r="0" b="0"/>
                  <wp:docPr id="23"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inline>
              </w:drawing>
            </w:r>
          </w:p>
        </w:tc>
      </w:tr>
      <w:tr w:rsidR="00B621C6" w:rsidRPr="0028273C" w14:paraId="31667ACD" w14:textId="77777777" w:rsidTr="00EC26E4">
        <w:tc>
          <w:tcPr>
            <w:tcW w:w="7657" w:type="dxa"/>
            <w:shd w:val="clear" w:color="auto" w:fill="auto"/>
          </w:tcPr>
          <w:p w14:paraId="5C34DB19" w14:textId="423A5BDE" w:rsidR="00B621C6" w:rsidRPr="0028273C" w:rsidRDefault="00B621C6" w:rsidP="00EC26E4">
            <w:pPr>
              <w:tabs>
                <w:tab w:val="clear" w:pos="567"/>
              </w:tabs>
              <w:ind w:left="567" w:hanging="567"/>
              <w:rPr>
                <w:rFonts w:eastAsia="Calibri"/>
                <w:szCs w:val="22"/>
                <w:lang w:val="cs-CZ"/>
              </w:rPr>
            </w:pPr>
            <w:r w:rsidRPr="0028273C">
              <w:rPr>
                <w:rFonts w:eastAsia="Calibri"/>
                <w:szCs w:val="22"/>
                <w:lang w:val="cs-CZ"/>
              </w:rPr>
              <w:t>4.</w:t>
            </w:r>
            <w:r w:rsidRPr="0028273C">
              <w:rPr>
                <w:rFonts w:eastAsia="Calibri"/>
                <w:szCs w:val="22"/>
                <w:lang w:val="cs-CZ"/>
              </w:rPr>
              <w:tab/>
            </w:r>
            <w:r w:rsidRPr="0028273C">
              <w:rPr>
                <w:lang w:val="cs-CZ"/>
              </w:rPr>
              <w:t xml:space="preserve">Umístěte </w:t>
            </w:r>
            <w:r w:rsidRPr="0028273C">
              <w:rPr>
                <w:b/>
                <w:lang w:val="cs-CZ"/>
              </w:rPr>
              <w:t>injekční lahvičku s práškem</w:t>
            </w:r>
            <w:r w:rsidRPr="0028273C">
              <w:rPr>
                <w:lang w:val="cs-CZ"/>
              </w:rPr>
              <w:t xml:space="preserve"> na stabilní, neklouzavý povrch. Odloupněte papírový kryt na plastovém obalu adaptéru injekční lahvičky. </w:t>
            </w:r>
            <w:r w:rsidRPr="0028273C">
              <w:rPr>
                <w:b/>
                <w:lang w:val="cs-CZ"/>
              </w:rPr>
              <w:t>Nevyndávejte</w:t>
            </w:r>
            <w:r w:rsidRPr="0028273C">
              <w:rPr>
                <w:lang w:val="cs-CZ"/>
              </w:rPr>
              <w:t xml:space="preserve"> adaptér z plastového obalu. Držte obal adaptéru, nasaďte jej přes injekční lahvičku s p</w:t>
            </w:r>
            <w:r w:rsidR="00C76ADD">
              <w:rPr>
                <w:lang w:val="cs-CZ"/>
              </w:rPr>
              <w:t>ráškem</w:t>
            </w:r>
            <w:r w:rsidRPr="0028273C">
              <w:rPr>
                <w:lang w:val="cs-CZ"/>
              </w:rPr>
              <w:t xml:space="preserve"> a pevně jej zatlačte </w:t>
            </w:r>
            <w:r w:rsidRPr="0028273C">
              <w:rPr>
                <w:b/>
                <w:lang w:val="cs-CZ"/>
              </w:rPr>
              <w:t>(B)</w:t>
            </w:r>
            <w:r w:rsidRPr="0028273C">
              <w:rPr>
                <w:bCs/>
                <w:lang w:val="cs-CZ"/>
              </w:rPr>
              <w:t xml:space="preserve">. </w:t>
            </w:r>
            <w:r w:rsidRPr="0028273C">
              <w:rPr>
                <w:lang w:val="cs-CZ"/>
              </w:rPr>
              <w:t>Adaptér zaklapne přes víčko injekční lahvičky</w:t>
            </w:r>
            <w:r w:rsidRPr="0028273C">
              <w:rPr>
                <w:b/>
                <w:lang w:val="cs-CZ"/>
              </w:rPr>
              <w:t>.</w:t>
            </w:r>
            <w:r w:rsidRPr="0028273C">
              <w:rPr>
                <w:lang w:val="cs-CZ"/>
              </w:rPr>
              <w:t xml:space="preserve"> </w:t>
            </w:r>
            <w:r w:rsidRPr="0028273C">
              <w:rPr>
                <w:b/>
                <w:lang w:val="cs-CZ"/>
              </w:rPr>
              <w:t>Ne</w:t>
            </w:r>
            <w:r w:rsidRPr="0028273C">
              <w:rPr>
                <w:b/>
                <w:bCs/>
                <w:lang w:val="cs-CZ"/>
              </w:rPr>
              <w:t>sundávejte</w:t>
            </w:r>
            <w:r w:rsidRPr="0028273C">
              <w:rPr>
                <w:lang w:val="cs-CZ"/>
              </w:rPr>
              <w:t xml:space="preserve"> nyní obal adaptéru.</w:t>
            </w:r>
          </w:p>
          <w:p w14:paraId="72C635EE" w14:textId="77777777" w:rsidR="00B621C6" w:rsidRPr="0028273C" w:rsidRDefault="00B621C6" w:rsidP="00EC26E4">
            <w:pPr>
              <w:rPr>
                <w:rFonts w:eastAsia="Calibri"/>
                <w:lang w:val="cs-CZ"/>
              </w:rPr>
            </w:pPr>
          </w:p>
        </w:tc>
        <w:tc>
          <w:tcPr>
            <w:tcW w:w="1631" w:type="dxa"/>
            <w:shd w:val="clear" w:color="auto" w:fill="auto"/>
          </w:tcPr>
          <w:p w14:paraId="390FE239" w14:textId="77777777" w:rsidR="00B621C6" w:rsidRPr="0028273C" w:rsidRDefault="00B621C6" w:rsidP="00EC26E4">
            <w:pPr>
              <w:tabs>
                <w:tab w:val="clear" w:pos="567"/>
              </w:tabs>
              <w:rPr>
                <w:rFonts w:eastAsia="Calibri"/>
                <w:lang w:val="cs-CZ"/>
              </w:rPr>
            </w:pPr>
            <w:r>
              <w:rPr>
                <w:rFonts w:eastAsia="Calibri"/>
                <w:noProof/>
                <w:szCs w:val="22"/>
                <w:lang w:val="cs-CZ" w:eastAsia="de-DE"/>
              </w:rPr>
              <w:drawing>
                <wp:inline distT="0" distB="0" distL="0" distR="0" wp14:anchorId="5AE256D2" wp14:editId="3829A45C">
                  <wp:extent cx="895350" cy="895350"/>
                  <wp:effectExtent l="0" t="0" r="0" b="0"/>
                  <wp:docPr id="24"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r>
      <w:tr w:rsidR="00B621C6" w:rsidRPr="0028273C" w14:paraId="1E01E28C" w14:textId="77777777" w:rsidTr="00EC26E4">
        <w:tc>
          <w:tcPr>
            <w:tcW w:w="7657" w:type="dxa"/>
            <w:shd w:val="clear" w:color="auto" w:fill="auto"/>
          </w:tcPr>
          <w:p w14:paraId="4381D8FF" w14:textId="2C65F3C5" w:rsidR="00B621C6" w:rsidRPr="0028273C" w:rsidRDefault="00B621C6" w:rsidP="00EC26E4">
            <w:pPr>
              <w:tabs>
                <w:tab w:val="clear" w:pos="567"/>
              </w:tabs>
              <w:ind w:left="567" w:hanging="567"/>
              <w:rPr>
                <w:rFonts w:eastAsia="Calibri"/>
                <w:szCs w:val="22"/>
                <w:lang w:val="cs-CZ"/>
              </w:rPr>
            </w:pPr>
            <w:r w:rsidRPr="0028273C">
              <w:rPr>
                <w:rFonts w:eastAsia="Calibri"/>
                <w:lang w:val="cs-CZ"/>
              </w:rPr>
              <w:t>5.</w:t>
            </w:r>
            <w:r w:rsidRPr="0028273C">
              <w:rPr>
                <w:rFonts w:eastAsia="Calibri"/>
                <w:lang w:val="cs-CZ"/>
              </w:rPr>
              <w:tab/>
              <w:t xml:space="preserve">Přidržte </w:t>
            </w:r>
            <w:proofErr w:type="spellStart"/>
            <w:r w:rsidRPr="0028273C">
              <w:rPr>
                <w:rFonts w:eastAsia="Calibri"/>
                <w:lang w:val="cs-CZ"/>
              </w:rPr>
              <w:t>předplněnou</w:t>
            </w:r>
            <w:proofErr w:type="spellEnd"/>
            <w:r w:rsidRPr="0028273C">
              <w:rPr>
                <w:rFonts w:eastAsia="Calibri"/>
                <w:lang w:val="cs-CZ"/>
              </w:rPr>
              <w:t xml:space="preserve"> injekční stříkačku </w:t>
            </w:r>
            <w:r w:rsidR="00C31D6C">
              <w:rPr>
                <w:rFonts w:eastAsia="Calibri"/>
                <w:lang w:val="cs-CZ"/>
              </w:rPr>
              <w:t xml:space="preserve">s </w:t>
            </w:r>
            <w:r>
              <w:rPr>
                <w:rFonts w:eastAsia="Calibri"/>
                <w:lang w:val="cs-CZ"/>
              </w:rPr>
              <w:t>rozpouštědl</w:t>
            </w:r>
            <w:r w:rsidR="00C31D6C">
              <w:rPr>
                <w:rFonts w:eastAsia="Calibri"/>
                <w:lang w:val="cs-CZ"/>
              </w:rPr>
              <w:t>em</w:t>
            </w:r>
            <w:r>
              <w:rPr>
                <w:rFonts w:eastAsia="Calibri"/>
                <w:lang w:val="cs-CZ"/>
              </w:rPr>
              <w:t xml:space="preserve"> </w:t>
            </w:r>
            <w:r w:rsidRPr="0028273C">
              <w:rPr>
                <w:rFonts w:eastAsia="Calibri"/>
                <w:lang w:val="cs-CZ"/>
              </w:rPr>
              <w:t>ve svislé poloze, uchopte píst podle obrázku a připojte jej otočením pevně ve směru hodinových ručiček do zátky se závitem </w:t>
            </w:r>
            <w:r w:rsidRPr="0028273C">
              <w:rPr>
                <w:rFonts w:eastAsia="Calibri"/>
                <w:b/>
                <w:lang w:val="cs-CZ"/>
              </w:rPr>
              <w:t>(C)</w:t>
            </w:r>
            <w:r w:rsidRPr="0028273C">
              <w:rPr>
                <w:rFonts w:eastAsia="Calibri"/>
                <w:lang w:val="cs-CZ"/>
              </w:rPr>
              <w:t>.</w:t>
            </w:r>
          </w:p>
          <w:p w14:paraId="676E9643" w14:textId="77777777" w:rsidR="00B621C6" w:rsidRPr="0028273C" w:rsidRDefault="00B621C6" w:rsidP="00EC26E4">
            <w:pPr>
              <w:rPr>
                <w:rFonts w:eastAsia="Calibri"/>
                <w:lang w:val="cs-CZ"/>
              </w:rPr>
            </w:pPr>
          </w:p>
        </w:tc>
        <w:tc>
          <w:tcPr>
            <w:tcW w:w="1631" w:type="dxa"/>
            <w:shd w:val="clear" w:color="auto" w:fill="auto"/>
          </w:tcPr>
          <w:p w14:paraId="18876A33" w14:textId="77777777" w:rsidR="00B621C6" w:rsidRPr="0028273C" w:rsidRDefault="00B621C6" w:rsidP="00EC26E4">
            <w:pPr>
              <w:tabs>
                <w:tab w:val="clear" w:pos="567"/>
              </w:tabs>
              <w:rPr>
                <w:rFonts w:eastAsia="Calibri"/>
                <w:lang w:val="cs-CZ"/>
              </w:rPr>
            </w:pPr>
            <w:r>
              <w:rPr>
                <w:rFonts w:eastAsia="Calibri"/>
                <w:noProof/>
                <w:szCs w:val="22"/>
                <w:lang w:val="cs-CZ" w:eastAsia="de-DE"/>
              </w:rPr>
              <w:drawing>
                <wp:inline distT="0" distB="0" distL="0" distR="0" wp14:anchorId="309330BE" wp14:editId="19C1C244">
                  <wp:extent cx="895350" cy="895350"/>
                  <wp:effectExtent l="0" t="0" r="0" b="0"/>
                  <wp:docPr id="25"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r>
      <w:tr w:rsidR="00B621C6" w:rsidRPr="0028273C" w14:paraId="2ACD9895" w14:textId="77777777" w:rsidTr="00EC26E4">
        <w:tc>
          <w:tcPr>
            <w:tcW w:w="7657" w:type="dxa"/>
            <w:shd w:val="clear" w:color="auto" w:fill="auto"/>
          </w:tcPr>
          <w:p w14:paraId="495CDB4B" w14:textId="77777777" w:rsidR="00B621C6" w:rsidRPr="0028273C" w:rsidRDefault="00B621C6" w:rsidP="00EC26E4">
            <w:pPr>
              <w:tabs>
                <w:tab w:val="clear" w:pos="567"/>
              </w:tabs>
              <w:ind w:left="567" w:hanging="567"/>
              <w:rPr>
                <w:rFonts w:eastAsia="Calibri"/>
                <w:szCs w:val="22"/>
                <w:lang w:val="cs-CZ"/>
              </w:rPr>
            </w:pPr>
            <w:r w:rsidRPr="0028273C">
              <w:rPr>
                <w:rFonts w:eastAsia="Calibri"/>
                <w:szCs w:val="22"/>
                <w:lang w:val="cs-CZ"/>
              </w:rPr>
              <w:t>6.</w:t>
            </w:r>
            <w:r w:rsidRPr="0028273C">
              <w:rPr>
                <w:rFonts w:eastAsia="Calibri"/>
                <w:szCs w:val="22"/>
                <w:lang w:val="cs-CZ"/>
              </w:rPr>
              <w:tab/>
              <w:t>Držte injekční stříkačku za válec, odlomte víčko injekční stříkačky z jejího konce </w:t>
            </w:r>
            <w:r w:rsidRPr="0028273C">
              <w:rPr>
                <w:rFonts w:eastAsia="Calibri"/>
                <w:b/>
                <w:szCs w:val="22"/>
                <w:lang w:val="cs-CZ"/>
              </w:rPr>
              <w:t>(D)</w:t>
            </w:r>
            <w:r w:rsidRPr="0028273C">
              <w:rPr>
                <w:rFonts w:eastAsia="Calibri"/>
                <w:szCs w:val="22"/>
                <w:lang w:val="cs-CZ"/>
              </w:rPr>
              <w:t>. Nedotýkejte se koncem injekční stříkačky ruky nebo jiného povrchu. Položte injekční stříkačku stranou pro další použití.</w:t>
            </w:r>
          </w:p>
          <w:p w14:paraId="0A559C33" w14:textId="77777777" w:rsidR="00B621C6" w:rsidRPr="0028273C" w:rsidRDefault="00B621C6" w:rsidP="00EC26E4">
            <w:pPr>
              <w:rPr>
                <w:rFonts w:eastAsia="Calibri"/>
                <w:lang w:val="cs-CZ"/>
              </w:rPr>
            </w:pPr>
          </w:p>
        </w:tc>
        <w:tc>
          <w:tcPr>
            <w:tcW w:w="1631" w:type="dxa"/>
            <w:shd w:val="clear" w:color="auto" w:fill="auto"/>
          </w:tcPr>
          <w:p w14:paraId="1155FCBD" w14:textId="77777777" w:rsidR="00B621C6" w:rsidRPr="0028273C" w:rsidRDefault="00B621C6" w:rsidP="00EC26E4">
            <w:pPr>
              <w:tabs>
                <w:tab w:val="clear" w:pos="567"/>
              </w:tabs>
              <w:rPr>
                <w:rFonts w:eastAsia="Calibri"/>
                <w:lang w:val="cs-CZ"/>
              </w:rPr>
            </w:pPr>
            <w:r>
              <w:rPr>
                <w:rFonts w:eastAsia="Calibri"/>
                <w:noProof/>
                <w:szCs w:val="22"/>
                <w:lang w:val="cs-CZ" w:eastAsia="de-DE"/>
              </w:rPr>
              <w:drawing>
                <wp:inline distT="0" distB="0" distL="0" distR="0" wp14:anchorId="39466AFE" wp14:editId="5D836644">
                  <wp:extent cx="895350" cy="895350"/>
                  <wp:effectExtent l="0" t="0" r="0" b="0"/>
                  <wp:docPr id="26"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r>
      <w:tr w:rsidR="00B621C6" w:rsidRPr="0028273C" w14:paraId="1FDD0C28" w14:textId="77777777" w:rsidTr="00EC26E4">
        <w:tc>
          <w:tcPr>
            <w:tcW w:w="7657" w:type="dxa"/>
            <w:shd w:val="clear" w:color="auto" w:fill="auto"/>
          </w:tcPr>
          <w:p w14:paraId="2C634F44" w14:textId="77777777" w:rsidR="00B621C6" w:rsidRPr="0028273C" w:rsidRDefault="00B621C6" w:rsidP="00EC26E4">
            <w:pPr>
              <w:rPr>
                <w:rFonts w:eastAsia="Calibri"/>
                <w:lang w:val="cs-CZ"/>
              </w:rPr>
            </w:pPr>
            <w:r w:rsidRPr="0028273C">
              <w:rPr>
                <w:rFonts w:eastAsia="Calibri"/>
                <w:lang w:val="cs-CZ"/>
              </w:rPr>
              <w:t>7.</w:t>
            </w:r>
            <w:r w:rsidRPr="0028273C">
              <w:rPr>
                <w:rFonts w:eastAsia="Calibri"/>
                <w:lang w:val="cs-CZ"/>
              </w:rPr>
              <w:tab/>
              <w:t>Nyní sejměte a vyhoďte obal adaptéru </w:t>
            </w:r>
            <w:r w:rsidRPr="0028273C">
              <w:rPr>
                <w:rFonts w:eastAsia="Calibri"/>
                <w:b/>
                <w:lang w:val="cs-CZ"/>
              </w:rPr>
              <w:t>(E)</w:t>
            </w:r>
            <w:r w:rsidRPr="0028273C">
              <w:rPr>
                <w:rFonts w:eastAsia="Calibri"/>
                <w:lang w:val="cs-CZ"/>
              </w:rPr>
              <w:t>.</w:t>
            </w:r>
          </w:p>
          <w:p w14:paraId="78E4B3F3" w14:textId="77777777" w:rsidR="00B621C6" w:rsidRPr="0028273C" w:rsidRDefault="00B621C6" w:rsidP="00EC26E4">
            <w:pPr>
              <w:rPr>
                <w:rFonts w:eastAsia="Calibri"/>
                <w:lang w:val="cs-CZ"/>
              </w:rPr>
            </w:pPr>
          </w:p>
        </w:tc>
        <w:tc>
          <w:tcPr>
            <w:tcW w:w="1631" w:type="dxa"/>
            <w:shd w:val="clear" w:color="auto" w:fill="auto"/>
          </w:tcPr>
          <w:p w14:paraId="78D85FB8" w14:textId="77777777" w:rsidR="00B621C6" w:rsidRPr="0028273C" w:rsidRDefault="00B621C6" w:rsidP="00EC26E4">
            <w:pPr>
              <w:tabs>
                <w:tab w:val="clear" w:pos="567"/>
              </w:tabs>
              <w:rPr>
                <w:rFonts w:eastAsia="Calibri"/>
                <w:lang w:val="cs-CZ"/>
              </w:rPr>
            </w:pPr>
            <w:r>
              <w:rPr>
                <w:rFonts w:eastAsia="Calibri"/>
                <w:noProof/>
                <w:szCs w:val="22"/>
                <w:lang w:val="cs-CZ" w:eastAsia="de-DE"/>
              </w:rPr>
              <w:drawing>
                <wp:inline distT="0" distB="0" distL="0" distR="0" wp14:anchorId="14F7304C" wp14:editId="6A04952B">
                  <wp:extent cx="895350" cy="914400"/>
                  <wp:effectExtent l="0" t="0" r="0" b="0"/>
                  <wp:docPr id="27"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inline>
              </w:drawing>
            </w:r>
          </w:p>
        </w:tc>
      </w:tr>
      <w:tr w:rsidR="00B621C6" w:rsidRPr="0028273C" w14:paraId="179525BC" w14:textId="77777777" w:rsidTr="00EC26E4">
        <w:tc>
          <w:tcPr>
            <w:tcW w:w="7657" w:type="dxa"/>
            <w:shd w:val="clear" w:color="auto" w:fill="auto"/>
          </w:tcPr>
          <w:p w14:paraId="7E282D2C" w14:textId="77777777" w:rsidR="00B621C6" w:rsidRPr="0028273C" w:rsidRDefault="00B621C6" w:rsidP="00EC26E4">
            <w:pPr>
              <w:tabs>
                <w:tab w:val="clear" w:pos="567"/>
              </w:tabs>
              <w:ind w:left="567" w:hanging="567"/>
              <w:rPr>
                <w:rFonts w:eastAsia="Calibri"/>
                <w:b/>
                <w:szCs w:val="22"/>
                <w:lang w:val="cs-CZ"/>
              </w:rPr>
            </w:pPr>
            <w:r w:rsidRPr="0028273C">
              <w:rPr>
                <w:rFonts w:eastAsia="Calibri"/>
                <w:szCs w:val="22"/>
                <w:lang w:val="cs-CZ"/>
              </w:rPr>
              <w:t>8.</w:t>
            </w:r>
            <w:r w:rsidRPr="0028273C">
              <w:rPr>
                <w:rFonts w:eastAsia="Calibri"/>
                <w:szCs w:val="22"/>
                <w:lang w:val="cs-CZ"/>
              </w:rPr>
              <w:tab/>
              <w:t xml:space="preserve">Připojte </w:t>
            </w:r>
            <w:proofErr w:type="spellStart"/>
            <w:r w:rsidRPr="0028273C">
              <w:rPr>
                <w:rFonts w:eastAsia="Calibri"/>
                <w:szCs w:val="22"/>
                <w:lang w:val="cs-CZ"/>
              </w:rPr>
              <w:t>předplněnou</w:t>
            </w:r>
            <w:proofErr w:type="spellEnd"/>
            <w:r w:rsidRPr="0028273C">
              <w:rPr>
                <w:rFonts w:eastAsia="Calibri"/>
                <w:szCs w:val="22"/>
                <w:lang w:val="cs-CZ"/>
              </w:rPr>
              <w:t xml:space="preserve"> injekční stříkačku na adaptér injekční lahvičky se závitem otočením ve směru hodinových ručiček </w:t>
            </w:r>
            <w:r w:rsidRPr="0028273C">
              <w:rPr>
                <w:rFonts w:eastAsia="Calibri"/>
                <w:b/>
                <w:szCs w:val="22"/>
                <w:lang w:val="cs-CZ"/>
              </w:rPr>
              <w:t>(F).</w:t>
            </w:r>
          </w:p>
          <w:p w14:paraId="6659FE99" w14:textId="77777777" w:rsidR="00B621C6" w:rsidRPr="0028273C" w:rsidRDefault="00B621C6" w:rsidP="00EC26E4">
            <w:pPr>
              <w:ind w:left="567" w:hanging="567"/>
              <w:rPr>
                <w:rFonts w:eastAsia="Calibri"/>
                <w:lang w:val="cs-CZ"/>
              </w:rPr>
            </w:pPr>
          </w:p>
        </w:tc>
        <w:tc>
          <w:tcPr>
            <w:tcW w:w="1631" w:type="dxa"/>
            <w:shd w:val="clear" w:color="auto" w:fill="auto"/>
          </w:tcPr>
          <w:p w14:paraId="2589191D" w14:textId="77777777" w:rsidR="00B621C6" w:rsidRPr="0028273C" w:rsidRDefault="00B621C6" w:rsidP="00EC26E4">
            <w:pPr>
              <w:tabs>
                <w:tab w:val="clear" w:pos="567"/>
              </w:tabs>
              <w:rPr>
                <w:rFonts w:eastAsia="Calibri"/>
                <w:lang w:val="cs-CZ"/>
              </w:rPr>
            </w:pPr>
            <w:r>
              <w:rPr>
                <w:rFonts w:eastAsia="Calibri"/>
                <w:noProof/>
                <w:szCs w:val="22"/>
                <w:lang w:val="cs-CZ" w:eastAsia="de-DE"/>
              </w:rPr>
              <w:drawing>
                <wp:inline distT="0" distB="0" distL="0" distR="0" wp14:anchorId="4CDB905A" wp14:editId="1E3D9E98">
                  <wp:extent cx="895350" cy="914400"/>
                  <wp:effectExtent l="0" t="0" r="0" b="0"/>
                  <wp:docPr id="28"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inline>
              </w:drawing>
            </w:r>
          </w:p>
        </w:tc>
      </w:tr>
      <w:tr w:rsidR="00B621C6" w:rsidRPr="0028273C" w14:paraId="6CD17764" w14:textId="77777777" w:rsidTr="00EC26E4">
        <w:tc>
          <w:tcPr>
            <w:tcW w:w="7657" w:type="dxa"/>
            <w:shd w:val="clear" w:color="auto" w:fill="auto"/>
          </w:tcPr>
          <w:p w14:paraId="4FD5599D" w14:textId="77777777" w:rsidR="00B621C6" w:rsidRPr="0028273C" w:rsidRDefault="00B621C6" w:rsidP="00EC26E4">
            <w:pPr>
              <w:tabs>
                <w:tab w:val="clear" w:pos="567"/>
              </w:tabs>
              <w:ind w:left="567" w:hanging="567"/>
              <w:rPr>
                <w:rFonts w:eastAsia="Calibri"/>
                <w:szCs w:val="22"/>
                <w:lang w:val="cs-CZ"/>
              </w:rPr>
            </w:pPr>
            <w:r w:rsidRPr="0028273C">
              <w:rPr>
                <w:rFonts w:eastAsia="Calibri"/>
                <w:lang w:val="cs-CZ"/>
              </w:rPr>
              <w:lastRenderedPageBreak/>
              <w:t>9.</w:t>
            </w:r>
            <w:r w:rsidRPr="0028273C">
              <w:rPr>
                <w:rFonts w:eastAsia="Calibri"/>
                <w:lang w:val="cs-CZ"/>
              </w:rPr>
              <w:tab/>
            </w:r>
            <w:r w:rsidRPr="0028273C">
              <w:rPr>
                <w:snapToGrid w:val="0"/>
                <w:lang w:val="cs-CZ"/>
              </w:rPr>
              <w:t>Vstříkněte rozpouštědlo tak, že tlačíte pomalu píst injekční stříkačky směrem dolů (</w:t>
            </w:r>
            <w:r w:rsidRPr="0028273C">
              <w:rPr>
                <w:b/>
                <w:snapToGrid w:val="0"/>
                <w:lang w:val="cs-CZ"/>
              </w:rPr>
              <w:t>G</w:t>
            </w:r>
            <w:r w:rsidRPr="0028273C">
              <w:rPr>
                <w:snapToGrid w:val="0"/>
                <w:lang w:val="cs-CZ"/>
              </w:rPr>
              <w:t>).</w:t>
            </w:r>
          </w:p>
          <w:p w14:paraId="46DBBE57" w14:textId="77777777" w:rsidR="00B621C6" w:rsidRPr="0028273C" w:rsidRDefault="00B621C6" w:rsidP="00EC26E4">
            <w:pPr>
              <w:rPr>
                <w:rFonts w:eastAsia="Calibri"/>
                <w:lang w:val="cs-CZ"/>
              </w:rPr>
            </w:pPr>
          </w:p>
        </w:tc>
        <w:tc>
          <w:tcPr>
            <w:tcW w:w="1631" w:type="dxa"/>
            <w:shd w:val="clear" w:color="auto" w:fill="auto"/>
          </w:tcPr>
          <w:p w14:paraId="7721F56E" w14:textId="77777777" w:rsidR="00B621C6" w:rsidRPr="0028273C" w:rsidRDefault="00B621C6" w:rsidP="00EC26E4">
            <w:pPr>
              <w:tabs>
                <w:tab w:val="clear" w:pos="567"/>
              </w:tabs>
              <w:rPr>
                <w:rFonts w:eastAsia="Calibri"/>
                <w:lang w:val="cs-CZ"/>
              </w:rPr>
            </w:pPr>
            <w:r>
              <w:rPr>
                <w:rFonts w:eastAsia="Calibri"/>
                <w:noProof/>
                <w:szCs w:val="22"/>
                <w:lang w:val="cs-CZ" w:eastAsia="de-DE"/>
              </w:rPr>
              <w:drawing>
                <wp:inline distT="0" distB="0" distL="0" distR="0" wp14:anchorId="3CF9F527" wp14:editId="5C3E9B07">
                  <wp:extent cx="895350" cy="895350"/>
                  <wp:effectExtent l="0" t="0" r="0" b="0"/>
                  <wp:docPr id="29"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r>
      <w:tr w:rsidR="00B621C6" w:rsidRPr="0028273C" w14:paraId="6175A705" w14:textId="77777777" w:rsidTr="00EC26E4">
        <w:tc>
          <w:tcPr>
            <w:tcW w:w="7657" w:type="dxa"/>
            <w:shd w:val="clear" w:color="auto" w:fill="auto"/>
          </w:tcPr>
          <w:p w14:paraId="3ADE300A" w14:textId="2442AFB0" w:rsidR="00B621C6" w:rsidRPr="0028273C" w:rsidRDefault="00B621C6" w:rsidP="00EC26E4">
            <w:pPr>
              <w:tabs>
                <w:tab w:val="clear" w:pos="567"/>
              </w:tabs>
              <w:ind w:left="567" w:hanging="567"/>
              <w:rPr>
                <w:rFonts w:eastAsia="Calibri"/>
                <w:lang w:val="cs-CZ"/>
              </w:rPr>
            </w:pPr>
            <w:r w:rsidRPr="0028273C">
              <w:rPr>
                <w:rFonts w:eastAsia="Calibri"/>
                <w:lang w:val="cs-CZ"/>
              </w:rPr>
              <w:t>10.</w:t>
            </w:r>
            <w:r w:rsidRPr="0028273C">
              <w:rPr>
                <w:rFonts w:eastAsia="Calibri"/>
                <w:lang w:val="cs-CZ"/>
              </w:rPr>
              <w:tab/>
            </w:r>
            <w:r w:rsidRPr="0028273C">
              <w:rPr>
                <w:lang w:val="cs-CZ"/>
              </w:rPr>
              <w:t xml:space="preserve">Mírným kroužením injekční lahvičkou rozpusťte veškerý </w:t>
            </w:r>
            <w:r w:rsidR="00C31D6C">
              <w:rPr>
                <w:lang w:val="cs-CZ"/>
              </w:rPr>
              <w:t>prášek</w:t>
            </w:r>
            <w:r w:rsidRPr="0028273C">
              <w:rPr>
                <w:lang w:val="cs-CZ"/>
              </w:rPr>
              <w:t> (</w:t>
            </w:r>
            <w:r w:rsidRPr="0028273C">
              <w:rPr>
                <w:b/>
                <w:lang w:val="cs-CZ"/>
              </w:rPr>
              <w:t>H</w:t>
            </w:r>
            <w:r w:rsidRPr="0028273C">
              <w:rPr>
                <w:lang w:val="cs-CZ"/>
              </w:rPr>
              <w:t>). Injekční lahvičkou netřepejte! Ujistěte se před použitím, že se veškerý prášek rozpustil. Před použitím roztoku pohledem zkontrolujte, zda nejsou přítomny částice nebo zda přípravek nezměnil barvu</w:t>
            </w:r>
            <w:r w:rsidRPr="0028273C">
              <w:rPr>
                <w:snapToGrid w:val="0"/>
                <w:lang w:val="cs-CZ"/>
              </w:rPr>
              <w:t xml:space="preserve">. </w:t>
            </w:r>
            <w:r w:rsidRPr="0028273C">
              <w:rPr>
                <w:lang w:val="cs-CZ"/>
              </w:rPr>
              <w:t>Nepoužívejte roztoky, které obsahují viditelné částice nebo jsou zakalené</w:t>
            </w:r>
            <w:r w:rsidRPr="0028273C">
              <w:rPr>
                <w:snapToGrid w:val="0"/>
                <w:lang w:val="cs-CZ"/>
              </w:rPr>
              <w:t>.</w:t>
            </w:r>
          </w:p>
          <w:p w14:paraId="78E5BB15" w14:textId="77777777" w:rsidR="00B621C6" w:rsidRPr="0028273C" w:rsidRDefault="00B621C6" w:rsidP="00EC26E4">
            <w:pPr>
              <w:rPr>
                <w:rFonts w:eastAsia="Calibri"/>
                <w:lang w:val="cs-CZ"/>
              </w:rPr>
            </w:pPr>
          </w:p>
        </w:tc>
        <w:tc>
          <w:tcPr>
            <w:tcW w:w="1631" w:type="dxa"/>
            <w:shd w:val="clear" w:color="auto" w:fill="auto"/>
          </w:tcPr>
          <w:p w14:paraId="20471176" w14:textId="77777777" w:rsidR="00B621C6" w:rsidRPr="0028273C" w:rsidRDefault="00B621C6" w:rsidP="00EC26E4">
            <w:pPr>
              <w:tabs>
                <w:tab w:val="clear" w:pos="567"/>
              </w:tabs>
              <w:rPr>
                <w:rFonts w:eastAsia="Calibri"/>
                <w:lang w:val="cs-CZ"/>
              </w:rPr>
            </w:pPr>
            <w:r>
              <w:rPr>
                <w:rFonts w:eastAsia="Calibri"/>
                <w:noProof/>
                <w:szCs w:val="22"/>
                <w:lang w:val="cs-CZ" w:eastAsia="de-DE"/>
              </w:rPr>
              <w:drawing>
                <wp:inline distT="0" distB="0" distL="0" distR="0" wp14:anchorId="68CE4EC8" wp14:editId="4DB1366E">
                  <wp:extent cx="895350" cy="895350"/>
                  <wp:effectExtent l="0" t="0" r="0" b="0"/>
                  <wp:docPr id="30"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r>
      <w:tr w:rsidR="00B621C6" w:rsidRPr="0028273C" w14:paraId="03877618" w14:textId="77777777" w:rsidTr="00EC26E4">
        <w:tc>
          <w:tcPr>
            <w:tcW w:w="7657" w:type="dxa"/>
            <w:shd w:val="clear" w:color="auto" w:fill="auto"/>
          </w:tcPr>
          <w:p w14:paraId="79954BC5" w14:textId="77777777" w:rsidR="00B621C6" w:rsidRPr="0028273C" w:rsidRDefault="00B621C6" w:rsidP="00EC26E4">
            <w:pPr>
              <w:tabs>
                <w:tab w:val="clear" w:pos="567"/>
              </w:tabs>
              <w:ind w:left="567" w:hanging="567"/>
              <w:rPr>
                <w:rFonts w:eastAsia="Calibri"/>
                <w:bCs/>
                <w:iCs/>
                <w:szCs w:val="22"/>
                <w:lang w:val="cs-CZ"/>
              </w:rPr>
            </w:pPr>
            <w:r w:rsidRPr="0028273C">
              <w:rPr>
                <w:rFonts w:eastAsia="Calibri"/>
                <w:szCs w:val="22"/>
                <w:lang w:val="cs-CZ"/>
              </w:rPr>
              <w:t>11.</w:t>
            </w:r>
            <w:r w:rsidRPr="0028273C">
              <w:rPr>
                <w:rFonts w:eastAsia="Calibri"/>
                <w:szCs w:val="22"/>
                <w:lang w:val="cs-CZ"/>
              </w:rPr>
              <w:tab/>
            </w:r>
            <w:r w:rsidRPr="0028273C">
              <w:rPr>
                <w:snapToGrid w:val="0"/>
                <w:szCs w:val="22"/>
                <w:lang w:val="cs-CZ"/>
              </w:rPr>
              <w:t xml:space="preserve">Držte </w:t>
            </w:r>
            <w:r w:rsidRPr="0028273C">
              <w:rPr>
                <w:szCs w:val="22"/>
                <w:lang w:val="cs-CZ"/>
              </w:rPr>
              <w:t xml:space="preserve">injekční </w:t>
            </w:r>
            <w:r w:rsidRPr="0028273C">
              <w:rPr>
                <w:snapToGrid w:val="0"/>
                <w:szCs w:val="22"/>
                <w:lang w:val="cs-CZ"/>
              </w:rPr>
              <w:t xml:space="preserve">lahvičku na jednom konci nad adaptérem injekční lahvičky a </w:t>
            </w:r>
            <w:r w:rsidRPr="0028273C">
              <w:rPr>
                <w:szCs w:val="22"/>
                <w:lang w:val="cs-CZ"/>
              </w:rPr>
              <w:t xml:space="preserve">injekční </w:t>
            </w:r>
            <w:r w:rsidRPr="0028273C">
              <w:rPr>
                <w:snapToGrid w:val="0"/>
                <w:szCs w:val="22"/>
                <w:lang w:val="cs-CZ"/>
              </w:rPr>
              <w:t>stříkačkou </w:t>
            </w:r>
            <w:r w:rsidRPr="0028273C">
              <w:rPr>
                <w:b/>
                <w:snapToGrid w:val="0"/>
                <w:szCs w:val="22"/>
                <w:lang w:val="cs-CZ"/>
              </w:rPr>
              <w:t>(I)</w:t>
            </w:r>
            <w:r w:rsidRPr="0028273C">
              <w:rPr>
                <w:bCs/>
                <w:snapToGrid w:val="0"/>
                <w:szCs w:val="22"/>
                <w:lang w:val="cs-CZ"/>
              </w:rPr>
              <w:t xml:space="preserve">. </w:t>
            </w:r>
            <w:r w:rsidRPr="0028273C">
              <w:rPr>
                <w:snapToGrid w:val="0"/>
                <w:szCs w:val="22"/>
                <w:lang w:val="cs-CZ"/>
              </w:rPr>
              <w:t xml:space="preserve">Naplňte injekční stříkačku tak, že pomalu a plynule vytahujete píst z injekční stříkačky. Ujistěte se, že celý obsah injekční lahvičky je natažen do injekční stříkačky. </w:t>
            </w:r>
            <w:r w:rsidRPr="0028273C">
              <w:rPr>
                <w:bCs/>
                <w:iCs/>
                <w:szCs w:val="22"/>
                <w:lang w:val="cs-CZ"/>
              </w:rPr>
              <w:t>Držte stříkačku svisle a zatlačte na píst tak, aby ve stříkačce nezbyl žádný vzduch.</w:t>
            </w:r>
          </w:p>
          <w:p w14:paraId="6F88C66A" w14:textId="77777777" w:rsidR="00B621C6" w:rsidRPr="0028273C" w:rsidRDefault="00B621C6" w:rsidP="00EC26E4">
            <w:pPr>
              <w:rPr>
                <w:rFonts w:eastAsia="Calibri"/>
                <w:lang w:val="cs-CZ"/>
              </w:rPr>
            </w:pPr>
          </w:p>
        </w:tc>
        <w:tc>
          <w:tcPr>
            <w:tcW w:w="1631" w:type="dxa"/>
            <w:shd w:val="clear" w:color="auto" w:fill="auto"/>
          </w:tcPr>
          <w:p w14:paraId="6D30C877" w14:textId="77777777" w:rsidR="00B621C6" w:rsidRPr="0028273C" w:rsidRDefault="00B621C6" w:rsidP="00EC26E4">
            <w:pPr>
              <w:tabs>
                <w:tab w:val="clear" w:pos="567"/>
              </w:tabs>
              <w:rPr>
                <w:rFonts w:eastAsia="Calibri"/>
                <w:lang w:val="cs-CZ"/>
              </w:rPr>
            </w:pPr>
            <w:r>
              <w:rPr>
                <w:rFonts w:eastAsia="Calibri"/>
                <w:noProof/>
                <w:szCs w:val="22"/>
                <w:lang w:val="cs-CZ" w:eastAsia="de-DE"/>
              </w:rPr>
              <w:drawing>
                <wp:inline distT="0" distB="0" distL="0" distR="0" wp14:anchorId="228209C2" wp14:editId="71BD0B40">
                  <wp:extent cx="895350" cy="895350"/>
                  <wp:effectExtent l="0" t="0" r="0" b="0"/>
                  <wp:docPr id="31"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r>
      <w:tr w:rsidR="00B621C6" w:rsidRPr="0028273C" w14:paraId="035E1CCB" w14:textId="77777777" w:rsidTr="00EC26E4">
        <w:tc>
          <w:tcPr>
            <w:tcW w:w="9288" w:type="dxa"/>
            <w:gridSpan w:val="2"/>
            <w:shd w:val="clear" w:color="auto" w:fill="auto"/>
          </w:tcPr>
          <w:p w14:paraId="7ECA29BE" w14:textId="77777777" w:rsidR="00B621C6" w:rsidRPr="0028273C" w:rsidRDefault="00B621C6" w:rsidP="00EC26E4">
            <w:pPr>
              <w:ind w:left="567" w:hanging="567"/>
              <w:rPr>
                <w:rFonts w:eastAsia="Calibri"/>
                <w:lang w:val="cs-CZ"/>
              </w:rPr>
            </w:pPr>
            <w:r w:rsidRPr="0028273C">
              <w:rPr>
                <w:rFonts w:eastAsia="Calibri"/>
                <w:lang w:val="cs-CZ"/>
              </w:rPr>
              <w:t>12.</w:t>
            </w:r>
            <w:r w:rsidRPr="0028273C">
              <w:rPr>
                <w:rFonts w:eastAsia="Calibri"/>
                <w:lang w:val="cs-CZ"/>
              </w:rPr>
              <w:tab/>
              <w:t xml:space="preserve">Přiložte </w:t>
            </w:r>
            <w:r>
              <w:rPr>
                <w:rFonts w:eastAsia="Calibri"/>
                <w:lang w:val="cs-CZ"/>
              </w:rPr>
              <w:t>škrtidlo</w:t>
            </w:r>
            <w:r w:rsidRPr="0028273C">
              <w:rPr>
                <w:rFonts w:eastAsia="Calibri"/>
                <w:lang w:val="cs-CZ"/>
              </w:rPr>
              <w:t xml:space="preserve"> na paži.</w:t>
            </w:r>
          </w:p>
          <w:p w14:paraId="2CB0529D" w14:textId="77777777" w:rsidR="00B621C6" w:rsidRPr="0028273C" w:rsidRDefault="00B621C6" w:rsidP="00EC26E4">
            <w:pPr>
              <w:rPr>
                <w:rFonts w:eastAsia="Calibri"/>
                <w:lang w:val="cs-CZ"/>
              </w:rPr>
            </w:pPr>
          </w:p>
        </w:tc>
      </w:tr>
      <w:tr w:rsidR="00B621C6" w:rsidRPr="0028273C" w14:paraId="63182BDA" w14:textId="77777777" w:rsidTr="00EC26E4">
        <w:tc>
          <w:tcPr>
            <w:tcW w:w="9288" w:type="dxa"/>
            <w:gridSpan w:val="2"/>
            <w:shd w:val="clear" w:color="auto" w:fill="auto"/>
          </w:tcPr>
          <w:p w14:paraId="4C833D5C" w14:textId="77777777" w:rsidR="00B621C6" w:rsidRPr="0028273C" w:rsidRDefault="00B621C6" w:rsidP="00EC26E4">
            <w:pPr>
              <w:tabs>
                <w:tab w:val="clear" w:pos="567"/>
              </w:tabs>
              <w:ind w:left="567" w:hanging="567"/>
              <w:rPr>
                <w:rFonts w:eastAsia="Calibri"/>
                <w:szCs w:val="22"/>
                <w:lang w:val="cs-CZ"/>
              </w:rPr>
            </w:pPr>
            <w:r w:rsidRPr="0028273C">
              <w:rPr>
                <w:rFonts w:eastAsia="Calibri"/>
                <w:szCs w:val="22"/>
                <w:lang w:val="cs-CZ"/>
              </w:rPr>
              <w:t>13.</w:t>
            </w:r>
            <w:r w:rsidRPr="0028273C">
              <w:rPr>
                <w:rFonts w:eastAsia="Calibri"/>
                <w:szCs w:val="22"/>
                <w:lang w:val="cs-CZ"/>
              </w:rPr>
              <w:tab/>
            </w:r>
            <w:r w:rsidRPr="0028273C">
              <w:rPr>
                <w:szCs w:val="22"/>
                <w:lang w:val="cs-CZ"/>
              </w:rPr>
              <w:t>Určete místo vpichu a očistěte kůži.</w:t>
            </w:r>
          </w:p>
          <w:p w14:paraId="61D5D34D" w14:textId="77777777" w:rsidR="00B621C6" w:rsidRPr="0028273C" w:rsidRDefault="00B621C6" w:rsidP="00EC26E4">
            <w:pPr>
              <w:rPr>
                <w:rFonts w:eastAsia="Calibri"/>
                <w:lang w:val="cs-CZ"/>
              </w:rPr>
            </w:pPr>
          </w:p>
        </w:tc>
      </w:tr>
      <w:tr w:rsidR="00B621C6" w:rsidRPr="0028273C" w14:paraId="65FE1B15" w14:textId="77777777" w:rsidTr="00EC26E4">
        <w:tc>
          <w:tcPr>
            <w:tcW w:w="9288" w:type="dxa"/>
            <w:gridSpan w:val="2"/>
            <w:shd w:val="clear" w:color="auto" w:fill="auto"/>
          </w:tcPr>
          <w:p w14:paraId="31574634" w14:textId="77777777" w:rsidR="00B621C6" w:rsidRPr="0028273C" w:rsidRDefault="00B621C6" w:rsidP="00EC26E4">
            <w:pPr>
              <w:tabs>
                <w:tab w:val="clear" w:pos="567"/>
              </w:tabs>
              <w:ind w:left="567" w:hanging="567"/>
              <w:rPr>
                <w:rFonts w:eastAsia="Calibri"/>
                <w:szCs w:val="22"/>
                <w:lang w:val="cs-CZ"/>
              </w:rPr>
            </w:pPr>
            <w:r w:rsidRPr="0028273C">
              <w:rPr>
                <w:rFonts w:eastAsia="Calibri"/>
                <w:szCs w:val="22"/>
                <w:lang w:val="cs-CZ"/>
              </w:rPr>
              <w:t>14.</w:t>
            </w:r>
            <w:r w:rsidRPr="0028273C">
              <w:rPr>
                <w:rFonts w:eastAsia="Calibri"/>
                <w:szCs w:val="22"/>
                <w:lang w:val="cs-CZ"/>
              </w:rPr>
              <w:tab/>
            </w:r>
            <w:r w:rsidRPr="0028273C">
              <w:rPr>
                <w:szCs w:val="22"/>
                <w:lang w:val="cs-CZ"/>
              </w:rPr>
              <w:t>Napíchněte žílu a zajistěte venepunkční sadu náplastí.</w:t>
            </w:r>
          </w:p>
          <w:p w14:paraId="7C2D03F7" w14:textId="77777777" w:rsidR="00B621C6" w:rsidRPr="0028273C" w:rsidRDefault="00B621C6" w:rsidP="00EC26E4">
            <w:pPr>
              <w:rPr>
                <w:rFonts w:eastAsia="Calibri"/>
                <w:lang w:val="cs-CZ"/>
              </w:rPr>
            </w:pPr>
          </w:p>
        </w:tc>
      </w:tr>
      <w:tr w:rsidR="00B621C6" w:rsidRPr="0028273C" w14:paraId="6F8C73C2" w14:textId="77777777" w:rsidTr="00EC26E4">
        <w:tc>
          <w:tcPr>
            <w:tcW w:w="7657" w:type="dxa"/>
            <w:shd w:val="clear" w:color="auto" w:fill="auto"/>
          </w:tcPr>
          <w:p w14:paraId="6061D450" w14:textId="52D73F99" w:rsidR="00B621C6" w:rsidRPr="0028273C" w:rsidRDefault="00B621C6" w:rsidP="00EC26E4">
            <w:pPr>
              <w:tabs>
                <w:tab w:val="clear" w:pos="567"/>
              </w:tabs>
              <w:ind w:left="567" w:hanging="567"/>
              <w:rPr>
                <w:rFonts w:eastAsia="Calibri"/>
                <w:szCs w:val="22"/>
                <w:lang w:val="cs-CZ"/>
              </w:rPr>
            </w:pPr>
            <w:r w:rsidRPr="0028273C">
              <w:rPr>
                <w:rFonts w:eastAsia="Calibri"/>
                <w:lang w:val="cs-CZ"/>
              </w:rPr>
              <w:t>15.</w:t>
            </w:r>
            <w:r w:rsidRPr="0028273C">
              <w:rPr>
                <w:rFonts w:eastAsia="Calibri"/>
                <w:lang w:val="cs-CZ"/>
              </w:rPr>
              <w:tab/>
            </w:r>
            <w:r w:rsidRPr="0028273C">
              <w:rPr>
                <w:snapToGrid w:val="0"/>
                <w:szCs w:val="22"/>
                <w:lang w:val="cs-CZ"/>
              </w:rPr>
              <w:t xml:space="preserve">Přidržujte adaptér injekční lahvičky na místě, sejměte injekční stříkačku z adaptéru injekční lahvičky (adaptér </w:t>
            </w:r>
            <w:r w:rsidR="0055354D">
              <w:rPr>
                <w:snapToGrid w:val="0"/>
                <w:szCs w:val="22"/>
                <w:lang w:val="cs-CZ"/>
              </w:rPr>
              <w:t xml:space="preserve">má </w:t>
            </w:r>
            <w:r w:rsidRPr="0028273C">
              <w:rPr>
                <w:snapToGrid w:val="0"/>
                <w:szCs w:val="22"/>
                <w:lang w:val="cs-CZ"/>
              </w:rPr>
              <w:t xml:space="preserve">zůstat připojený na injekční lahvičku). Připevněte </w:t>
            </w:r>
            <w:r w:rsidRPr="0028273C">
              <w:rPr>
                <w:szCs w:val="22"/>
                <w:lang w:val="cs-CZ"/>
              </w:rPr>
              <w:t xml:space="preserve">injekční </w:t>
            </w:r>
            <w:r w:rsidRPr="0028273C">
              <w:rPr>
                <w:snapToGrid w:val="0"/>
                <w:szCs w:val="22"/>
                <w:lang w:val="cs-CZ"/>
              </w:rPr>
              <w:t xml:space="preserve">stříkačku k venepunkční sadě </w:t>
            </w:r>
            <w:r w:rsidRPr="0028273C">
              <w:rPr>
                <w:b/>
                <w:snapToGrid w:val="0"/>
                <w:szCs w:val="22"/>
                <w:lang w:val="cs-CZ"/>
              </w:rPr>
              <w:t xml:space="preserve">(J). </w:t>
            </w:r>
            <w:r w:rsidRPr="0028273C">
              <w:rPr>
                <w:szCs w:val="22"/>
                <w:lang w:val="cs-CZ"/>
              </w:rPr>
              <w:t>Ujistěte se, že se do injekční</w:t>
            </w:r>
            <w:r w:rsidRPr="0028273C">
              <w:rPr>
                <w:snapToGrid w:val="0"/>
                <w:szCs w:val="22"/>
                <w:lang w:val="cs-CZ"/>
              </w:rPr>
              <w:t xml:space="preserve"> stříkačky </w:t>
            </w:r>
            <w:r w:rsidRPr="0028273C">
              <w:rPr>
                <w:szCs w:val="22"/>
                <w:lang w:val="cs-CZ"/>
              </w:rPr>
              <w:t>nedostává</w:t>
            </w:r>
            <w:r w:rsidRPr="0028273C">
              <w:rPr>
                <w:snapToGrid w:val="0"/>
                <w:szCs w:val="22"/>
                <w:lang w:val="cs-CZ"/>
              </w:rPr>
              <w:t xml:space="preserve"> krev.</w:t>
            </w:r>
          </w:p>
          <w:p w14:paraId="241AD92E" w14:textId="77777777" w:rsidR="00B621C6" w:rsidRPr="0028273C" w:rsidRDefault="00B621C6" w:rsidP="00EC26E4">
            <w:pPr>
              <w:rPr>
                <w:rFonts w:eastAsia="Calibri"/>
                <w:lang w:val="cs-CZ"/>
              </w:rPr>
            </w:pPr>
          </w:p>
        </w:tc>
        <w:tc>
          <w:tcPr>
            <w:tcW w:w="1631" w:type="dxa"/>
            <w:shd w:val="clear" w:color="auto" w:fill="auto"/>
          </w:tcPr>
          <w:p w14:paraId="350A8491" w14:textId="77777777" w:rsidR="00B621C6" w:rsidRPr="0028273C" w:rsidRDefault="00B621C6" w:rsidP="00EC26E4">
            <w:pPr>
              <w:tabs>
                <w:tab w:val="clear" w:pos="567"/>
              </w:tabs>
              <w:rPr>
                <w:rFonts w:eastAsia="Calibri"/>
                <w:lang w:val="cs-CZ"/>
              </w:rPr>
            </w:pPr>
            <w:r>
              <w:rPr>
                <w:rFonts w:eastAsia="Calibri"/>
                <w:noProof/>
                <w:szCs w:val="22"/>
                <w:lang w:val="cs-CZ" w:eastAsia="de-DE"/>
              </w:rPr>
              <w:drawing>
                <wp:inline distT="0" distB="0" distL="0" distR="0" wp14:anchorId="7C6583CB" wp14:editId="5D7DF22A">
                  <wp:extent cx="895350" cy="914400"/>
                  <wp:effectExtent l="0" t="0" r="0" b="0"/>
                  <wp:docPr id="3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inline>
              </w:drawing>
            </w:r>
          </w:p>
        </w:tc>
      </w:tr>
      <w:tr w:rsidR="00B621C6" w:rsidRPr="0028273C" w14:paraId="71CF1DF4" w14:textId="77777777" w:rsidTr="00EC26E4">
        <w:tc>
          <w:tcPr>
            <w:tcW w:w="9288" w:type="dxa"/>
            <w:gridSpan w:val="2"/>
            <w:shd w:val="clear" w:color="auto" w:fill="auto"/>
          </w:tcPr>
          <w:p w14:paraId="7A41C572" w14:textId="77777777" w:rsidR="00B621C6" w:rsidRPr="0028273C" w:rsidRDefault="00B621C6" w:rsidP="00EC26E4">
            <w:pPr>
              <w:tabs>
                <w:tab w:val="clear" w:pos="567"/>
              </w:tabs>
              <w:ind w:left="567" w:hanging="567"/>
              <w:rPr>
                <w:rFonts w:eastAsia="Calibri"/>
                <w:szCs w:val="22"/>
                <w:lang w:val="cs-CZ"/>
              </w:rPr>
            </w:pPr>
            <w:r w:rsidRPr="0028273C">
              <w:rPr>
                <w:rFonts w:eastAsia="Calibri"/>
                <w:szCs w:val="22"/>
                <w:lang w:val="cs-CZ"/>
              </w:rPr>
              <w:t>16.</w:t>
            </w:r>
            <w:r w:rsidRPr="0028273C">
              <w:rPr>
                <w:rFonts w:eastAsia="Calibri"/>
                <w:szCs w:val="22"/>
                <w:lang w:val="cs-CZ"/>
              </w:rPr>
              <w:tab/>
            </w:r>
            <w:r w:rsidRPr="0028273C">
              <w:rPr>
                <w:snapToGrid w:val="0"/>
                <w:szCs w:val="22"/>
                <w:lang w:val="cs-CZ"/>
              </w:rPr>
              <w:t xml:space="preserve">Sejměte </w:t>
            </w:r>
            <w:r>
              <w:rPr>
                <w:snapToGrid w:val="0"/>
                <w:szCs w:val="22"/>
                <w:lang w:val="cs-CZ"/>
              </w:rPr>
              <w:t>škrtidlo</w:t>
            </w:r>
            <w:r w:rsidRPr="0028273C">
              <w:rPr>
                <w:snapToGrid w:val="0"/>
                <w:szCs w:val="22"/>
                <w:lang w:val="cs-CZ"/>
              </w:rPr>
              <w:t>.</w:t>
            </w:r>
          </w:p>
          <w:p w14:paraId="48409CE0" w14:textId="77777777" w:rsidR="00B621C6" w:rsidRPr="0028273C" w:rsidRDefault="00B621C6" w:rsidP="00EC26E4">
            <w:pPr>
              <w:rPr>
                <w:rFonts w:eastAsia="Calibri"/>
                <w:lang w:val="cs-CZ"/>
              </w:rPr>
            </w:pPr>
          </w:p>
        </w:tc>
      </w:tr>
      <w:tr w:rsidR="00B621C6" w:rsidRPr="00052138" w14:paraId="3884D9ED" w14:textId="77777777" w:rsidTr="00EC26E4">
        <w:tc>
          <w:tcPr>
            <w:tcW w:w="9288" w:type="dxa"/>
            <w:gridSpan w:val="2"/>
            <w:shd w:val="clear" w:color="auto" w:fill="auto"/>
          </w:tcPr>
          <w:p w14:paraId="31BD1F04" w14:textId="77777777" w:rsidR="00B621C6" w:rsidRPr="0028273C" w:rsidRDefault="00B621C6" w:rsidP="00EC26E4">
            <w:pPr>
              <w:tabs>
                <w:tab w:val="clear" w:pos="567"/>
              </w:tabs>
              <w:ind w:left="567" w:hanging="567"/>
              <w:rPr>
                <w:rFonts w:eastAsia="Calibri"/>
                <w:szCs w:val="22"/>
                <w:lang w:val="cs-CZ"/>
              </w:rPr>
            </w:pPr>
            <w:r w:rsidRPr="0028273C">
              <w:rPr>
                <w:rFonts w:eastAsia="Calibri"/>
                <w:szCs w:val="22"/>
                <w:lang w:val="cs-CZ"/>
              </w:rPr>
              <w:t>17.</w:t>
            </w:r>
            <w:r w:rsidRPr="0028273C">
              <w:rPr>
                <w:rFonts w:eastAsia="Calibri"/>
                <w:szCs w:val="22"/>
                <w:lang w:val="cs-CZ"/>
              </w:rPr>
              <w:tab/>
            </w:r>
            <w:r w:rsidRPr="0028273C">
              <w:rPr>
                <w:szCs w:val="22"/>
                <w:lang w:val="cs-CZ"/>
              </w:rPr>
              <w:t>Roztok podávejte injekcí do žíly po dobu 2 až 5 minut, přičemž kontrolujte polohu jehly. Rychlost podání má vycházet z toho, jak je Vám to pohodlné, ale nemá být rychlejší než 2,5 ml za minutu.</w:t>
            </w:r>
          </w:p>
          <w:p w14:paraId="3F5B9C38" w14:textId="77777777" w:rsidR="00B621C6" w:rsidRPr="0028273C" w:rsidRDefault="00B621C6" w:rsidP="00EC26E4">
            <w:pPr>
              <w:rPr>
                <w:rFonts w:eastAsia="Calibri"/>
                <w:lang w:val="cs-CZ"/>
              </w:rPr>
            </w:pPr>
          </w:p>
        </w:tc>
      </w:tr>
      <w:tr w:rsidR="00B621C6" w:rsidRPr="00052138" w14:paraId="34C78A85" w14:textId="77777777" w:rsidTr="00EC26E4">
        <w:tc>
          <w:tcPr>
            <w:tcW w:w="9288" w:type="dxa"/>
            <w:gridSpan w:val="2"/>
            <w:shd w:val="clear" w:color="auto" w:fill="auto"/>
          </w:tcPr>
          <w:p w14:paraId="5BA91ACF" w14:textId="0E066C42" w:rsidR="00B621C6" w:rsidRPr="0028273C" w:rsidRDefault="00B621C6" w:rsidP="00EC26E4">
            <w:pPr>
              <w:tabs>
                <w:tab w:val="clear" w:pos="567"/>
              </w:tabs>
              <w:ind w:left="567" w:hanging="567"/>
              <w:rPr>
                <w:rFonts w:eastAsia="Calibri"/>
                <w:szCs w:val="22"/>
                <w:lang w:val="cs-CZ"/>
              </w:rPr>
            </w:pPr>
            <w:r w:rsidRPr="0028273C">
              <w:rPr>
                <w:rFonts w:eastAsia="Calibri"/>
                <w:szCs w:val="22"/>
                <w:lang w:val="cs-CZ"/>
              </w:rPr>
              <w:t>18.</w:t>
            </w:r>
            <w:r w:rsidRPr="0028273C">
              <w:rPr>
                <w:rFonts w:eastAsia="Calibri"/>
                <w:szCs w:val="22"/>
                <w:lang w:val="cs-CZ"/>
              </w:rPr>
              <w:tab/>
            </w:r>
            <w:r w:rsidRPr="0028273C">
              <w:rPr>
                <w:szCs w:val="22"/>
                <w:lang w:val="cs-CZ"/>
              </w:rPr>
              <w:t xml:space="preserve">Je-li nutné podat další dávku, </w:t>
            </w:r>
            <w:r w:rsidRPr="0028273C">
              <w:rPr>
                <w:snapToGrid w:val="0"/>
                <w:szCs w:val="22"/>
                <w:lang w:val="cs-CZ"/>
              </w:rPr>
              <w:t xml:space="preserve">použijte novou </w:t>
            </w:r>
            <w:r w:rsidRPr="0028273C">
              <w:rPr>
                <w:szCs w:val="22"/>
                <w:lang w:val="cs-CZ"/>
              </w:rPr>
              <w:t>injekční stříkačku s rekonstituovaným p</w:t>
            </w:r>
            <w:r w:rsidR="00934535">
              <w:rPr>
                <w:szCs w:val="22"/>
                <w:lang w:val="cs-CZ"/>
              </w:rPr>
              <w:t>ráškem</w:t>
            </w:r>
            <w:r w:rsidRPr="0028273C">
              <w:rPr>
                <w:szCs w:val="22"/>
                <w:lang w:val="cs-CZ"/>
              </w:rPr>
              <w:t>, jak je popsáno výše</w:t>
            </w:r>
            <w:r w:rsidRPr="0028273C">
              <w:rPr>
                <w:snapToGrid w:val="0"/>
                <w:szCs w:val="22"/>
                <w:lang w:val="cs-CZ"/>
              </w:rPr>
              <w:t>.</w:t>
            </w:r>
          </w:p>
          <w:p w14:paraId="01765C82" w14:textId="77777777" w:rsidR="00B621C6" w:rsidRPr="0028273C" w:rsidRDefault="00B621C6" w:rsidP="00EC26E4">
            <w:pPr>
              <w:rPr>
                <w:rFonts w:eastAsia="Calibri"/>
                <w:lang w:val="cs-CZ"/>
              </w:rPr>
            </w:pPr>
          </w:p>
        </w:tc>
      </w:tr>
      <w:tr w:rsidR="00B621C6" w:rsidRPr="00052138" w14:paraId="7AA17180" w14:textId="77777777" w:rsidTr="00EC26E4">
        <w:tc>
          <w:tcPr>
            <w:tcW w:w="9288" w:type="dxa"/>
            <w:gridSpan w:val="2"/>
            <w:shd w:val="clear" w:color="auto" w:fill="auto"/>
          </w:tcPr>
          <w:p w14:paraId="6619D8FF" w14:textId="77777777" w:rsidR="00B621C6" w:rsidRPr="0028273C" w:rsidRDefault="00B621C6" w:rsidP="00EC26E4">
            <w:pPr>
              <w:tabs>
                <w:tab w:val="clear" w:pos="567"/>
              </w:tabs>
              <w:ind w:left="567" w:hanging="567"/>
              <w:rPr>
                <w:rFonts w:eastAsia="Calibri"/>
                <w:szCs w:val="22"/>
                <w:lang w:val="cs-CZ"/>
              </w:rPr>
            </w:pPr>
            <w:r w:rsidRPr="0028273C">
              <w:rPr>
                <w:rFonts w:eastAsia="Calibri"/>
                <w:szCs w:val="22"/>
                <w:lang w:val="cs-CZ"/>
              </w:rPr>
              <w:t>19.</w:t>
            </w:r>
            <w:r w:rsidRPr="0028273C">
              <w:rPr>
                <w:rFonts w:eastAsia="Calibri"/>
                <w:szCs w:val="22"/>
                <w:lang w:val="cs-CZ"/>
              </w:rPr>
              <w:tab/>
            </w:r>
            <w:r w:rsidRPr="0028273C">
              <w:rPr>
                <w:szCs w:val="22"/>
                <w:lang w:val="cs-CZ"/>
              </w:rPr>
              <w:t>Pokud není potřebná žádná další dávka, odstraňte venepunkční sadu a injekční stříkačku. Přidržujte tampón pevně k místu vpichu na natažené paži po dobu asi 2 minut. Nakonec přiložte na místo aplikace injekce malý tlakový obvaz a zvažte, je-li nutné použít náplast.</w:t>
            </w:r>
          </w:p>
          <w:p w14:paraId="08A69B53" w14:textId="77777777" w:rsidR="00B621C6" w:rsidRPr="0028273C" w:rsidRDefault="00B621C6" w:rsidP="00EC26E4">
            <w:pPr>
              <w:rPr>
                <w:rFonts w:eastAsia="Calibri"/>
                <w:lang w:val="cs-CZ"/>
              </w:rPr>
            </w:pPr>
          </w:p>
        </w:tc>
      </w:tr>
      <w:tr w:rsidR="00B621C6" w:rsidRPr="00052138" w14:paraId="321F6D93" w14:textId="77777777" w:rsidTr="00EC26E4">
        <w:tc>
          <w:tcPr>
            <w:tcW w:w="9288" w:type="dxa"/>
            <w:gridSpan w:val="2"/>
            <w:shd w:val="clear" w:color="auto" w:fill="auto"/>
          </w:tcPr>
          <w:p w14:paraId="1E8C3E1A" w14:textId="77777777" w:rsidR="00B621C6" w:rsidRPr="0028273C" w:rsidRDefault="00B621C6" w:rsidP="00EC26E4">
            <w:pPr>
              <w:keepNext/>
              <w:keepLines/>
              <w:ind w:left="567" w:hanging="567"/>
              <w:rPr>
                <w:szCs w:val="22"/>
                <w:lang w:val="cs-CZ"/>
              </w:rPr>
            </w:pPr>
            <w:r w:rsidRPr="0028273C">
              <w:rPr>
                <w:szCs w:val="22"/>
                <w:lang w:val="cs-CZ"/>
              </w:rPr>
              <w:t>20.</w:t>
            </w:r>
            <w:r w:rsidRPr="0028273C">
              <w:rPr>
                <w:szCs w:val="22"/>
                <w:lang w:val="cs-CZ"/>
              </w:rPr>
              <w:tab/>
              <w:t xml:space="preserve">Při každém použitím přípravku </w:t>
            </w:r>
            <w:proofErr w:type="spellStart"/>
            <w:r w:rsidRPr="0028273C">
              <w:rPr>
                <w:szCs w:val="22"/>
                <w:lang w:val="cs-CZ"/>
              </w:rPr>
              <w:t>Jivi</w:t>
            </w:r>
            <w:proofErr w:type="spellEnd"/>
            <w:r w:rsidRPr="0028273C">
              <w:rPr>
                <w:szCs w:val="22"/>
                <w:lang w:val="cs-CZ"/>
              </w:rPr>
              <w:t xml:space="preserve"> je doporučeno zapsat si název a číslo šarže přípravku.</w:t>
            </w:r>
          </w:p>
          <w:p w14:paraId="05373601" w14:textId="77777777" w:rsidR="00B621C6" w:rsidRPr="0028273C" w:rsidRDefault="00B621C6" w:rsidP="00EC26E4">
            <w:pPr>
              <w:tabs>
                <w:tab w:val="clear" w:pos="567"/>
              </w:tabs>
              <w:ind w:left="567" w:hanging="567"/>
              <w:rPr>
                <w:rFonts w:eastAsia="Calibri"/>
                <w:szCs w:val="22"/>
                <w:lang w:val="cs-CZ"/>
              </w:rPr>
            </w:pPr>
          </w:p>
        </w:tc>
      </w:tr>
      <w:tr w:rsidR="00B621C6" w:rsidRPr="0028273C" w14:paraId="7CC89F04" w14:textId="77777777" w:rsidTr="00EC26E4">
        <w:tc>
          <w:tcPr>
            <w:tcW w:w="9288" w:type="dxa"/>
            <w:gridSpan w:val="2"/>
            <w:shd w:val="clear" w:color="auto" w:fill="auto"/>
          </w:tcPr>
          <w:p w14:paraId="7ABB767E" w14:textId="77777777" w:rsidR="00B621C6" w:rsidRPr="0028273C" w:rsidRDefault="00B621C6" w:rsidP="00EC26E4">
            <w:pPr>
              <w:keepNext/>
              <w:keepLines/>
              <w:ind w:left="567" w:hanging="567"/>
              <w:rPr>
                <w:szCs w:val="22"/>
                <w:lang w:val="cs-CZ" w:eastAsia="de-DE"/>
              </w:rPr>
            </w:pPr>
            <w:r w:rsidRPr="0028273C">
              <w:rPr>
                <w:szCs w:val="22"/>
                <w:lang w:val="cs-CZ"/>
              </w:rPr>
              <w:t>21.</w:t>
            </w:r>
            <w:r w:rsidRPr="0028273C">
              <w:rPr>
                <w:szCs w:val="22"/>
                <w:lang w:val="cs-CZ"/>
              </w:rPr>
              <w:tab/>
            </w:r>
            <w:r w:rsidRPr="0028273C">
              <w:rPr>
                <w:b/>
                <w:lang w:val="cs-CZ"/>
              </w:rPr>
              <w:t>Nevyhazujte</w:t>
            </w:r>
            <w:r w:rsidRPr="0028273C">
              <w:rPr>
                <w:lang w:val="cs-CZ"/>
              </w:rPr>
              <w:t xml:space="preserve"> žádné léčivé přípravky do odpadních vod nebo domácího odpadu. Zeptejte se svého lékárníka nebo lékaře, jak naložit s přípravky, které již nepoužíváte. Tato opatření pomáhají chránit životní prostředí.</w:t>
            </w:r>
          </w:p>
          <w:p w14:paraId="04BDB4AA" w14:textId="77777777" w:rsidR="00B621C6" w:rsidRPr="0028273C" w:rsidRDefault="00B621C6" w:rsidP="00EC26E4">
            <w:pPr>
              <w:keepNext/>
              <w:keepLines/>
              <w:ind w:left="567" w:hanging="567"/>
              <w:rPr>
                <w:szCs w:val="22"/>
                <w:lang w:val="cs-CZ"/>
              </w:rPr>
            </w:pPr>
          </w:p>
        </w:tc>
      </w:tr>
    </w:tbl>
    <w:p w14:paraId="4F9861E8" w14:textId="77777777" w:rsidR="00883D61" w:rsidRPr="0028273C" w:rsidRDefault="00883D61" w:rsidP="00735457">
      <w:pPr>
        <w:tabs>
          <w:tab w:val="clear" w:pos="567"/>
        </w:tabs>
        <w:rPr>
          <w:szCs w:val="22"/>
          <w:lang w:val="cs-CZ"/>
        </w:rPr>
      </w:pPr>
    </w:p>
    <w:p w14:paraId="23F0D5E1" w14:textId="2A6E7F42" w:rsidR="00DD6503" w:rsidRPr="0028273C" w:rsidRDefault="00B32461" w:rsidP="00735457">
      <w:pPr>
        <w:tabs>
          <w:tab w:val="clear" w:pos="567"/>
        </w:tabs>
        <w:rPr>
          <w:szCs w:val="22"/>
          <w:lang w:val="cs-CZ"/>
        </w:rPr>
      </w:pPr>
      <w:r w:rsidRPr="0028273C">
        <w:rPr>
          <w:szCs w:val="22"/>
          <w:lang w:val="cs-CZ"/>
        </w:rPr>
        <w:t xml:space="preserve">Přípravek </w:t>
      </w:r>
      <w:proofErr w:type="spellStart"/>
      <w:r w:rsidR="00552B7E" w:rsidRPr="0028273C">
        <w:rPr>
          <w:szCs w:val="22"/>
          <w:lang w:val="cs-CZ"/>
        </w:rPr>
        <w:t>Jivi</w:t>
      </w:r>
      <w:proofErr w:type="spellEnd"/>
      <w:r w:rsidRPr="0028273C">
        <w:rPr>
          <w:szCs w:val="22"/>
          <w:lang w:val="cs-CZ"/>
        </w:rPr>
        <w:t xml:space="preserve"> je p</w:t>
      </w:r>
      <w:r w:rsidRPr="0028273C">
        <w:rPr>
          <w:lang w:val="cs-CZ"/>
        </w:rPr>
        <w:t xml:space="preserve">ouze </w:t>
      </w:r>
      <w:r w:rsidR="0055354D">
        <w:rPr>
          <w:lang w:val="cs-CZ"/>
        </w:rPr>
        <w:t>k</w:t>
      </w:r>
      <w:r w:rsidRPr="0028273C">
        <w:rPr>
          <w:lang w:val="cs-CZ"/>
        </w:rPr>
        <w:t xml:space="preserve"> jednorázové</w:t>
      </w:r>
      <w:r w:rsidR="0055354D">
        <w:rPr>
          <w:lang w:val="cs-CZ"/>
        </w:rPr>
        <w:t>mu</w:t>
      </w:r>
      <w:r w:rsidRPr="0028273C">
        <w:rPr>
          <w:lang w:val="cs-CZ"/>
        </w:rPr>
        <w:t xml:space="preserve"> použití</w:t>
      </w:r>
      <w:r w:rsidR="00DD6503" w:rsidRPr="0028273C">
        <w:rPr>
          <w:szCs w:val="22"/>
          <w:lang w:val="cs-CZ"/>
        </w:rPr>
        <w:t>.</w:t>
      </w:r>
    </w:p>
    <w:p w14:paraId="6949CEFC" w14:textId="77777777" w:rsidR="00B32461" w:rsidRPr="0028273C" w:rsidRDefault="00B32461" w:rsidP="00735457">
      <w:pPr>
        <w:rPr>
          <w:lang w:val="cs-CZ"/>
        </w:rPr>
      </w:pPr>
      <w:r w:rsidRPr="0028273C">
        <w:rPr>
          <w:noProof/>
          <w:szCs w:val="24"/>
          <w:lang w:val="cs-CZ"/>
        </w:rPr>
        <w:t>Veškerý</w:t>
      </w:r>
      <w:r w:rsidRPr="0028273C">
        <w:rPr>
          <w:lang w:val="cs-CZ"/>
        </w:rPr>
        <w:t xml:space="preserve"> nepoužitý </w:t>
      </w:r>
      <w:r w:rsidRPr="0028273C">
        <w:rPr>
          <w:noProof/>
          <w:szCs w:val="24"/>
          <w:lang w:val="cs-CZ"/>
        </w:rPr>
        <w:t>léčivý</w:t>
      </w:r>
      <w:r w:rsidRPr="0028273C">
        <w:rPr>
          <w:lang w:val="cs-CZ"/>
        </w:rPr>
        <w:t xml:space="preserve"> přípravek nebo odpad musí být zlikvidován v souladu s místními požadavky.</w:t>
      </w:r>
    </w:p>
    <w:p w14:paraId="4F9686DE" w14:textId="77777777" w:rsidR="00DD6503" w:rsidRPr="0028273C" w:rsidRDefault="00DD6503" w:rsidP="00735457">
      <w:pPr>
        <w:tabs>
          <w:tab w:val="clear" w:pos="567"/>
        </w:tabs>
        <w:rPr>
          <w:szCs w:val="22"/>
          <w:lang w:val="cs-CZ"/>
        </w:rPr>
      </w:pPr>
    </w:p>
    <w:p w14:paraId="5CC0CD03" w14:textId="77777777" w:rsidR="00DD6503" w:rsidRPr="0028273C" w:rsidRDefault="00DD6503" w:rsidP="00735457">
      <w:pPr>
        <w:tabs>
          <w:tab w:val="clear" w:pos="567"/>
        </w:tabs>
        <w:rPr>
          <w:szCs w:val="22"/>
          <w:lang w:val="cs-CZ"/>
        </w:rPr>
      </w:pPr>
    </w:p>
    <w:p w14:paraId="6B85C82D" w14:textId="77777777" w:rsidR="00DD6503" w:rsidRPr="0028273C" w:rsidRDefault="00DD6503" w:rsidP="00FA1963">
      <w:pPr>
        <w:keepNext/>
        <w:keepLines/>
        <w:tabs>
          <w:tab w:val="clear" w:pos="567"/>
        </w:tabs>
        <w:ind w:left="567" w:hanging="567"/>
        <w:outlineLvl w:val="1"/>
        <w:rPr>
          <w:b/>
          <w:szCs w:val="22"/>
          <w:lang w:val="cs-CZ"/>
        </w:rPr>
      </w:pPr>
      <w:r w:rsidRPr="0028273C">
        <w:rPr>
          <w:b/>
          <w:szCs w:val="22"/>
          <w:lang w:val="cs-CZ"/>
        </w:rPr>
        <w:lastRenderedPageBreak/>
        <w:t>7.</w:t>
      </w:r>
      <w:r w:rsidRPr="0028273C">
        <w:rPr>
          <w:b/>
          <w:szCs w:val="22"/>
          <w:lang w:val="cs-CZ"/>
        </w:rPr>
        <w:tab/>
      </w:r>
      <w:r w:rsidR="00B32461" w:rsidRPr="0028273C">
        <w:rPr>
          <w:b/>
          <w:lang w:val="cs-CZ"/>
        </w:rPr>
        <w:t>DRŽITEL ROZHODNUTÍ O REGISTRACI</w:t>
      </w:r>
    </w:p>
    <w:p w14:paraId="065D4942" w14:textId="77777777" w:rsidR="00DD6503" w:rsidRPr="0028273C" w:rsidRDefault="00DD6503" w:rsidP="00735457">
      <w:pPr>
        <w:keepNext/>
        <w:keepLines/>
        <w:tabs>
          <w:tab w:val="clear" w:pos="567"/>
        </w:tabs>
        <w:rPr>
          <w:szCs w:val="22"/>
          <w:lang w:val="cs-CZ"/>
        </w:rPr>
      </w:pPr>
    </w:p>
    <w:p w14:paraId="43D01376" w14:textId="77777777" w:rsidR="00DD6503" w:rsidRPr="0028273C" w:rsidRDefault="004C6ECB" w:rsidP="00735457">
      <w:pPr>
        <w:keepNext/>
        <w:tabs>
          <w:tab w:val="clear" w:pos="567"/>
        </w:tabs>
        <w:autoSpaceDE w:val="0"/>
        <w:autoSpaceDN w:val="0"/>
        <w:adjustRightInd w:val="0"/>
        <w:rPr>
          <w:szCs w:val="22"/>
          <w:lang w:val="cs-CZ"/>
        </w:rPr>
      </w:pPr>
      <w:r w:rsidRPr="0028273C">
        <w:rPr>
          <w:szCs w:val="22"/>
          <w:lang w:val="cs-CZ"/>
        </w:rPr>
        <w:t xml:space="preserve">Bayer </w:t>
      </w:r>
      <w:r w:rsidR="00DD6503" w:rsidRPr="0028273C">
        <w:rPr>
          <w:szCs w:val="22"/>
          <w:lang w:val="cs-CZ"/>
        </w:rPr>
        <w:t>AG</w:t>
      </w:r>
    </w:p>
    <w:p w14:paraId="20876F55" w14:textId="77777777" w:rsidR="00DD6503" w:rsidRPr="0028273C" w:rsidRDefault="004C6ECB" w:rsidP="00735457">
      <w:pPr>
        <w:keepNext/>
        <w:tabs>
          <w:tab w:val="clear" w:pos="567"/>
        </w:tabs>
        <w:autoSpaceDE w:val="0"/>
        <w:autoSpaceDN w:val="0"/>
        <w:adjustRightInd w:val="0"/>
        <w:rPr>
          <w:szCs w:val="22"/>
          <w:lang w:val="cs-CZ"/>
        </w:rPr>
      </w:pPr>
      <w:r w:rsidRPr="0028273C">
        <w:rPr>
          <w:szCs w:val="22"/>
          <w:lang w:val="cs-CZ"/>
        </w:rPr>
        <w:t xml:space="preserve">51368 </w:t>
      </w:r>
      <w:proofErr w:type="spellStart"/>
      <w:r w:rsidRPr="0028273C">
        <w:rPr>
          <w:szCs w:val="22"/>
          <w:lang w:val="cs-CZ"/>
        </w:rPr>
        <w:t>Leverkusen</w:t>
      </w:r>
      <w:proofErr w:type="spellEnd"/>
    </w:p>
    <w:p w14:paraId="06C6E514" w14:textId="77777777" w:rsidR="00DD6503" w:rsidRPr="0028273C" w:rsidRDefault="00B32461" w:rsidP="00735457">
      <w:pPr>
        <w:tabs>
          <w:tab w:val="clear" w:pos="567"/>
        </w:tabs>
        <w:rPr>
          <w:szCs w:val="22"/>
          <w:lang w:val="cs-CZ"/>
        </w:rPr>
      </w:pPr>
      <w:r w:rsidRPr="0028273C">
        <w:rPr>
          <w:szCs w:val="22"/>
          <w:lang w:val="cs-CZ"/>
        </w:rPr>
        <w:t>Německo</w:t>
      </w:r>
    </w:p>
    <w:p w14:paraId="174ED189" w14:textId="77777777" w:rsidR="00DD6503" w:rsidRPr="0028273C" w:rsidRDefault="00DD6503" w:rsidP="00735457">
      <w:pPr>
        <w:tabs>
          <w:tab w:val="clear" w:pos="567"/>
        </w:tabs>
        <w:rPr>
          <w:szCs w:val="22"/>
          <w:lang w:val="cs-CZ"/>
        </w:rPr>
      </w:pPr>
    </w:p>
    <w:p w14:paraId="45C9411F" w14:textId="77777777" w:rsidR="00DD6503" w:rsidRPr="0028273C" w:rsidRDefault="00DD6503" w:rsidP="00735457">
      <w:pPr>
        <w:tabs>
          <w:tab w:val="clear" w:pos="567"/>
        </w:tabs>
        <w:rPr>
          <w:szCs w:val="22"/>
          <w:lang w:val="cs-CZ"/>
        </w:rPr>
      </w:pPr>
    </w:p>
    <w:p w14:paraId="54D41F9F" w14:textId="77777777" w:rsidR="00DD6503" w:rsidRPr="0028273C" w:rsidRDefault="00DD6503" w:rsidP="00FA1963">
      <w:pPr>
        <w:keepNext/>
        <w:keepLines/>
        <w:tabs>
          <w:tab w:val="clear" w:pos="567"/>
        </w:tabs>
        <w:ind w:left="567" w:hanging="567"/>
        <w:outlineLvl w:val="1"/>
        <w:rPr>
          <w:b/>
          <w:szCs w:val="22"/>
          <w:lang w:val="cs-CZ"/>
        </w:rPr>
      </w:pPr>
      <w:r w:rsidRPr="0028273C">
        <w:rPr>
          <w:b/>
          <w:szCs w:val="22"/>
          <w:lang w:val="cs-CZ"/>
        </w:rPr>
        <w:t>8.</w:t>
      </w:r>
      <w:r w:rsidRPr="0028273C">
        <w:rPr>
          <w:b/>
          <w:szCs w:val="22"/>
          <w:lang w:val="cs-CZ"/>
        </w:rPr>
        <w:tab/>
      </w:r>
      <w:r w:rsidR="00B32461" w:rsidRPr="0028273C">
        <w:rPr>
          <w:b/>
          <w:lang w:val="cs-CZ"/>
        </w:rPr>
        <w:t>REGISTRAČNÍ ČÍSLA</w:t>
      </w:r>
    </w:p>
    <w:p w14:paraId="68CDFD09" w14:textId="77777777" w:rsidR="00DD6503" w:rsidRPr="0028273C" w:rsidRDefault="00DD6503" w:rsidP="00735457">
      <w:pPr>
        <w:keepNext/>
        <w:keepLines/>
        <w:tabs>
          <w:tab w:val="clear" w:pos="567"/>
        </w:tabs>
        <w:rPr>
          <w:szCs w:val="22"/>
          <w:lang w:val="cs-CZ"/>
        </w:rPr>
      </w:pPr>
    </w:p>
    <w:p w14:paraId="41714026" w14:textId="77777777" w:rsidR="00D84089" w:rsidRPr="0028273C" w:rsidRDefault="00640E19" w:rsidP="00AC05C0">
      <w:pPr>
        <w:keepNext/>
        <w:tabs>
          <w:tab w:val="clear" w:pos="567"/>
        </w:tabs>
        <w:rPr>
          <w:szCs w:val="22"/>
          <w:highlight w:val="lightGray"/>
          <w:lang w:val="cs-CZ" w:eastAsia="de-DE"/>
        </w:rPr>
      </w:pPr>
      <w:r w:rsidRPr="0028273C">
        <w:rPr>
          <w:lang w:val="cs-CZ"/>
        </w:rPr>
        <w:t>EU/</w:t>
      </w:r>
      <w:r w:rsidR="00567A12">
        <w:rPr>
          <w:lang w:val="cs-CZ"/>
        </w:rPr>
        <w:t>1</w:t>
      </w:r>
      <w:r w:rsidRPr="0028273C">
        <w:rPr>
          <w:lang w:val="cs-CZ"/>
        </w:rPr>
        <w:t>/</w:t>
      </w:r>
      <w:r w:rsidR="00567A12">
        <w:rPr>
          <w:lang w:val="cs-CZ"/>
        </w:rPr>
        <w:t>18</w:t>
      </w:r>
      <w:r w:rsidRPr="0028273C">
        <w:rPr>
          <w:lang w:val="cs-CZ"/>
        </w:rPr>
        <w:t>/</w:t>
      </w:r>
      <w:r w:rsidR="00567A12">
        <w:rPr>
          <w:lang w:val="cs-CZ"/>
        </w:rPr>
        <w:t>1324</w:t>
      </w:r>
      <w:r w:rsidRPr="0028273C">
        <w:rPr>
          <w:lang w:val="cs-CZ"/>
        </w:rPr>
        <w:t>/</w:t>
      </w:r>
      <w:proofErr w:type="gramStart"/>
      <w:r w:rsidR="00D72CC7" w:rsidRPr="0028273C">
        <w:rPr>
          <w:szCs w:val="22"/>
          <w:lang w:val="cs-CZ" w:eastAsia="de-DE"/>
        </w:rPr>
        <w:t xml:space="preserve">001 </w:t>
      </w:r>
      <w:r w:rsidR="00A608CF">
        <w:rPr>
          <w:szCs w:val="22"/>
          <w:highlight w:val="lightGray"/>
          <w:lang w:val="cs-CZ" w:eastAsia="de-DE"/>
        </w:rPr>
        <w:t>–</w:t>
      </w:r>
      <w:r w:rsidR="00D72CC7" w:rsidRPr="0028273C">
        <w:rPr>
          <w:szCs w:val="22"/>
          <w:highlight w:val="lightGray"/>
          <w:lang w:val="cs-CZ" w:eastAsia="de-DE"/>
        </w:rPr>
        <w:t xml:space="preserve"> </w:t>
      </w:r>
      <w:r w:rsidR="00A608CF">
        <w:rPr>
          <w:szCs w:val="22"/>
          <w:highlight w:val="lightGray"/>
          <w:lang w:val="cs-CZ" w:eastAsia="de-DE"/>
        </w:rPr>
        <w:t>1</w:t>
      </w:r>
      <w:proofErr w:type="gramEnd"/>
      <w:r w:rsidR="00A608CF">
        <w:rPr>
          <w:szCs w:val="22"/>
          <w:highlight w:val="lightGray"/>
          <w:lang w:val="cs-CZ" w:eastAsia="de-DE"/>
        </w:rPr>
        <w:t xml:space="preserve"> x (</w:t>
      </w:r>
      <w:proofErr w:type="spellStart"/>
      <w:r w:rsidR="00A06EEB" w:rsidRPr="0028273C">
        <w:rPr>
          <w:szCs w:val="22"/>
          <w:highlight w:val="lightGray"/>
          <w:lang w:val="cs-CZ" w:eastAsia="de-DE"/>
        </w:rPr>
        <w:t>Jivi</w:t>
      </w:r>
      <w:proofErr w:type="spellEnd"/>
      <w:r w:rsidR="00B07BA7" w:rsidRPr="0028273C">
        <w:rPr>
          <w:szCs w:val="22"/>
          <w:highlight w:val="lightGray"/>
          <w:lang w:val="cs-CZ" w:eastAsia="de-DE"/>
        </w:rPr>
        <w:t xml:space="preserve"> </w:t>
      </w:r>
      <w:r w:rsidR="00D72CC7" w:rsidRPr="0028273C">
        <w:rPr>
          <w:szCs w:val="22"/>
          <w:highlight w:val="lightGray"/>
          <w:lang w:val="cs-CZ" w:eastAsia="de-DE"/>
        </w:rPr>
        <w:t>250</w:t>
      </w:r>
      <w:r w:rsidR="00E01299" w:rsidRPr="0028273C">
        <w:rPr>
          <w:szCs w:val="22"/>
          <w:highlight w:val="lightGray"/>
          <w:lang w:val="cs-CZ"/>
        </w:rPr>
        <w:t> </w:t>
      </w:r>
      <w:r w:rsidR="00BF54B9" w:rsidRPr="0028273C">
        <w:rPr>
          <w:szCs w:val="22"/>
          <w:highlight w:val="lightGray"/>
          <w:lang w:val="cs-CZ" w:eastAsia="de-DE"/>
        </w:rPr>
        <w:t>IU</w:t>
      </w:r>
      <w:r w:rsidR="00A608CF">
        <w:rPr>
          <w:szCs w:val="22"/>
          <w:highlight w:val="lightGray"/>
          <w:lang w:val="cs-CZ" w:eastAsia="de-DE"/>
        </w:rPr>
        <w:t>)</w:t>
      </w:r>
    </w:p>
    <w:p w14:paraId="30B6D1A4" w14:textId="77777777" w:rsidR="00D84089" w:rsidRPr="0028273C" w:rsidRDefault="00640E19" w:rsidP="00AC05C0">
      <w:pPr>
        <w:keepNext/>
        <w:tabs>
          <w:tab w:val="clear" w:pos="567"/>
        </w:tabs>
        <w:rPr>
          <w:szCs w:val="22"/>
          <w:highlight w:val="lightGray"/>
          <w:lang w:val="cs-CZ" w:eastAsia="de-DE"/>
        </w:rPr>
      </w:pPr>
      <w:r w:rsidRPr="002407BF">
        <w:rPr>
          <w:lang w:val="cs-CZ"/>
        </w:rPr>
        <w:t>EU</w:t>
      </w:r>
      <w:r w:rsidR="00567A12" w:rsidRPr="0028273C">
        <w:rPr>
          <w:lang w:val="cs-CZ"/>
        </w:rPr>
        <w:t>/</w:t>
      </w:r>
      <w:r w:rsidR="00567A12">
        <w:rPr>
          <w:lang w:val="cs-CZ"/>
        </w:rPr>
        <w:t>1</w:t>
      </w:r>
      <w:r w:rsidR="00567A12" w:rsidRPr="0028273C">
        <w:rPr>
          <w:lang w:val="cs-CZ"/>
        </w:rPr>
        <w:t>/</w:t>
      </w:r>
      <w:r w:rsidR="00567A12">
        <w:rPr>
          <w:lang w:val="cs-CZ"/>
        </w:rPr>
        <w:t>18</w:t>
      </w:r>
      <w:r w:rsidR="00567A12" w:rsidRPr="0028273C">
        <w:rPr>
          <w:lang w:val="cs-CZ"/>
        </w:rPr>
        <w:t>/</w:t>
      </w:r>
      <w:r w:rsidR="00567A12">
        <w:rPr>
          <w:lang w:val="cs-CZ"/>
        </w:rPr>
        <w:t>1324</w:t>
      </w:r>
      <w:r w:rsidR="00567A12" w:rsidRPr="002407BF">
        <w:rPr>
          <w:lang w:val="cs-CZ"/>
        </w:rPr>
        <w:t>/</w:t>
      </w:r>
      <w:proofErr w:type="gramStart"/>
      <w:r w:rsidRPr="002407BF">
        <w:rPr>
          <w:szCs w:val="22"/>
          <w:lang w:val="cs-CZ" w:eastAsia="de-DE"/>
        </w:rPr>
        <w:t>002</w:t>
      </w:r>
      <w:r w:rsidR="00D72CC7" w:rsidRPr="0028273C">
        <w:rPr>
          <w:szCs w:val="22"/>
          <w:highlight w:val="lightGray"/>
          <w:lang w:val="cs-CZ" w:eastAsia="de-DE"/>
        </w:rPr>
        <w:t xml:space="preserve"> </w:t>
      </w:r>
      <w:r w:rsidR="00A608CF">
        <w:rPr>
          <w:szCs w:val="22"/>
          <w:highlight w:val="lightGray"/>
          <w:lang w:val="cs-CZ" w:eastAsia="de-DE"/>
        </w:rPr>
        <w:t>–</w:t>
      </w:r>
      <w:r w:rsidR="00D72CC7" w:rsidRPr="0028273C">
        <w:rPr>
          <w:szCs w:val="22"/>
          <w:highlight w:val="lightGray"/>
          <w:lang w:val="cs-CZ" w:eastAsia="de-DE"/>
        </w:rPr>
        <w:t xml:space="preserve"> </w:t>
      </w:r>
      <w:r w:rsidR="00A608CF">
        <w:rPr>
          <w:szCs w:val="22"/>
          <w:highlight w:val="lightGray"/>
          <w:lang w:val="cs-CZ" w:eastAsia="de-DE"/>
        </w:rPr>
        <w:t>1</w:t>
      </w:r>
      <w:proofErr w:type="gramEnd"/>
      <w:r w:rsidR="00A608CF">
        <w:rPr>
          <w:szCs w:val="22"/>
          <w:highlight w:val="lightGray"/>
          <w:lang w:val="cs-CZ" w:eastAsia="de-DE"/>
        </w:rPr>
        <w:t xml:space="preserve"> x (</w:t>
      </w:r>
      <w:proofErr w:type="spellStart"/>
      <w:r w:rsidR="00A06EEB" w:rsidRPr="0028273C">
        <w:rPr>
          <w:szCs w:val="22"/>
          <w:highlight w:val="lightGray"/>
          <w:lang w:val="cs-CZ" w:eastAsia="de-DE"/>
        </w:rPr>
        <w:t>Jivi</w:t>
      </w:r>
      <w:proofErr w:type="spellEnd"/>
      <w:r w:rsidR="00B07BA7" w:rsidRPr="0028273C">
        <w:rPr>
          <w:szCs w:val="22"/>
          <w:highlight w:val="lightGray"/>
          <w:lang w:val="cs-CZ" w:eastAsia="de-DE"/>
        </w:rPr>
        <w:t xml:space="preserve"> </w:t>
      </w:r>
      <w:r w:rsidR="00D72CC7" w:rsidRPr="0028273C">
        <w:rPr>
          <w:szCs w:val="22"/>
          <w:highlight w:val="lightGray"/>
          <w:lang w:val="cs-CZ" w:eastAsia="de-DE"/>
        </w:rPr>
        <w:t>500</w:t>
      </w:r>
      <w:r w:rsidR="00E01299" w:rsidRPr="0028273C">
        <w:rPr>
          <w:szCs w:val="22"/>
          <w:highlight w:val="lightGray"/>
          <w:lang w:val="cs-CZ"/>
        </w:rPr>
        <w:t> </w:t>
      </w:r>
      <w:r w:rsidR="00BF54B9" w:rsidRPr="0028273C">
        <w:rPr>
          <w:szCs w:val="22"/>
          <w:highlight w:val="lightGray"/>
          <w:lang w:val="cs-CZ" w:eastAsia="de-DE"/>
        </w:rPr>
        <w:t>IU</w:t>
      </w:r>
      <w:r w:rsidR="00A608CF">
        <w:rPr>
          <w:szCs w:val="22"/>
          <w:highlight w:val="lightGray"/>
          <w:lang w:val="cs-CZ" w:eastAsia="de-DE"/>
        </w:rPr>
        <w:t>)</w:t>
      </w:r>
    </w:p>
    <w:p w14:paraId="70954044" w14:textId="77777777" w:rsidR="00D84089" w:rsidRPr="0028273C" w:rsidRDefault="00640E19" w:rsidP="00AC05C0">
      <w:pPr>
        <w:keepNext/>
        <w:tabs>
          <w:tab w:val="clear" w:pos="567"/>
        </w:tabs>
        <w:rPr>
          <w:szCs w:val="22"/>
          <w:highlight w:val="lightGray"/>
          <w:lang w:val="cs-CZ" w:eastAsia="de-DE"/>
        </w:rPr>
      </w:pPr>
      <w:r w:rsidRPr="002407BF">
        <w:rPr>
          <w:lang w:val="cs-CZ"/>
        </w:rPr>
        <w:t>EU</w:t>
      </w:r>
      <w:r w:rsidR="00567A12" w:rsidRPr="0028273C">
        <w:rPr>
          <w:lang w:val="cs-CZ"/>
        </w:rPr>
        <w:t>/</w:t>
      </w:r>
      <w:r w:rsidR="00567A12">
        <w:rPr>
          <w:lang w:val="cs-CZ"/>
        </w:rPr>
        <w:t>1</w:t>
      </w:r>
      <w:r w:rsidR="00567A12" w:rsidRPr="0028273C">
        <w:rPr>
          <w:lang w:val="cs-CZ"/>
        </w:rPr>
        <w:t>/</w:t>
      </w:r>
      <w:r w:rsidR="00567A12">
        <w:rPr>
          <w:lang w:val="cs-CZ"/>
        </w:rPr>
        <w:t>18</w:t>
      </w:r>
      <w:r w:rsidR="00567A12" w:rsidRPr="0028273C">
        <w:rPr>
          <w:lang w:val="cs-CZ"/>
        </w:rPr>
        <w:t>/</w:t>
      </w:r>
      <w:r w:rsidR="00567A12">
        <w:rPr>
          <w:lang w:val="cs-CZ"/>
        </w:rPr>
        <w:t>13</w:t>
      </w:r>
      <w:r w:rsidR="00567A12" w:rsidRPr="002407BF">
        <w:rPr>
          <w:lang w:val="cs-CZ"/>
        </w:rPr>
        <w:t>24/</w:t>
      </w:r>
      <w:proofErr w:type="gramStart"/>
      <w:r w:rsidRPr="002407BF">
        <w:rPr>
          <w:szCs w:val="22"/>
          <w:lang w:val="cs-CZ" w:eastAsia="de-DE"/>
        </w:rPr>
        <w:t>003</w:t>
      </w:r>
      <w:r w:rsidR="00D72CC7" w:rsidRPr="0028273C">
        <w:rPr>
          <w:szCs w:val="22"/>
          <w:highlight w:val="lightGray"/>
          <w:lang w:val="cs-CZ" w:eastAsia="de-DE"/>
        </w:rPr>
        <w:t xml:space="preserve"> </w:t>
      </w:r>
      <w:r w:rsidR="00A608CF">
        <w:rPr>
          <w:szCs w:val="22"/>
          <w:highlight w:val="lightGray"/>
          <w:lang w:val="cs-CZ" w:eastAsia="de-DE"/>
        </w:rPr>
        <w:t>– 1</w:t>
      </w:r>
      <w:proofErr w:type="gramEnd"/>
      <w:r w:rsidR="00A608CF">
        <w:rPr>
          <w:szCs w:val="22"/>
          <w:highlight w:val="lightGray"/>
          <w:lang w:val="cs-CZ" w:eastAsia="de-DE"/>
        </w:rPr>
        <w:t xml:space="preserve"> x</w:t>
      </w:r>
      <w:r w:rsidR="00D72CC7" w:rsidRPr="0028273C">
        <w:rPr>
          <w:szCs w:val="22"/>
          <w:highlight w:val="lightGray"/>
          <w:lang w:val="cs-CZ" w:eastAsia="de-DE"/>
        </w:rPr>
        <w:t xml:space="preserve"> </w:t>
      </w:r>
      <w:r w:rsidR="00A608CF">
        <w:rPr>
          <w:szCs w:val="22"/>
          <w:highlight w:val="lightGray"/>
          <w:lang w:val="cs-CZ" w:eastAsia="de-DE"/>
        </w:rPr>
        <w:t>(</w:t>
      </w:r>
      <w:proofErr w:type="spellStart"/>
      <w:r w:rsidR="00A06EEB" w:rsidRPr="0028273C">
        <w:rPr>
          <w:szCs w:val="22"/>
          <w:highlight w:val="lightGray"/>
          <w:lang w:val="cs-CZ" w:eastAsia="de-DE"/>
        </w:rPr>
        <w:t>Jivi</w:t>
      </w:r>
      <w:proofErr w:type="spellEnd"/>
      <w:r w:rsidR="00B07BA7" w:rsidRPr="0028273C">
        <w:rPr>
          <w:szCs w:val="22"/>
          <w:highlight w:val="lightGray"/>
          <w:lang w:val="cs-CZ" w:eastAsia="de-DE"/>
        </w:rPr>
        <w:t xml:space="preserve"> </w:t>
      </w:r>
      <w:r w:rsidR="00D72CC7" w:rsidRPr="0028273C">
        <w:rPr>
          <w:szCs w:val="22"/>
          <w:highlight w:val="lightGray"/>
          <w:lang w:val="cs-CZ" w:eastAsia="de-DE"/>
        </w:rPr>
        <w:t>1000</w:t>
      </w:r>
      <w:r w:rsidR="00E01299" w:rsidRPr="0028273C">
        <w:rPr>
          <w:szCs w:val="22"/>
          <w:highlight w:val="lightGray"/>
          <w:lang w:val="cs-CZ"/>
        </w:rPr>
        <w:t> </w:t>
      </w:r>
      <w:r w:rsidR="00BF54B9" w:rsidRPr="0028273C">
        <w:rPr>
          <w:szCs w:val="22"/>
          <w:highlight w:val="lightGray"/>
          <w:lang w:val="cs-CZ" w:eastAsia="de-DE"/>
        </w:rPr>
        <w:t>IU</w:t>
      </w:r>
      <w:r w:rsidR="00A608CF">
        <w:rPr>
          <w:szCs w:val="22"/>
          <w:highlight w:val="lightGray"/>
          <w:lang w:val="cs-CZ" w:eastAsia="de-DE"/>
        </w:rPr>
        <w:t>)</w:t>
      </w:r>
    </w:p>
    <w:p w14:paraId="28CF59AE" w14:textId="77777777" w:rsidR="00D84089" w:rsidRPr="0028273C" w:rsidRDefault="00640E19" w:rsidP="00AC05C0">
      <w:pPr>
        <w:keepNext/>
        <w:tabs>
          <w:tab w:val="clear" w:pos="567"/>
        </w:tabs>
        <w:rPr>
          <w:szCs w:val="22"/>
          <w:highlight w:val="lightGray"/>
          <w:lang w:val="cs-CZ" w:eastAsia="de-DE"/>
        </w:rPr>
      </w:pPr>
      <w:r w:rsidRPr="002407BF">
        <w:rPr>
          <w:lang w:val="cs-CZ"/>
        </w:rPr>
        <w:t>EU</w:t>
      </w:r>
      <w:r w:rsidR="00567A12" w:rsidRPr="0028273C">
        <w:rPr>
          <w:lang w:val="cs-CZ"/>
        </w:rPr>
        <w:t>/</w:t>
      </w:r>
      <w:r w:rsidR="00567A12">
        <w:rPr>
          <w:lang w:val="cs-CZ"/>
        </w:rPr>
        <w:t>1</w:t>
      </w:r>
      <w:r w:rsidR="00567A12" w:rsidRPr="0028273C">
        <w:rPr>
          <w:lang w:val="cs-CZ"/>
        </w:rPr>
        <w:t>/</w:t>
      </w:r>
      <w:r w:rsidR="00567A12">
        <w:rPr>
          <w:lang w:val="cs-CZ"/>
        </w:rPr>
        <w:t>18</w:t>
      </w:r>
      <w:r w:rsidR="00567A12" w:rsidRPr="0028273C">
        <w:rPr>
          <w:lang w:val="cs-CZ"/>
        </w:rPr>
        <w:t>/</w:t>
      </w:r>
      <w:r w:rsidR="00567A12">
        <w:rPr>
          <w:lang w:val="cs-CZ"/>
        </w:rPr>
        <w:t>1324</w:t>
      </w:r>
      <w:r w:rsidR="00567A12" w:rsidRPr="002407BF">
        <w:rPr>
          <w:lang w:val="cs-CZ"/>
        </w:rPr>
        <w:t>/</w:t>
      </w:r>
      <w:proofErr w:type="gramStart"/>
      <w:r w:rsidRPr="002407BF">
        <w:rPr>
          <w:szCs w:val="22"/>
          <w:lang w:val="cs-CZ" w:eastAsia="de-DE"/>
        </w:rPr>
        <w:t>004</w:t>
      </w:r>
      <w:r w:rsidR="00D72CC7" w:rsidRPr="0028273C">
        <w:rPr>
          <w:szCs w:val="22"/>
          <w:highlight w:val="lightGray"/>
          <w:lang w:val="cs-CZ" w:eastAsia="de-DE"/>
        </w:rPr>
        <w:t xml:space="preserve"> </w:t>
      </w:r>
      <w:r w:rsidR="00A608CF">
        <w:rPr>
          <w:szCs w:val="22"/>
          <w:highlight w:val="lightGray"/>
          <w:lang w:val="cs-CZ" w:eastAsia="de-DE"/>
        </w:rPr>
        <w:t>–</w:t>
      </w:r>
      <w:r w:rsidR="00D72CC7" w:rsidRPr="0028273C">
        <w:rPr>
          <w:szCs w:val="22"/>
          <w:highlight w:val="lightGray"/>
          <w:lang w:val="cs-CZ" w:eastAsia="de-DE"/>
        </w:rPr>
        <w:t xml:space="preserve"> </w:t>
      </w:r>
      <w:r w:rsidR="00A608CF">
        <w:rPr>
          <w:szCs w:val="22"/>
          <w:highlight w:val="lightGray"/>
          <w:lang w:val="cs-CZ" w:eastAsia="de-DE"/>
        </w:rPr>
        <w:t>1</w:t>
      </w:r>
      <w:proofErr w:type="gramEnd"/>
      <w:r w:rsidR="00A608CF">
        <w:rPr>
          <w:szCs w:val="22"/>
          <w:highlight w:val="lightGray"/>
          <w:lang w:val="cs-CZ" w:eastAsia="de-DE"/>
        </w:rPr>
        <w:t xml:space="preserve"> x (</w:t>
      </w:r>
      <w:proofErr w:type="spellStart"/>
      <w:r w:rsidR="00A06EEB" w:rsidRPr="0028273C">
        <w:rPr>
          <w:szCs w:val="22"/>
          <w:highlight w:val="lightGray"/>
          <w:lang w:val="cs-CZ" w:eastAsia="de-DE"/>
        </w:rPr>
        <w:t>Jivi</w:t>
      </w:r>
      <w:proofErr w:type="spellEnd"/>
      <w:r w:rsidR="00B07BA7" w:rsidRPr="0028273C">
        <w:rPr>
          <w:szCs w:val="22"/>
          <w:highlight w:val="lightGray"/>
          <w:lang w:val="cs-CZ" w:eastAsia="de-DE"/>
        </w:rPr>
        <w:t xml:space="preserve"> </w:t>
      </w:r>
      <w:r w:rsidR="00D72CC7" w:rsidRPr="0028273C">
        <w:rPr>
          <w:szCs w:val="22"/>
          <w:highlight w:val="lightGray"/>
          <w:lang w:val="cs-CZ" w:eastAsia="de-DE"/>
        </w:rPr>
        <w:t>2000</w:t>
      </w:r>
      <w:r w:rsidR="00E01299" w:rsidRPr="0028273C">
        <w:rPr>
          <w:szCs w:val="22"/>
          <w:highlight w:val="lightGray"/>
          <w:lang w:val="cs-CZ"/>
        </w:rPr>
        <w:t> </w:t>
      </w:r>
      <w:r w:rsidR="00BF54B9" w:rsidRPr="0028273C">
        <w:rPr>
          <w:szCs w:val="22"/>
          <w:highlight w:val="lightGray"/>
          <w:lang w:val="cs-CZ" w:eastAsia="de-DE"/>
        </w:rPr>
        <w:t>IU</w:t>
      </w:r>
      <w:r w:rsidR="00A608CF">
        <w:rPr>
          <w:szCs w:val="22"/>
          <w:highlight w:val="lightGray"/>
          <w:lang w:val="cs-CZ" w:eastAsia="de-DE"/>
        </w:rPr>
        <w:t>)</w:t>
      </w:r>
    </w:p>
    <w:p w14:paraId="35B02E1F" w14:textId="77777777" w:rsidR="00DD6503" w:rsidRDefault="00640E19" w:rsidP="00AC05C0">
      <w:pPr>
        <w:keepNext/>
        <w:tabs>
          <w:tab w:val="clear" w:pos="567"/>
        </w:tabs>
        <w:rPr>
          <w:szCs w:val="22"/>
          <w:lang w:val="cs-CZ" w:eastAsia="de-DE"/>
        </w:rPr>
      </w:pPr>
      <w:r w:rsidRPr="002407BF">
        <w:rPr>
          <w:lang w:val="cs-CZ"/>
        </w:rPr>
        <w:t>EU</w:t>
      </w:r>
      <w:r w:rsidR="00567A12" w:rsidRPr="002407BF">
        <w:rPr>
          <w:lang w:val="cs-CZ"/>
        </w:rPr>
        <w:t>/</w:t>
      </w:r>
      <w:r w:rsidR="00567A12">
        <w:rPr>
          <w:lang w:val="cs-CZ"/>
        </w:rPr>
        <w:t>1</w:t>
      </w:r>
      <w:r w:rsidR="00567A12" w:rsidRPr="0028273C">
        <w:rPr>
          <w:lang w:val="cs-CZ"/>
        </w:rPr>
        <w:t>/</w:t>
      </w:r>
      <w:r w:rsidR="00567A12">
        <w:rPr>
          <w:lang w:val="cs-CZ"/>
        </w:rPr>
        <w:t>18</w:t>
      </w:r>
      <w:r w:rsidR="00567A12" w:rsidRPr="0028273C">
        <w:rPr>
          <w:lang w:val="cs-CZ"/>
        </w:rPr>
        <w:t>/</w:t>
      </w:r>
      <w:r w:rsidR="00567A12">
        <w:rPr>
          <w:lang w:val="cs-CZ"/>
        </w:rPr>
        <w:t>1</w:t>
      </w:r>
      <w:r w:rsidR="00567A12" w:rsidRPr="002407BF">
        <w:rPr>
          <w:lang w:val="cs-CZ"/>
        </w:rPr>
        <w:t>324/</w:t>
      </w:r>
      <w:proofErr w:type="gramStart"/>
      <w:r w:rsidRPr="002407BF">
        <w:rPr>
          <w:szCs w:val="22"/>
          <w:lang w:val="cs-CZ" w:eastAsia="de-DE"/>
        </w:rPr>
        <w:t>005</w:t>
      </w:r>
      <w:r w:rsidR="00D72CC7" w:rsidRPr="0028273C">
        <w:rPr>
          <w:szCs w:val="22"/>
          <w:highlight w:val="lightGray"/>
          <w:lang w:val="cs-CZ" w:eastAsia="de-DE"/>
        </w:rPr>
        <w:t xml:space="preserve"> </w:t>
      </w:r>
      <w:r w:rsidR="00A608CF">
        <w:rPr>
          <w:szCs w:val="22"/>
          <w:highlight w:val="lightGray"/>
          <w:lang w:val="cs-CZ" w:eastAsia="de-DE"/>
        </w:rPr>
        <w:t>–</w:t>
      </w:r>
      <w:r w:rsidR="00D72CC7" w:rsidRPr="0028273C">
        <w:rPr>
          <w:szCs w:val="22"/>
          <w:highlight w:val="lightGray"/>
          <w:lang w:val="cs-CZ" w:eastAsia="de-DE"/>
        </w:rPr>
        <w:t xml:space="preserve"> </w:t>
      </w:r>
      <w:r w:rsidR="00A608CF">
        <w:rPr>
          <w:szCs w:val="22"/>
          <w:highlight w:val="lightGray"/>
          <w:lang w:val="cs-CZ" w:eastAsia="de-DE"/>
        </w:rPr>
        <w:t>1</w:t>
      </w:r>
      <w:proofErr w:type="gramEnd"/>
      <w:r w:rsidR="00A608CF">
        <w:rPr>
          <w:szCs w:val="22"/>
          <w:highlight w:val="lightGray"/>
          <w:lang w:val="cs-CZ" w:eastAsia="de-DE"/>
        </w:rPr>
        <w:t xml:space="preserve"> x (</w:t>
      </w:r>
      <w:proofErr w:type="spellStart"/>
      <w:r w:rsidR="00A06EEB" w:rsidRPr="0028273C">
        <w:rPr>
          <w:szCs w:val="22"/>
          <w:highlight w:val="lightGray"/>
          <w:lang w:val="cs-CZ" w:eastAsia="de-DE"/>
        </w:rPr>
        <w:t>Jivi</w:t>
      </w:r>
      <w:proofErr w:type="spellEnd"/>
      <w:r w:rsidR="00B07BA7" w:rsidRPr="0028273C">
        <w:rPr>
          <w:szCs w:val="22"/>
          <w:highlight w:val="lightGray"/>
          <w:lang w:val="cs-CZ" w:eastAsia="de-DE"/>
        </w:rPr>
        <w:t xml:space="preserve"> </w:t>
      </w:r>
      <w:r w:rsidR="00D72CC7" w:rsidRPr="0028273C">
        <w:rPr>
          <w:szCs w:val="22"/>
          <w:highlight w:val="lightGray"/>
          <w:lang w:val="cs-CZ" w:eastAsia="de-DE"/>
        </w:rPr>
        <w:t>3000</w:t>
      </w:r>
      <w:r w:rsidR="00E01299" w:rsidRPr="0028273C">
        <w:rPr>
          <w:szCs w:val="22"/>
          <w:highlight w:val="lightGray"/>
          <w:lang w:val="cs-CZ"/>
        </w:rPr>
        <w:t> </w:t>
      </w:r>
      <w:r w:rsidR="00BF54B9" w:rsidRPr="0028273C">
        <w:rPr>
          <w:szCs w:val="22"/>
          <w:highlight w:val="lightGray"/>
          <w:lang w:val="cs-CZ" w:eastAsia="de-DE"/>
        </w:rPr>
        <w:t>IU</w:t>
      </w:r>
      <w:r w:rsidR="00A608CF" w:rsidRPr="0005661C">
        <w:rPr>
          <w:szCs w:val="22"/>
          <w:highlight w:val="lightGray"/>
          <w:lang w:val="cs-CZ" w:eastAsia="de-DE"/>
        </w:rPr>
        <w:t>)</w:t>
      </w:r>
    </w:p>
    <w:p w14:paraId="42E620CC" w14:textId="77777777" w:rsidR="00A608CF" w:rsidRPr="0028273C" w:rsidRDefault="00A608CF" w:rsidP="00AC05C0">
      <w:pPr>
        <w:keepNext/>
        <w:tabs>
          <w:tab w:val="clear" w:pos="567"/>
        </w:tabs>
        <w:rPr>
          <w:szCs w:val="22"/>
          <w:highlight w:val="lightGray"/>
          <w:lang w:val="cs-CZ" w:eastAsia="de-DE"/>
        </w:rPr>
      </w:pPr>
      <w:r w:rsidRPr="0028273C">
        <w:rPr>
          <w:lang w:val="cs-CZ"/>
        </w:rPr>
        <w:t>EU/</w:t>
      </w:r>
      <w:r>
        <w:rPr>
          <w:lang w:val="cs-CZ"/>
        </w:rPr>
        <w:t>1</w:t>
      </w:r>
      <w:r w:rsidRPr="0028273C">
        <w:rPr>
          <w:lang w:val="cs-CZ"/>
        </w:rPr>
        <w:t>/</w:t>
      </w:r>
      <w:r>
        <w:rPr>
          <w:lang w:val="cs-CZ"/>
        </w:rPr>
        <w:t>18</w:t>
      </w:r>
      <w:r w:rsidRPr="0028273C">
        <w:rPr>
          <w:lang w:val="cs-CZ"/>
        </w:rPr>
        <w:t>/</w:t>
      </w:r>
      <w:r>
        <w:rPr>
          <w:lang w:val="cs-CZ"/>
        </w:rPr>
        <w:t>1324</w:t>
      </w:r>
      <w:r w:rsidRPr="0028273C">
        <w:rPr>
          <w:lang w:val="cs-CZ"/>
        </w:rPr>
        <w:t>/</w:t>
      </w:r>
      <w:proofErr w:type="gramStart"/>
      <w:r>
        <w:rPr>
          <w:szCs w:val="22"/>
          <w:lang w:val="cs-CZ" w:eastAsia="de-DE"/>
        </w:rPr>
        <w:t>006</w:t>
      </w:r>
      <w:r w:rsidRPr="0028273C">
        <w:rPr>
          <w:szCs w:val="22"/>
          <w:lang w:val="cs-CZ" w:eastAsia="de-DE"/>
        </w:rPr>
        <w:t xml:space="preserve"> </w:t>
      </w:r>
      <w:r>
        <w:rPr>
          <w:szCs w:val="22"/>
          <w:highlight w:val="lightGray"/>
          <w:lang w:val="cs-CZ" w:eastAsia="de-DE"/>
        </w:rPr>
        <w:t>–</w:t>
      </w:r>
      <w:r w:rsidRPr="0028273C">
        <w:rPr>
          <w:szCs w:val="22"/>
          <w:highlight w:val="lightGray"/>
          <w:lang w:val="cs-CZ" w:eastAsia="de-DE"/>
        </w:rPr>
        <w:t xml:space="preserve"> </w:t>
      </w:r>
      <w:r>
        <w:rPr>
          <w:szCs w:val="22"/>
          <w:highlight w:val="lightGray"/>
          <w:lang w:val="cs-CZ" w:eastAsia="de-DE"/>
        </w:rPr>
        <w:t>30</w:t>
      </w:r>
      <w:proofErr w:type="gramEnd"/>
      <w:r>
        <w:rPr>
          <w:szCs w:val="22"/>
          <w:highlight w:val="lightGray"/>
          <w:lang w:val="cs-CZ" w:eastAsia="de-DE"/>
        </w:rPr>
        <w:t xml:space="preserve"> x (</w:t>
      </w:r>
      <w:proofErr w:type="spellStart"/>
      <w:r w:rsidRPr="0028273C">
        <w:rPr>
          <w:szCs w:val="22"/>
          <w:highlight w:val="lightGray"/>
          <w:lang w:val="cs-CZ" w:eastAsia="de-DE"/>
        </w:rPr>
        <w:t>Jivi</w:t>
      </w:r>
      <w:proofErr w:type="spellEnd"/>
      <w:r w:rsidRPr="0028273C">
        <w:rPr>
          <w:szCs w:val="22"/>
          <w:highlight w:val="lightGray"/>
          <w:lang w:val="cs-CZ" w:eastAsia="de-DE"/>
        </w:rPr>
        <w:t xml:space="preserve"> 250</w:t>
      </w:r>
      <w:r w:rsidRPr="0028273C">
        <w:rPr>
          <w:szCs w:val="22"/>
          <w:highlight w:val="lightGray"/>
          <w:lang w:val="cs-CZ"/>
        </w:rPr>
        <w:t> </w:t>
      </w:r>
      <w:r w:rsidRPr="0028273C">
        <w:rPr>
          <w:szCs w:val="22"/>
          <w:highlight w:val="lightGray"/>
          <w:lang w:val="cs-CZ" w:eastAsia="de-DE"/>
        </w:rPr>
        <w:t>IU</w:t>
      </w:r>
      <w:r>
        <w:rPr>
          <w:szCs w:val="22"/>
          <w:highlight w:val="lightGray"/>
          <w:lang w:val="cs-CZ" w:eastAsia="de-DE"/>
        </w:rPr>
        <w:t>)</w:t>
      </w:r>
    </w:p>
    <w:p w14:paraId="1184FB2B" w14:textId="77777777" w:rsidR="00A608CF" w:rsidRPr="0028273C" w:rsidRDefault="00A608CF" w:rsidP="00AC05C0">
      <w:pPr>
        <w:keepNext/>
        <w:tabs>
          <w:tab w:val="clear" w:pos="567"/>
        </w:tabs>
        <w:rPr>
          <w:szCs w:val="22"/>
          <w:highlight w:val="lightGray"/>
          <w:lang w:val="cs-CZ" w:eastAsia="de-DE"/>
        </w:rPr>
      </w:pPr>
      <w:r w:rsidRPr="002407BF">
        <w:rPr>
          <w:lang w:val="cs-CZ"/>
        </w:rPr>
        <w:t>EU</w:t>
      </w:r>
      <w:r w:rsidRPr="0028273C">
        <w:rPr>
          <w:lang w:val="cs-CZ"/>
        </w:rPr>
        <w:t>/</w:t>
      </w:r>
      <w:r>
        <w:rPr>
          <w:lang w:val="cs-CZ"/>
        </w:rPr>
        <w:t>1</w:t>
      </w:r>
      <w:r w:rsidRPr="0028273C">
        <w:rPr>
          <w:lang w:val="cs-CZ"/>
        </w:rPr>
        <w:t>/</w:t>
      </w:r>
      <w:r>
        <w:rPr>
          <w:lang w:val="cs-CZ"/>
        </w:rPr>
        <w:t>18</w:t>
      </w:r>
      <w:r w:rsidRPr="0028273C">
        <w:rPr>
          <w:lang w:val="cs-CZ"/>
        </w:rPr>
        <w:t>/</w:t>
      </w:r>
      <w:r>
        <w:rPr>
          <w:lang w:val="cs-CZ"/>
        </w:rPr>
        <w:t>1</w:t>
      </w:r>
      <w:r w:rsidRPr="002407BF">
        <w:rPr>
          <w:lang w:val="cs-CZ"/>
        </w:rPr>
        <w:t>324/</w:t>
      </w:r>
      <w:proofErr w:type="gramStart"/>
      <w:r w:rsidRPr="002407BF">
        <w:rPr>
          <w:szCs w:val="22"/>
          <w:lang w:val="cs-CZ" w:eastAsia="de-DE"/>
        </w:rPr>
        <w:t>007</w:t>
      </w:r>
      <w:r w:rsidRPr="0028273C">
        <w:rPr>
          <w:szCs w:val="22"/>
          <w:highlight w:val="lightGray"/>
          <w:lang w:val="cs-CZ" w:eastAsia="de-DE"/>
        </w:rPr>
        <w:t xml:space="preserve"> </w:t>
      </w:r>
      <w:r>
        <w:rPr>
          <w:szCs w:val="22"/>
          <w:highlight w:val="lightGray"/>
          <w:lang w:val="cs-CZ" w:eastAsia="de-DE"/>
        </w:rPr>
        <w:t>–</w:t>
      </w:r>
      <w:r w:rsidRPr="0028273C">
        <w:rPr>
          <w:szCs w:val="22"/>
          <w:highlight w:val="lightGray"/>
          <w:lang w:val="cs-CZ" w:eastAsia="de-DE"/>
        </w:rPr>
        <w:t xml:space="preserve"> </w:t>
      </w:r>
      <w:r>
        <w:rPr>
          <w:szCs w:val="22"/>
          <w:highlight w:val="lightGray"/>
          <w:lang w:val="cs-CZ" w:eastAsia="de-DE"/>
        </w:rPr>
        <w:t>30</w:t>
      </w:r>
      <w:proofErr w:type="gramEnd"/>
      <w:r>
        <w:rPr>
          <w:szCs w:val="22"/>
          <w:highlight w:val="lightGray"/>
          <w:lang w:val="cs-CZ" w:eastAsia="de-DE"/>
        </w:rPr>
        <w:t xml:space="preserve"> x (</w:t>
      </w:r>
      <w:proofErr w:type="spellStart"/>
      <w:r w:rsidRPr="0028273C">
        <w:rPr>
          <w:szCs w:val="22"/>
          <w:highlight w:val="lightGray"/>
          <w:lang w:val="cs-CZ" w:eastAsia="de-DE"/>
        </w:rPr>
        <w:t>Jivi</w:t>
      </w:r>
      <w:proofErr w:type="spellEnd"/>
      <w:r w:rsidRPr="0028273C">
        <w:rPr>
          <w:szCs w:val="22"/>
          <w:highlight w:val="lightGray"/>
          <w:lang w:val="cs-CZ" w:eastAsia="de-DE"/>
        </w:rPr>
        <w:t xml:space="preserve"> 500</w:t>
      </w:r>
      <w:r w:rsidRPr="0028273C">
        <w:rPr>
          <w:szCs w:val="22"/>
          <w:highlight w:val="lightGray"/>
          <w:lang w:val="cs-CZ"/>
        </w:rPr>
        <w:t> </w:t>
      </w:r>
      <w:r w:rsidRPr="0028273C">
        <w:rPr>
          <w:szCs w:val="22"/>
          <w:highlight w:val="lightGray"/>
          <w:lang w:val="cs-CZ" w:eastAsia="de-DE"/>
        </w:rPr>
        <w:t>IU</w:t>
      </w:r>
      <w:r>
        <w:rPr>
          <w:szCs w:val="22"/>
          <w:highlight w:val="lightGray"/>
          <w:lang w:val="cs-CZ" w:eastAsia="de-DE"/>
        </w:rPr>
        <w:t>)</w:t>
      </w:r>
    </w:p>
    <w:p w14:paraId="35A457EB" w14:textId="77777777" w:rsidR="00A608CF" w:rsidRPr="0028273C" w:rsidRDefault="00A608CF" w:rsidP="00AC05C0">
      <w:pPr>
        <w:keepNext/>
        <w:tabs>
          <w:tab w:val="clear" w:pos="567"/>
        </w:tabs>
        <w:rPr>
          <w:szCs w:val="22"/>
          <w:highlight w:val="lightGray"/>
          <w:lang w:val="cs-CZ" w:eastAsia="de-DE"/>
        </w:rPr>
      </w:pPr>
      <w:r w:rsidRPr="002407BF">
        <w:rPr>
          <w:lang w:val="cs-CZ"/>
        </w:rPr>
        <w:t>EU</w:t>
      </w:r>
      <w:r w:rsidRPr="0028273C">
        <w:rPr>
          <w:lang w:val="cs-CZ"/>
        </w:rPr>
        <w:t>/</w:t>
      </w:r>
      <w:r>
        <w:rPr>
          <w:lang w:val="cs-CZ"/>
        </w:rPr>
        <w:t>1</w:t>
      </w:r>
      <w:r w:rsidRPr="0028273C">
        <w:rPr>
          <w:lang w:val="cs-CZ"/>
        </w:rPr>
        <w:t>/</w:t>
      </w:r>
      <w:r>
        <w:rPr>
          <w:lang w:val="cs-CZ"/>
        </w:rPr>
        <w:t>18</w:t>
      </w:r>
      <w:r w:rsidRPr="0028273C">
        <w:rPr>
          <w:lang w:val="cs-CZ"/>
        </w:rPr>
        <w:t>/</w:t>
      </w:r>
      <w:r>
        <w:rPr>
          <w:lang w:val="cs-CZ"/>
        </w:rPr>
        <w:t>13</w:t>
      </w:r>
      <w:r w:rsidRPr="002407BF">
        <w:rPr>
          <w:lang w:val="cs-CZ"/>
        </w:rPr>
        <w:t>24/</w:t>
      </w:r>
      <w:proofErr w:type="gramStart"/>
      <w:r w:rsidRPr="002407BF">
        <w:rPr>
          <w:szCs w:val="22"/>
          <w:lang w:val="cs-CZ" w:eastAsia="de-DE"/>
        </w:rPr>
        <w:t>008</w:t>
      </w:r>
      <w:r w:rsidRPr="0028273C">
        <w:rPr>
          <w:szCs w:val="22"/>
          <w:highlight w:val="lightGray"/>
          <w:lang w:val="cs-CZ" w:eastAsia="de-DE"/>
        </w:rPr>
        <w:t xml:space="preserve"> </w:t>
      </w:r>
      <w:r>
        <w:rPr>
          <w:szCs w:val="22"/>
          <w:highlight w:val="lightGray"/>
          <w:lang w:val="cs-CZ" w:eastAsia="de-DE"/>
        </w:rPr>
        <w:t>– 30</w:t>
      </w:r>
      <w:proofErr w:type="gramEnd"/>
      <w:r>
        <w:rPr>
          <w:szCs w:val="22"/>
          <w:highlight w:val="lightGray"/>
          <w:lang w:val="cs-CZ" w:eastAsia="de-DE"/>
        </w:rPr>
        <w:t xml:space="preserve"> x</w:t>
      </w:r>
      <w:r w:rsidRPr="0028273C">
        <w:rPr>
          <w:szCs w:val="22"/>
          <w:highlight w:val="lightGray"/>
          <w:lang w:val="cs-CZ" w:eastAsia="de-DE"/>
        </w:rPr>
        <w:t xml:space="preserve"> </w:t>
      </w:r>
      <w:r>
        <w:rPr>
          <w:szCs w:val="22"/>
          <w:highlight w:val="lightGray"/>
          <w:lang w:val="cs-CZ" w:eastAsia="de-DE"/>
        </w:rPr>
        <w:t>(</w:t>
      </w:r>
      <w:proofErr w:type="spellStart"/>
      <w:r w:rsidRPr="0028273C">
        <w:rPr>
          <w:szCs w:val="22"/>
          <w:highlight w:val="lightGray"/>
          <w:lang w:val="cs-CZ" w:eastAsia="de-DE"/>
        </w:rPr>
        <w:t>Jivi</w:t>
      </w:r>
      <w:proofErr w:type="spellEnd"/>
      <w:r w:rsidRPr="0028273C">
        <w:rPr>
          <w:szCs w:val="22"/>
          <w:highlight w:val="lightGray"/>
          <w:lang w:val="cs-CZ" w:eastAsia="de-DE"/>
        </w:rPr>
        <w:t xml:space="preserve"> 1000</w:t>
      </w:r>
      <w:r w:rsidRPr="0028273C">
        <w:rPr>
          <w:szCs w:val="22"/>
          <w:highlight w:val="lightGray"/>
          <w:lang w:val="cs-CZ"/>
        </w:rPr>
        <w:t> </w:t>
      </w:r>
      <w:r w:rsidRPr="0028273C">
        <w:rPr>
          <w:szCs w:val="22"/>
          <w:highlight w:val="lightGray"/>
          <w:lang w:val="cs-CZ" w:eastAsia="de-DE"/>
        </w:rPr>
        <w:t>IU</w:t>
      </w:r>
      <w:r>
        <w:rPr>
          <w:szCs w:val="22"/>
          <w:highlight w:val="lightGray"/>
          <w:lang w:val="cs-CZ" w:eastAsia="de-DE"/>
        </w:rPr>
        <w:t>)</w:t>
      </w:r>
    </w:p>
    <w:p w14:paraId="7CCDAE28" w14:textId="77777777" w:rsidR="00A608CF" w:rsidRPr="0028273C" w:rsidRDefault="00A608CF" w:rsidP="00AC05C0">
      <w:pPr>
        <w:keepNext/>
        <w:tabs>
          <w:tab w:val="clear" w:pos="567"/>
        </w:tabs>
        <w:rPr>
          <w:szCs w:val="22"/>
          <w:highlight w:val="lightGray"/>
          <w:lang w:val="cs-CZ" w:eastAsia="de-DE"/>
        </w:rPr>
      </w:pPr>
      <w:r w:rsidRPr="002407BF">
        <w:rPr>
          <w:lang w:val="cs-CZ"/>
        </w:rPr>
        <w:t>EU</w:t>
      </w:r>
      <w:r w:rsidRPr="0028273C">
        <w:rPr>
          <w:lang w:val="cs-CZ"/>
        </w:rPr>
        <w:t>/</w:t>
      </w:r>
      <w:r>
        <w:rPr>
          <w:lang w:val="cs-CZ"/>
        </w:rPr>
        <w:t>1</w:t>
      </w:r>
      <w:r w:rsidRPr="0028273C">
        <w:rPr>
          <w:lang w:val="cs-CZ"/>
        </w:rPr>
        <w:t>/</w:t>
      </w:r>
      <w:r>
        <w:rPr>
          <w:lang w:val="cs-CZ"/>
        </w:rPr>
        <w:t>18</w:t>
      </w:r>
      <w:r w:rsidRPr="0028273C">
        <w:rPr>
          <w:lang w:val="cs-CZ"/>
        </w:rPr>
        <w:t>/</w:t>
      </w:r>
      <w:r>
        <w:rPr>
          <w:lang w:val="cs-CZ"/>
        </w:rPr>
        <w:t>132</w:t>
      </w:r>
      <w:r w:rsidRPr="002407BF">
        <w:rPr>
          <w:lang w:val="cs-CZ"/>
        </w:rPr>
        <w:t>4/</w:t>
      </w:r>
      <w:proofErr w:type="gramStart"/>
      <w:r w:rsidRPr="002407BF">
        <w:rPr>
          <w:szCs w:val="22"/>
          <w:lang w:val="cs-CZ" w:eastAsia="de-DE"/>
        </w:rPr>
        <w:t>009</w:t>
      </w:r>
      <w:r w:rsidRPr="0028273C">
        <w:rPr>
          <w:szCs w:val="22"/>
          <w:highlight w:val="lightGray"/>
          <w:lang w:val="cs-CZ" w:eastAsia="de-DE"/>
        </w:rPr>
        <w:t xml:space="preserve"> </w:t>
      </w:r>
      <w:r>
        <w:rPr>
          <w:szCs w:val="22"/>
          <w:highlight w:val="lightGray"/>
          <w:lang w:val="cs-CZ" w:eastAsia="de-DE"/>
        </w:rPr>
        <w:t>–</w:t>
      </w:r>
      <w:r w:rsidRPr="0028273C">
        <w:rPr>
          <w:szCs w:val="22"/>
          <w:highlight w:val="lightGray"/>
          <w:lang w:val="cs-CZ" w:eastAsia="de-DE"/>
        </w:rPr>
        <w:t xml:space="preserve"> </w:t>
      </w:r>
      <w:r>
        <w:rPr>
          <w:szCs w:val="22"/>
          <w:highlight w:val="lightGray"/>
          <w:lang w:val="cs-CZ" w:eastAsia="de-DE"/>
        </w:rPr>
        <w:t>30</w:t>
      </w:r>
      <w:proofErr w:type="gramEnd"/>
      <w:r>
        <w:rPr>
          <w:szCs w:val="22"/>
          <w:highlight w:val="lightGray"/>
          <w:lang w:val="cs-CZ" w:eastAsia="de-DE"/>
        </w:rPr>
        <w:t xml:space="preserve"> x (</w:t>
      </w:r>
      <w:proofErr w:type="spellStart"/>
      <w:r w:rsidRPr="0028273C">
        <w:rPr>
          <w:szCs w:val="22"/>
          <w:highlight w:val="lightGray"/>
          <w:lang w:val="cs-CZ" w:eastAsia="de-DE"/>
        </w:rPr>
        <w:t>Jivi</w:t>
      </w:r>
      <w:proofErr w:type="spellEnd"/>
      <w:r w:rsidRPr="0028273C">
        <w:rPr>
          <w:szCs w:val="22"/>
          <w:highlight w:val="lightGray"/>
          <w:lang w:val="cs-CZ" w:eastAsia="de-DE"/>
        </w:rPr>
        <w:t xml:space="preserve"> 2000</w:t>
      </w:r>
      <w:r w:rsidRPr="0028273C">
        <w:rPr>
          <w:szCs w:val="22"/>
          <w:highlight w:val="lightGray"/>
          <w:lang w:val="cs-CZ"/>
        </w:rPr>
        <w:t> </w:t>
      </w:r>
      <w:r w:rsidRPr="0028273C">
        <w:rPr>
          <w:szCs w:val="22"/>
          <w:highlight w:val="lightGray"/>
          <w:lang w:val="cs-CZ" w:eastAsia="de-DE"/>
        </w:rPr>
        <w:t>IU</w:t>
      </w:r>
      <w:r>
        <w:rPr>
          <w:szCs w:val="22"/>
          <w:highlight w:val="lightGray"/>
          <w:lang w:val="cs-CZ" w:eastAsia="de-DE"/>
        </w:rPr>
        <w:t>)</w:t>
      </w:r>
    </w:p>
    <w:p w14:paraId="799F21EC" w14:textId="77777777" w:rsidR="00A608CF" w:rsidRPr="0028273C" w:rsidRDefault="00A608CF" w:rsidP="00AC05C0">
      <w:pPr>
        <w:keepNext/>
        <w:tabs>
          <w:tab w:val="clear" w:pos="567"/>
        </w:tabs>
        <w:rPr>
          <w:szCs w:val="22"/>
          <w:lang w:val="cs-CZ"/>
        </w:rPr>
      </w:pPr>
      <w:r w:rsidRPr="002407BF">
        <w:rPr>
          <w:lang w:val="cs-CZ"/>
        </w:rPr>
        <w:t>EU</w:t>
      </w:r>
      <w:r w:rsidRPr="0028273C">
        <w:rPr>
          <w:lang w:val="cs-CZ"/>
        </w:rPr>
        <w:t>/</w:t>
      </w:r>
      <w:r>
        <w:rPr>
          <w:lang w:val="cs-CZ"/>
        </w:rPr>
        <w:t>1</w:t>
      </w:r>
      <w:r w:rsidRPr="0028273C">
        <w:rPr>
          <w:lang w:val="cs-CZ"/>
        </w:rPr>
        <w:t>/</w:t>
      </w:r>
      <w:r>
        <w:rPr>
          <w:lang w:val="cs-CZ"/>
        </w:rPr>
        <w:t>18</w:t>
      </w:r>
      <w:r w:rsidRPr="002407BF">
        <w:rPr>
          <w:lang w:val="cs-CZ"/>
        </w:rPr>
        <w:t>/1324/</w:t>
      </w:r>
      <w:proofErr w:type="gramStart"/>
      <w:r w:rsidRPr="002407BF">
        <w:rPr>
          <w:szCs w:val="22"/>
          <w:lang w:val="cs-CZ" w:eastAsia="de-DE"/>
        </w:rPr>
        <w:t>010</w:t>
      </w:r>
      <w:r w:rsidRPr="0028273C">
        <w:rPr>
          <w:szCs w:val="22"/>
          <w:highlight w:val="lightGray"/>
          <w:lang w:val="cs-CZ" w:eastAsia="de-DE"/>
        </w:rPr>
        <w:t xml:space="preserve"> </w:t>
      </w:r>
      <w:r>
        <w:rPr>
          <w:szCs w:val="22"/>
          <w:highlight w:val="lightGray"/>
          <w:lang w:val="cs-CZ" w:eastAsia="de-DE"/>
        </w:rPr>
        <w:t>–</w:t>
      </w:r>
      <w:r w:rsidRPr="0028273C">
        <w:rPr>
          <w:szCs w:val="22"/>
          <w:highlight w:val="lightGray"/>
          <w:lang w:val="cs-CZ" w:eastAsia="de-DE"/>
        </w:rPr>
        <w:t xml:space="preserve"> </w:t>
      </w:r>
      <w:r>
        <w:rPr>
          <w:szCs w:val="22"/>
          <w:highlight w:val="lightGray"/>
          <w:lang w:val="cs-CZ" w:eastAsia="de-DE"/>
        </w:rPr>
        <w:t>30</w:t>
      </w:r>
      <w:proofErr w:type="gramEnd"/>
      <w:r>
        <w:rPr>
          <w:szCs w:val="22"/>
          <w:highlight w:val="lightGray"/>
          <w:lang w:val="cs-CZ" w:eastAsia="de-DE"/>
        </w:rPr>
        <w:t xml:space="preserve"> x (</w:t>
      </w:r>
      <w:proofErr w:type="spellStart"/>
      <w:r w:rsidRPr="0028273C">
        <w:rPr>
          <w:szCs w:val="22"/>
          <w:highlight w:val="lightGray"/>
          <w:lang w:val="cs-CZ" w:eastAsia="de-DE"/>
        </w:rPr>
        <w:t>Jivi</w:t>
      </w:r>
      <w:proofErr w:type="spellEnd"/>
      <w:r w:rsidRPr="0028273C">
        <w:rPr>
          <w:szCs w:val="22"/>
          <w:highlight w:val="lightGray"/>
          <w:lang w:val="cs-CZ" w:eastAsia="de-DE"/>
        </w:rPr>
        <w:t xml:space="preserve"> 3000</w:t>
      </w:r>
      <w:r w:rsidRPr="0028273C">
        <w:rPr>
          <w:szCs w:val="22"/>
          <w:highlight w:val="lightGray"/>
          <w:lang w:val="cs-CZ"/>
        </w:rPr>
        <w:t> </w:t>
      </w:r>
      <w:r w:rsidRPr="0028273C">
        <w:rPr>
          <w:szCs w:val="22"/>
          <w:highlight w:val="lightGray"/>
          <w:lang w:val="cs-CZ" w:eastAsia="de-DE"/>
        </w:rPr>
        <w:t>IU</w:t>
      </w:r>
      <w:r w:rsidRPr="00CF611B">
        <w:rPr>
          <w:szCs w:val="22"/>
          <w:highlight w:val="lightGray"/>
          <w:lang w:val="cs-CZ" w:eastAsia="de-DE"/>
        </w:rPr>
        <w:t>)</w:t>
      </w:r>
    </w:p>
    <w:p w14:paraId="29D91EC6" w14:textId="77777777" w:rsidR="002E08C2" w:rsidRDefault="002E08C2" w:rsidP="002E08C2">
      <w:pPr>
        <w:keepNext/>
        <w:tabs>
          <w:tab w:val="clear" w:pos="567"/>
        </w:tabs>
        <w:rPr>
          <w:szCs w:val="22"/>
          <w:lang w:val="cs-CZ" w:eastAsia="de-DE"/>
        </w:rPr>
      </w:pPr>
      <w:r w:rsidRPr="002407BF">
        <w:rPr>
          <w:lang w:val="cs-CZ"/>
        </w:rPr>
        <w:t>EU</w:t>
      </w:r>
      <w:r w:rsidRPr="0028273C">
        <w:rPr>
          <w:lang w:val="cs-CZ"/>
        </w:rPr>
        <w:t>/</w:t>
      </w:r>
      <w:r>
        <w:rPr>
          <w:lang w:val="cs-CZ"/>
        </w:rPr>
        <w:t>1</w:t>
      </w:r>
      <w:r w:rsidRPr="0028273C">
        <w:rPr>
          <w:lang w:val="cs-CZ"/>
        </w:rPr>
        <w:t>/</w:t>
      </w:r>
      <w:r>
        <w:rPr>
          <w:lang w:val="cs-CZ"/>
        </w:rPr>
        <w:t>18</w:t>
      </w:r>
      <w:r w:rsidRPr="002407BF">
        <w:rPr>
          <w:lang w:val="cs-CZ"/>
        </w:rPr>
        <w:t>/1324/</w:t>
      </w:r>
      <w:proofErr w:type="gramStart"/>
      <w:r>
        <w:rPr>
          <w:lang w:val="cs-CZ"/>
        </w:rPr>
        <w:t>011</w:t>
      </w:r>
      <w:r w:rsidRPr="0028273C">
        <w:rPr>
          <w:szCs w:val="22"/>
          <w:highlight w:val="lightGray"/>
          <w:lang w:val="cs-CZ" w:eastAsia="de-DE"/>
        </w:rPr>
        <w:t xml:space="preserve"> </w:t>
      </w:r>
      <w:r>
        <w:rPr>
          <w:szCs w:val="22"/>
          <w:highlight w:val="lightGray"/>
          <w:lang w:val="cs-CZ" w:eastAsia="de-DE"/>
        </w:rPr>
        <w:t>–</w:t>
      </w:r>
      <w:r w:rsidRPr="0028273C">
        <w:rPr>
          <w:szCs w:val="22"/>
          <w:highlight w:val="lightGray"/>
          <w:lang w:val="cs-CZ" w:eastAsia="de-DE"/>
        </w:rPr>
        <w:t xml:space="preserve"> </w:t>
      </w:r>
      <w:r>
        <w:rPr>
          <w:szCs w:val="22"/>
          <w:highlight w:val="lightGray"/>
          <w:lang w:val="cs-CZ" w:eastAsia="de-DE"/>
        </w:rPr>
        <w:t>1</w:t>
      </w:r>
      <w:proofErr w:type="gramEnd"/>
      <w:r>
        <w:rPr>
          <w:szCs w:val="22"/>
          <w:highlight w:val="lightGray"/>
          <w:lang w:val="cs-CZ" w:eastAsia="de-DE"/>
        </w:rPr>
        <w:t xml:space="preserve"> x (</w:t>
      </w:r>
      <w:proofErr w:type="spellStart"/>
      <w:r w:rsidRPr="0028273C">
        <w:rPr>
          <w:szCs w:val="22"/>
          <w:highlight w:val="lightGray"/>
          <w:lang w:val="cs-CZ" w:eastAsia="de-DE"/>
        </w:rPr>
        <w:t>Jivi</w:t>
      </w:r>
      <w:proofErr w:type="spellEnd"/>
      <w:r w:rsidRPr="0028273C">
        <w:rPr>
          <w:szCs w:val="22"/>
          <w:highlight w:val="lightGray"/>
          <w:lang w:val="cs-CZ" w:eastAsia="de-DE"/>
        </w:rPr>
        <w:t xml:space="preserve"> </w:t>
      </w:r>
      <w:r>
        <w:rPr>
          <w:szCs w:val="22"/>
          <w:highlight w:val="lightGray"/>
          <w:lang w:val="cs-CZ" w:eastAsia="de-DE"/>
        </w:rPr>
        <w:t>4</w:t>
      </w:r>
      <w:r w:rsidRPr="0028273C">
        <w:rPr>
          <w:szCs w:val="22"/>
          <w:highlight w:val="lightGray"/>
          <w:lang w:val="cs-CZ" w:eastAsia="de-DE"/>
        </w:rPr>
        <w:t>000</w:t>
      </w:r>
      <w:r w:rsidRPr="0028273C">
        <w:rPr>
          <w:szCs w:val="22"/>
          <w:highlight w:val="lightGray"/>
          <w:lang w:val="cs-CZ"/>
        </w:rPr>
        <w:t> </w:t>
      </w:r>
      <w:r w:rsidRPr="0028273C">
        <w:rPr>
          <w:szCs w:val="22"/>
          <w:highlight w:val="lightGray"/>
          <w:lang w:val="cs-CZ" w:eastAsia="de-DE"/>
        </w:rPr>
        <w:t>IU</w:t>
      </w:r>
      <w:r w:rsidRPr="00762F50">
        <w:rPr>
          <w:szCs w:val="22"/>
          <w:highlight w:val="lightGray"/>
          <w:lang w:val="cs-CZ" w:eastAsia="de-DE"/>
        </w:rPr>
        <w:t>)</w:t>
      </w:r>
    </w:p>
    <w:p w14:paraId="097E6720" w14:textId="77777777" w:rsidR="002E08C2" w:rsidRPr="0028273C" w:rsidRDefault="002E08C2" w:rsidP="002E08C2">
      <w:pPr>
        <w:tabs>
          <w:tab w:val="clear" w:pos="567"/>
        </w:tabs>
        <w:rPr>
          <w:szCs w:val="22"/>
          <w:lang w:val="cs-CZ"/>
        </w:rPr>
      </w:pPr>
      <w:r w:rsidRPr="005B1F5C">
        <w:rPr>
          <w:rFonts w:cs="Verdana"/>
          <w:color w:val="000000"/>
          <w:lang w:val="fr-FR"/>
        </w:rPr>
        <w:t>EU/1/18/1324/</w:t>
      </w:r>
      <w:r>
        <w:rPr>
          <w:rFonts w:cs="Verdana"/>
          <w:color w:val="000000"/>
          <w:lang w:val="fr-FR"/>
        </w:rPr>
        <w:t>012</w:t>
      </w:r>
      <w:r w:rsidRPr="005B1F5C">
        <w:rPr>
          <w:rFonts w:cs="Verdana"/>
          <w:color w:val="000000"/>
          <w:highlight w:val="lightGray"/>
          <w:lang w:val="fr-FR"/>
        </w:rPr>
        <w:t xml:space="preserve"> </w:t>
      </w:r>
      <w:r w:rsidRPr="00584A5C">
        <w:rPr>
          <w:szCs w:val="22"/>
          <w:highlight w:val="lightGray"/>
          <w:lang w:val="cs-CZ" w:eastAsia="de-DE"/>
        </w:rPr>
        <w:t>- 30 x (</w:t>
      </w:r>
      <w:proofErr w:type="spellStart"/>
      <w:r w:rsidRPr="00584A5C">
        <w:rPr>
          <w:szCs w:val="22"/>
          <w:highlight w:val="lightGray"/>
          <w:lang w:val="cs-CZ" w:eastAsia="de-DE"/>
        </w:rPr>
        <w:t>Jivi</w:t>
      </w:r>
      <w:proofErr w:type="spellEnd"/>
      <w:r w:rsidRPr="00584A5C">
        <w:rPr>
          <w:szCs w:val="22"/>
          <w:highlight w:val="lightGray"/>
          <w:lang w:val="cs-CZ" w:eastAsia="de-DE"/>
        </w:rPr>
        <w:t xml:space="preserve"> 4000</w:t>
      </w:r>
      <w:r w:rsidRPr="00584A5C">
        <w:rPr>
          <w:szCs w:val="22"/>
          <w:highlight w:val="lightGray"/>
          <w:lang w:val="cs-CZ"/>
        </w:rPr>
        <w:t> </w:t>
      </w:r>
      <w:r w:rsidRPr="00584A5C">
        <w:rPr>
          <w:szCs w:val="22"/>
          <w:highlight w:val="lightGray"/>
          <w:lang w:val="cs-CZ" w:eastAsia="de-DE"/>
        </w:rPr>
        <w:t>IU)</w:t>
      </w:r>
    </w:p>
    <w:p w14:paraId="68E5626D" w14:textId="77777777" w:rsidR="00A608CF" w:rsidRPr="0028273C" w:rsidRDefault="00A608CF" w:rsidP="00735457">
      <w:pPr>
        <w:tabs>
          <w:tab w:val="clear" w:pos="567"/>
        </w:tabs>
        <w:rPr>
          <w:szCs w:val="22"/>
          <w:lang w:val="cs-CZ"/>
        </w:rPr>
      </w:pPr>
    </w:p>
    <w:p w14:paraId="42FDEE00" w14:textId="77777777" w:rsidR="00DD6503" w:rsidRPr="0028273C" w:rsidRDefault="00DD6503" w:rsidP="00735457">
      <w:pPr>
        <w:tabs>
          <w:tab w:val="clear" w:pos="567"/>
        </w:tabs>
        <w:rPr>
          <w:szCs w:val="22"/>
          <w:lang w:val="cs-CZ"/>
        </w:rPr>
      </w:pPr>
    </w:p>
    <w:p w14:paraId="22A06040" w14:textId="77777777" w:rsidR="000D2CD1" w:rsidRPr="0028273C" w:rsidRDefault="000D2CD1" w:rsidP="00735457">
      <w:pPr>
        <w:tabs>
          <w:tab w:val="clear" w:pos="567"/>
        </w:tabs>
        <w:rPr>
          <w:szCs w:val="22"/>
          <w:lang w:val="cs-CZ"/>
        </w:rPr>
      </w:pPr>
    </w:p>
    <w:p w14:paraId="7D994074" w14:textId="77777777" w:rsidR="00DD6503" w:rsidRPr="0028273C" w:rsidRDefault="00DD6503" w:rsidP="00FA1963">
      <w:pPr>
        <w:keepNext/>
        <w:keepLines/>
        <w:tabs>
          <w:tab w:val="clear" w:pos="567"/>
        </w:tabs>
        <w:ind w:left="567" w:hanging="567"/>
        <w:outlineLvl w:val="1"/>
        <w:rPr>
          <w:b/>
          <w:szCs w:val="22"/>
          <w:lang w:val="cs-CZ"/>
        </w:rPr>
      </w:pPr>
      <w:r w:rsidRPr="0028273C">
        <w:rPr>
          <w:b/>
          <w:szCs w:val="22"/>
          <w:lang w:val="cs-CZ"/>
        </w:rPr>
        <w:t>9.</w:t>
      </w:r>
      <w:r w:rsidRPr="0028273C">
        <w:rPr>
          <w:b/>
          <w:szCs w:val="22"/>
          <w:lang w:val="cs-CZ"/>
        </w:rPr>
        <w:tab/>
      </w:r>
      <w:r w:rsidR="001A766F" w:rsidRPr="0028273C">
        <w:rPr>
          <w:b/>
          <w:lang w:val="cs-CZ"/>
        </w:rPr>
        <w:t>DATUM PRVNÍ REGISTRACE/PRODLOUŽENÍ REGISTRACE</w:t>
      </w:r>
    </w:p>
    <w:p w14:paraId="7B4A8DBC" w14:textId="77777777" w:rsidR="00E713CB" w:rsidRPr="0028273C" w:rsidRDefault="00E713CB" w:rsidP="00735457">
      <w:pPr>
        <w:keepNext/>
        <w:keepLines/>
        <w:tabs>
          <w:tab w:val="clear" w:pos="567"/>
        </w:tabs>
        <w:ind w:left="567" w:hanging="567"/>
        <w:rPr>
          <w:szCs w:val="22"/>
          <w:lang w:val="cs-CZ"/>
        </w:rPr>
      </w:pPr>
    </w:p>
    <w:p w14:paraId="762C5F34" w14:textId="77777777" w:rsidR="00DD6503" w:rsidRDefault="00567A12" w:rsidP="00735457">
      <w:pPr>
        <w:tabs>
          <w:tab w:val="clear" w:pos="567"/>
        </w:tabs>
        <w:rPr>
          <w:szCs w:val="22"/>
          <w:lang w:val="cs-CZ"/>
        </w:rPr>
      </w:pPr>
      <w:r>
        <w:rPr>
          <w:szCs w:val="22"/>
          <w:lang w:val="cs-CZ"/>
        </w:rPr>
        <w:t xml:space="preserve">Datum první registrace: </w:t>
      </w:r>
      <w:r w:rsidR="00A608CF">
        <w:rPr>
          <w:szCs w:val="22"/>
          <w:lang w:val="cs-CZ"/>
        </w:rPr>
        <w:t>22.</w:t>
      </w:r>
      <w:r w:rsidR="009D74B3">
        <w:rPr>
          <w:szCs w:val="22"/>
          <w:lang w:val="cs-CZ"/>
        </w:rPr>
        <w:t xml:space="preserve"> </w:t>
      </w:r>
      <w:r w:rsidR="00A608CF">
        <w:rPr>
          <w:szCs w:val="22"/>
          <w:lang w:val="cs-CZ"/>
        </w:rPr>
        <w:t>listopad</w:t>
      </w:r>
      <w:r w:rsidR="001B6FBA">
        <w:rPr>
          <w:szCs w:val="22"/>
          <w:lang w:val="cs-CZ"/>
        </w:rPr>
        <w:t>u</w:t>
      </w:r>
      <w:r w:rsidR="00A608CF">
        <w:rPr>
          <w:szCs w:val="22"/>
          <w:lang w:val="cs-CZ"/>
        </w:rPr>
        <w:t xml:space="preserve"> 2018</w:t>
      </w:r>
    </w:p>
    <w:p w14:paraId="601F19C5" w14:textId="333F91F0" w:rsidR="00040E7A" w:rsidRDefault="00040E7A" w:rsidP="00735457">
      <w:pPr>
        <w:tabs>
          <w:tab w:val="clear" w:pos="567"/>
        </w:tabs>
        <w:rPr>
          <w:noProof/>
          <w:szCs w:val="22"/>
          <w:lang w:val="cs-CZ"/>
        </w:rPr>
      </w:pPr>
      <w:r w:rsidRPr="00DA5B94">
        <w:rPr>
          <w:noProof/>
          <w:szCs w:val="22"/>
          <w:lang w:val="cs-CZ"/>
        </w:rPr>
        <w:t>Datum posledního prodloužení registrace:</w:t>
      </w:r>
      <w:r w:rsidR="00255E5B">
        <w:rPr>
          <w:noProof/>
          <w:szCs w:val="22"/>
          <w:lang w:val="cs-CZ"/>
        </w:rPr>
        <w:t xml:space="preserve"> 23. června 2023</w:t>
      </w:r>
    </w:p>
    <w:p w14:paraId="5C1A024B" w14:textId="77777777" w:rsidR="00D4603B" w:rsidRPr="0028273C" w:rsidRDefault="00D4603B" w:rsidP="00735457">
      <w:pPr>
        <w:tabs>
          <w:tab w:val="clear" w:pos="567"/>
        </w:tabs>
        <w:rPr>
          <w:szCs w:val="22"/>
          <w:lang w:val="cs-CZ"/>
        </w:rPr>
      </w:pPr>
    </w:p>
    <w:p w14:paraId="1F4D3C1D" w14:textId="77777777" w:rsidR="00640E19" w:rsidRPr="0028273C" w:rsidRDefault="00640E19" w:rsidP="00735457">
      <w:pPr>
        <w:tabs>
          <w:tab w:val="clear" w:pos="567"/>
        </w:tabs>
        <w:rPr>
          <w:szCs w:val="22"/>
          <w:lang w:val="cs-CZ"/>
        </w:rPr>
      </w:pPr>
    </w:p>
    <w:p w14:paraId="7107DF80" w14:textId="77777777" w:rsidR="00DD6503" w:rsidRPr="0028273C" w:rsidRDefault="00DD6503" w:rsidP="00FA1963">
      <w:pPr>
        <w:keepNext/>
        <w:keepLines/>
        <w:tabs>
          <w:tab w:val="clear" w:pos="567"/>
        </w:tabs>
        <w:ind w:left="567" w:hanging="567"/>
        <w:outlineLvl w:val="1"/>
        <w:rPr>
          <w:b/>
          <w:szCs w:val="22"/>
          <w:lang w:val="cs-CZ"/>
        </w:rPr>
      </w:pPr>
      <w:r w:rsidRPr="0028273C">
        <w:rPr>
          <w:b/>
          <w:szCs w:val="22"/>
          <w:lang w:val="cs-CZ"/>
        </w:rPr>
        <w:t>10.</w:t>
      </w:r>
      <w:r w:rsidRPr="0028273C">
        <w:rPr>
          <w:b/>
          <w:szCs w:val="22"/>
          <w:lang w:val="cs-CZ"/>
        </w:rPr>
        <w:tab/>
      </w:r>
      <w:r w:rsidR="001A766F" w:rsidRPr="0028273C">
        <w:rPr>
          <w:b/>
          <w:lang w:val="cs-CZ"/>
        </w:rPr>
        <w:t>DATUM REVIZE TEXTU</w:t>
      </w:r>
    </w:p>
    <w:p w14:paraId="56162FD4" w14:textId="6EE0131F" w:rsidR="00DD6503" w:rsidRDefault="00E435D7" w:rsidP="00735457">
      <w:pPr>
        <w:keepNext/>
        <w:keepLines/>
        <w:tabs>
          <w:tab w:val="clear" w:pos="567"/>
        </w:tabs>
        <w:rPr>
          <w:szCs w:val="22"/>
        </w:rPr>
      </w:pPr>
      <w:r w:rsidRPr="00E435D7">
        <w:rPr>
          <w:szCs w:val="22"/>
        </w:rPr>
        <w:t>25.6.2025</w:t>
      </w:r>
    </w:p>
    <w:p w14:paraId="4733B281" w14:textId="77777777" w:rsidR="00E435D7" w:rsidRPr="0028273C" w:rsidRDefault="00E435D7" w:rsidP="00735457">
      <w:pPr>
        <w:keepNext/>
        <w:keepLines/>
        <w:tabs>
          <w:tab w:val="clear" w:pos="567"/>
        </w:tabs>
        <w:rPr>
          <w:szCs w:val="22"/>
          <w:lang w:val="cs-CZ"/>
        </w:rPr>
      </w:pPr>
    </w:p>
    <w:p w14:paraId="2C35BB72" w14:textId="2B80D595" w:rsidR="001A766F" w:rsidRPr="0028273C" w:rsidRDefault="001A766F" w:rsidP="00735457">
      <w:pPr>
        <w:rPr>
          <w:noProof/>
          <w:szCs w:val="22"/>
          <w:lang w:val="cs-CZ"/>
        </w:rPr>
      </w:pPr>
      <w:r w:rsidRPr="0028273C">
        <w:rPr>
          <w:noProof/>
          <w:lang w:val="cs-CZ"/>
        </w:rPr>
        <w:t>Podrobné informace o tomto léčivém přípravku jsou k dispozici na webových stránkách Evropské agentury pro léčivé přípravky</w:t>
      </w:r>
      <w:r w:rsidRPr="0028273C">
        <w:rPr>
          <w:noProof/>
          <w:szCs w:val="22"/>
          <w:lang w:val="cs-CZ"/>
        </w:rPr>
        <w:t xml:space="preserve"> </w:t>
      </w:r>
      <w:hyperlink r:id="rId25" w:history="1">
        <w:r w:rsidR="001D3564" w:rsidRPr="001D3564">
          <w:rPr>
            <w:rStyle w:val="Hypertextovodkaz"/>
            <w:szCs w:val="22"/>
            <w:lang w:val="cs-CZ"/>
          </w:rPr>
          <w:t>https://www.ema.europa.eu</w:t>
        </w:r>
      </w:hyperlink>
      <w:r w:rsidRPr="0028273C">
        <w:rPr>
          <w:noProof/>
          <w:szCs w:val="22"/>
          <w:lang w:val="cs-CZ"/>
        </w:rPr>
        <w:t>.</w:t>
      </w:r>
    </w:p>
    <w:p w14:paraId="2464DFAE" w14:textId="77777777" w:rsidR="00DD6503" w:rsidRPr="0028273C" w:rsidRDefault="00DD6503" w:rsidP="00735457">
      <w:pPr>
        <w:tabs>
          <w:tab w:val="clear" w:pos="567"/>
        </w:tabs>
        <w:rPr>
          <w:lang w:val="cs-CZ"/>
        </w:rPr>
      </w:pPr>
    </w:p>
    <w:p w14:paraId="4CE5D2D4" w14:textId="4B0AE674" w:rsidR="005D329A" w:rsidRDefault="005D329A" w:rsidP="0022487C">
      <w:pPr>
        <w:rPr>
          <w:b/>
          <w:lang w:val="cs-CZ"/>
        </w:rPr>
      </w:pPr>
      <w:bookmarkStart w:id="2" w:name="page_total_master7"/>
      <w:bookmarkStart w:id="3" w:name="page_total"/>
      <w:bookmarkEnd w:id="2"/>
      <w:bookmarkEnd w:id="3"/>
    </w:p>
    <w:sectPr w:rsidR="005D329A">
      <w:footerReference w:type="even" r:id="rId26"/>
      <w:footerReference w:type="default" r:id="rId27"/>
      <w:endnotePr>
        <w:numFmt w:val="decimal"/>
      </w:endnotePr>
      <w:type w:val="oddPage"/>
      <w:pgSz w:w="11907" w:h="16840" w:code="9"/>
      <w:pgMar w:top="1134" w:right="1418" w:bottom="1134" w:left="1418" w:header="737" w:footer="737"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39A45" w14:textId="77777777" w:rsidR="00793EDA" w:rsidRDefault="00793EDA">
      <w:r>
        <w:separator/>
      </w:r>
    </w:p>
  </w:endnote>
  <w:endnote w:type="continuationSeparator" w:id="0">
    <w:p w14:paraId="148FB1D3" w14:textId="77777777" w:rsidR="00793EDA" w:rsidRDefault="00793EDA">
      <w:r>
        <w:continuationSeparator/>
      </w:r>
    </w:p>
  </w:endnote>
  <w:endnote w:type="continuationNotice" w:id="1">
    <w:p w14:paraId="579A2960" w14:textId="77777777" w:rsidR="00793EDA" w:rsidRDefault="00793E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0F72E" w14:textId="77777777" w:rsidR="00EC26E4" w:rsidRDefault="00EC26E4">
    <w:pPr>
      <w:framePr w:wrap="around" w:vAnchor="text" w:hAnchor="margin" w:xAlign="center" w:y="1"/>
    </w:pPr>
  </w:p>
  <w:p w14:paraId="77C76ADC" w14:textId="77777777" w:rsidR="00EC26E4" w:rsidRDefault="00EC26E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A032A" w14:textId="77777777" w:rsidR="00EC26E4" w:rsidRPr="000B5C7F" w:rsidRDefault="00EC26E4" w:rsidP="000B5C7F">
    <w:pPr>
      <w:pStyle w:val="Zpat"/>
      <w:jc w:val="center"/>
      <w:rPr>
        <w:rFonts w:ascii="Arial" w:hAnsi="Arial" w:cs="Arial"/>
        <w:sz w:val="16"/>
        <w:szCs w:val="16"/>
      </w:rPr>
    </w:pPr>
    <w:r w:rsidRPr="000B5C7F">
      <w:rPr>
        <w:rFonts w:ascii="Arial" w:hAnsi="Arial" w:cs="Arial"/>
        <w:sz w:val="16"/>
        <w:szCs w:val="16"/>
      </w:rPr>
      <w:fldChar w:fldCharType="begin"/>
    </w:r>
    <w:r w:rsidRPr="000B5C7F">
      <w:rPr>
        <w:rFonts w:ascii="Arial" w:hAnsi="Arial" w:cs="Arial"/>
        <w:sz w:val="16"/>
        <w:szCs w:val="16"/>
      </w:rPr>
      <w:instrText>PAGE   \* MERGEFORMAT</w:instrText>
    </w:r>
    <w:r w:rsidRPr="000B5C7F">
      <w:rPr>
        <w:rFonts w:ascii="Arial" w:hAnsi="Arial" w:cs="Arial"/>
        <w:sz w:val="16"/>
        <w:szCs w:val="16"/>
      </w:rPr>
      <w:fldChar w:fldCharType="separate"/>
    </w:r>
    <w:r>
      <w:rPr>
        <w:rFonts w:ascii="Arial" w:hAnsi="Arial" w:cs="Arial"/>
        <w:noProof/>
        <w:sz w:val="16"/>
        <w:szCs w:val="16"/>
      </w:rPr>
      <w:t>81</w:t>
    </w:r>
    <w:r w:rsidRPr="000B5C7F">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82B7A" w14:textId="77777777" w:rsidR="00793EDA" w:rsidRDefault="00793EDA">
      <w:r>
        <w:separator/>
      </w:r>
    </w:p>
  </w:footnote>
  <w:footnote w:type="continuationSeparator" w:id="0">
    <w:p w14:paraId="77DC7C5C" w14:textId="77777777" w:rsidR="00793EDA" w:rsidRDefault="00793EDA">
      <w:r>
        <w:continuationSeparator/>
      </w:r>
    </w:p>
  </w:footnote>
  <w:footnote w:type="continuationNotice" w:id="1">
    <w:p w14:paraId="546AD7F0" w14:textId="77777777" w:rsidR="00793EDA" w:rsidRDefault="00793E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54F5D0"/>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A116760C"/>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426C9FAA"/>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BC5CDE"/>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DE6C668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ECD2F8"/>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8C0EEC"/>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CFC02"/>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C64CB2"/>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BEC05516"/>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9E6CA3"/>
    <w:multiLevelType w:val="hybridMultilevel"/>
    <w:tmpl w:val="FFBEDD02"/>
    <w:lvl w:ilvl="0" w:tplc="FFFFFFFF">
      <w:start w:val="1"/>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1BE7660"/>
    <w:multiLevelType w:val="hybridMultilevel"/>
    <w:tmpl w:val="3BCEA7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32C5D87"/>
    <w:multiLevelType w:val="hybridMultilevel"/>
    <w:tmpl w:val="AA54F5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4277AF3"/>
    <w:multiLevelType w:val="singleLevel"/>
    <w:tmpl w:val="2FDA33E8"/>
    <w:lvl w:ilvl="0">
      <w:start w:val="1"/>
      <w:numFmt w:val="upperLetter"/>
      <w:lvlText w:val="%1."/>
      <w:legacy w:legacy="1" w:legacySpace="0" w:legacyIndent="360"/>
      <w:lvlJc w:val="left"/>
      <w:pPr>
        <w:ind w:left="1494" w:hanging="360"/>
      </w:pPr>
    </w:lvl>
  </w:abstractNum>
  <w:abstractNum w:abstractNumId="15" w15:restartNumberingAfterBreak="0">
    <w:nsid w:val="083915F8"/>
    <w:multiLevelType w:val="hybridMultilevel"/>
    <w:tmpl w:val="FE603A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9010A24"/>
    <w:multiLevelType w:val="hybridMultilevel"/>
    <w:tmpl w:val="8E7235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09110A94"/>
    <w:multiLevelType w:val="hybridMultilevel"/>
    <w:tmpl w:val="022A69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9832427"/>
    <w:multiLevelType w:val="hybridMultilevel"/>
    <w:tmpl w:val="5DB2E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09BF181A"/>
    <w:multiLevelType w:val="singleLevel"/>
    <w:tmpl w:val="0407000F"/>
    <w:lvl w:ilvl="0">
      <w:start w:val="1"/>
      <w:numFmt w:val="decimal"/>
      <w:lvlText w:val="%1."/>
      <w:lvlJc w:val="left"/>
      <w:pPr>
        <w:tabs>
          <w:tab w:val="num" w:pos="360"/>
        </w:tabs>
        <w:ind w:left="360" w:hanging="360"/>
      </w:pPr>
    </w:lvl>
  </w:abstractNum>
  <w:abstractNum w:abstractNumId="20"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9DC732A"/>
    <w:multiLevelType w:val="hybridMultilevel"/>
    <w:tmpl w:val="C4FA4F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0B171F19"/>
    <w:multiLevelType w:val="hybridMultilevel"/>
    <w:tmpl w:val="8A74F754"/>
    <w:lvl w:ilvl="0" w:tplc="0409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0DC60567"/>
    <w:multiLevelType w:val="hybridMultilevel"/>
    <w:tmpl w:val="BC082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0F431E81"/>
    <w:multiLevelType w:val="hybridMultilevel"/>
    <w:tmpl w:val="D9AE70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0F5A2747"/>
    <w:multiLevelType w:val="hybridMultilevel"/>
    <w:tmpl w:val="3BA20BB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113002B8"/>
    <w:multiLevelType w:val="hybridMultilevel"/>
    <w:tmpl w:val="7466EA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11F10E75"/>
    <w:multiLevelType w:val="hybridMultilevel"/>
    <w:tmpl w:val="B57A8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12265EC8"/>
    <w:multiLevelType w:val="hybridMultilevel"/>
    <w:tmpl w:val="C74069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14E67AA8"/>
    <w:multiLevelType w:val="hybridMultilevel"/>
    <w:tmpl w:val="81A2B2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15D13A11"/>
    <w:multiLevelType w:val="hybridMultilevel"/>
    <w:tmpl w:val="B2DC2736"/>
    <w:lvl w:ilvl="0" w:tplc="26B65C4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17746191"/>
    <w:multiLevelType w:val="hybridMultilevel"/>
    <w:tmpl w:val="9CC2279C"/>
    <w:lvl w:ilvl="0" w:tplc="638E9B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78B75B9"/>
    <w:multiLevelType w:val="hybridMultilevel"/>
    <w:tmpl w:val="3C420EF8"/>
    <w:lvl w:ilvl="0" w:tplc="04070001">
      <w:start w:val="1"/>
      <w:numFmt w:val="bullet"/>
      <w:lvlText w:val=""/>
      <w:lvlJc w:val="left"/>
      <w:pPr>
        <w:ind w:left="930" w:hanging="5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194F2131"/>
    <w:multiLevelType w:val="hybridMultilevel"/>
    <w:tmpl w:val="9CD4EF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9E2191B"/>
    <w:multiLevelType w:val="hybridMultilevel"/>
    <w:tmpl w:val="AB427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CFC253F"/>
    <w:multiLevelType w:val="hybridMultilevel"/>
    <w:tmpl w:val="1C30B8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1DBE2B9B"/>
    <w:multiLevelType w:val="hybridMultilevel"/>
    <w:tmpl w:val="366896B2"/>
    <w:lvl w:ilvl="0" w:tplc="4606C12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F386005"/>
    <w:multiLevelType w:val="hybridMultilevel"/>
    <w:tmpl w:val="B8CCEF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1F8A2561"/>
    <w:multiLevelType w:val="hybridMultilevel"/>
    <w:tmpl w:val="56E4CA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23A654B4"/>
    <w:multiLevelType w:val="hybridMultilevel"/>
    <w:tmpl w:val="8696C8B0"/>
    <w:lvl w:ilvl="0" w:tplc="04090001">
      <w:start w:val="1"/>
      <w:numFmt w:val="bullet"/>
      <w:lvlText w:val=""/>
      <w:lvlJc w:val="left"/>
      <w:pPr>
        <w:tabs>
          <w:tab w:val="num" w:pos="720"/>
        </w:tabs>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5E8604A"/>
    <w:multiLevelType w:val="hybridMultilevel"/>
    <w:tmpl w:val="BBD46A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282F5D6E"/>
    <w:multiLevelType w:val="hybridMultilevel"/>
    <w:tmpl w:val="35AEC6B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2" w15:restartNumberingAfterBreak="0">
    <w:nsid w:val="29392DE2"/>
    <w:multiLevelType w:val="hybridMultilevel"/>
    <w:tmpl w:val="F72ACA32"/>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43" w15:restartNumberingAfterBreak="0">
    <w:nsid w:val="29AE3BBB"/>
    <w:multiLevelType w:val="hybridMultilevel"/>
    <w:tmpl w:val="2D269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D2F224D"/>
    <w:multiLevelType w:val="hybridMultilevel"/>
    <w:tmpl w:val="4D8C88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5" w15:restartNumberingAfterBreak="0">
    <w:nsid w:val="2EBE6B74"/>
    <w:multiLevelType w:val="hybridMultilevel"/>
    <w:tmpl w:val="00200A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2F5C06A5"/>
    <w:multiLevelType w:val="hybridMultilevel"/>
    <w:tmpl w:val="1A64D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0404353"/>
    <w:multiLevelType w:val="hybridMultilevel"/>
    <w:tmpl w:val="092C43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31AD07F2"/>
    <w:multiLevelType w:val="hybridMultilevel"/>
    <w:tmpl w:val="0CA228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32814C3A"/>
    <w:multiLevelType w:val="singleLevel"/>
    <w:tmpl w:val="22961B7C"/>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35315BF4"/>
    <w:multiLevelType w:val="hybridMultilevel"/>
    <w:tmpl w:val="44D27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9AD6BAC"/>
    <w:multiLevelType w:val="hybridMultilevel"/>
    <w:tmpl w:val="3BFA5BDC"/>
    <w:lvl w:ilvl="0" w:tplc="5FF0EAC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3D2C71DD"/>
    <w:multiLevelType w:val="hybridMultilevel"/>
    <w:tmpl w:val="FFF4D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D8B362F"/>
    <w:multiLevelType w:val="hybridMultilevel"/>
    <w:tmpl w:val="D3E48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3E5D3010"/>
    <w:multiLevelType w:val="hybridMultilevel"/>
    <w:tmpl w:val="492CADF4"/>
    <w:lvl w:ilvl="0" w:tplc="3B36D55A">
      <w:start w:val="1"/>
      <w:numFmt w:val="bullet"/>
      <w:pStyle w:val="BulletBayerBodyText"/>
      <w:lvlText w:val=""/>
      <w:lvlJc w:val="left"/>
      <w:pPr>
        <w:tabs>
          <w:tab w:val="num" w:pos="720"/>
        </w:tabs>
        <w:ind w:left="720" w:hanging="360"/>
      </w:pPr>
      <w:rPr>
        <w:rFonts w:ascii="Symbol" w:hAnsi="Symbol" w:hint="default"/>
      </w:rPr>
    </w:lvl>
    <w:lvl w:ilvl="1" w:tplc="04070001">
      <w:start w:val="1"/>
      <w:numFmt w:val="bullet"/>
      <w:lvlText w:val=""/>
      <w:lvlJc w:val="left"/>
      <w:pPr>
        <w:ind w:left="1785" w:hanging="705"/>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1CD0599"/>
    <w:multiLevelType w:val="hybridMultilevel"/>
    <w:tmpl w:val="D4D23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5E366C7"/>
    <w:multiLevelType w:val="hybridMultilevel"/>
    <w:tmpl w:val="6D4EA63A"/>
    <w:lvl w:ilvl="0" w:tplc="0409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57" w15:restartNumberingAfterBreak="0">
    <w:nsid w:val="46BD02FD"/>
    <w:multiLevelType w:val="hybridMultilevel"/>
    <w:tmpl w:val="A2E23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482900A7"/>
    <w:multiLevelType w:val="hybridMultilevel"/>
    <w:tmpl w:val="619AC1A4"/>
    <w:lvl w:ilvl="0" w:tplc="6190284A">
      <w:start w:val="1"/>
      <w:numFmt w:val="bullet"/>
      <w:lvlText w:val="•"/>
      <w:lvlJc w:val="left"/>
      <w:pPr>
        <w:tabs>
          <w:tab w:val="num" w:pos="720"/>
        </w:tabs>
        <w:ind w:left="720" w:hanging="360"/>
      </w:pPr>
      <w:rPr>
        <w:rFonts w:ascii="Arial" w:hAnsi="Arial" w:hint="default"/>
      </w:rPr>
    </w:lvl>
    <w:lvl w:ilvl="1" w:tplc="2BB8886C" w:tentative="1">
      <w:start w:val="1"/>
      <w:numFmt w:val="bullet"/>
      <w:lvlText w:val="•"/>
      <w:lvlJc w:val="left"/>
      <w:pPr>
        <w:tabs>
          <w:tab w:val="num" w:pos="1440"/>
        </w:tabs>
        <w:ind w:left="1440" w:hanging="360"/>
      </w:pPr>
      <w:rPr>
        <w:rFonts w:ascii="Arial" w:hAnsi="Arial" w:hint="default"/>
      </w:rPr>
    </w:lvl>
    <w:lvl w:ilvl="2" w:tplc="2DC8D2FC" w:tentative="1">
      <w:start w:val="1"/>
      <w:numFmt w:val="bullet"/>
      <w:lvlText w:val="•"/>
      <w:lvlJc w:val="left"/>
      <w:pPr>
        <w:tabs>
          <w:tab w:val="num" w:pos="2160"/>
        </w:tabs>
        <w:ind w:left="2160" w:hanging="360"/>
      </w:pPr>
      <w:rPr>
        <w:rFonts w:ascii="Arial" w:hAnsi="Arial" w:hint="default"/>
      </w:rPr>
    </w:lvl>
    <w:lvl w:ilvl="3" w:tplc="C0F2A81E" w:tentative="1">
      <w:start w:val="1"/>
      <w:numFmt w:val="bullet"/>
      <w:lvlText w:val="•"/>
      <w:lvlJc w:val="left"/>
      <w:pPr>
        <w:tabs>
          <w:tab w:val="num" w:pos="2880"/>
        </w:tabs>
        <w:ind w:left="2880" w:hanging="360"/>
      </w:pPr>
      <w:rPr>
        <w:rFonts w:ascii="Arial" w:hAnsi="Arial" w:hint="default"/>
      </w:rPr>
    </w:lvl>
    <w:lvl w:ilvl="4" w:tplc="2FEE1FB6" w:tentative="1">
      <w:start w:val="1"/>
      <w:numFmt w:val="bullet"/>
      <w:lvlText w:val="•"/>
      <w:lvlJc w:val="left"/>
      <w:pPr>
        <w:tabs>
          <w:tab w:val="num" w:pos="3600"/>
        </w:tabs>
        <w:ind w:left="3600" w:hanging="360"/>
      </w:pPr>
      <w:rPr>
        <w:rFonts w:ascii="Arial" w:hAnsi="Arial" w:hint="default"/>
      </w:rPr>
    </w:lvl>
    <w:lvl w:ilvl="5" w:tplc="C900B17C" w:tentative="1">
      <w:start w:val="1"/>
      <w:numFmt w:val="bullet"/>
      <w:lvlText w:val="•"/>
      <w:lvlJc w:val="left"/>
      <w:pPr>
        <w:tabs>
          <w:tab w:val="num" w:pos="4320"/>
        </w:tabs>
        <w:ind w:left="4320" w:hanging="360"/>
      </w:pPr>
      <w:rPr>
        <w:rFonts w:ascii="Arial" w:hAnsi="Arial" w:hint="default"/>
      </w:rPr>
    </w:lvl>
    <w:lvl w:ilvl="6" w:tplc="81E80F22" w:tentative="1">
      <w:start w:val="1"/>
      <w:numFmt w:val="bullet"/>
      <w:lvlText w:val="•"/>
      <w:lvlJc w:val="left"/>
      <w:pPr>
        <w:tabs>
          <w:tab w:val="num" w:pos="5040"/>
        </w:tabs>
        <w:ind w:left="5040" w:hanging="360"/>
      </w:pPr>
      <w:rPr>
        <w:rFonts w:ascii="Arial" w:hAnsi="Arial" w:hint="default"/>
      </w:rPr>
    </w:lvl>
    <w:lvl w:ilvl="7" w:tplc="F6022BDA" w:tentative="1">
      <w:start w:val="1"/>
      <w:numFmt w:val="bullet"/>
      <w:lvlText w:val="•"/>
      <w:lvlJc w:val="left"/>
      <w:pPr>
        <w:tabs>
          <w:tab w:val="num" w:pos="5760"/>
        </w:tabs>
        <w:ind w:left="5760" w:hanging="360"/>
      </w:pPr>
      <w:rPr>
        <w:rFonts w:ascii="Arial" w:hAnsi="Arial" w:hint="default"/>
      </w:rPr>
    </w:lvl>
    <w:lvl w:ilvl="8" w:tplc="CF4887E4"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4A2E1448"/>
    <w:multiLevelType w:val="hybridMultilevel"/>
    <w:tmpl w:val="4956F7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4CAB1047"/>
    <w:multiLevelType w:val="hybridMultilevel"/>
    <w:tmpl w:val="305458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4EDF0307"/>
    <w:multiLevelType w:val="hybridMultilevel"/>
    <w:tmpl w:val="910AB8D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55962A09"/>
    <w:multiLevelType w:val="hybridMultilevel"/>
    <w:tmpl w:val="9E547990"/>
    <w:lvl w:ilvl="0" w:tplc="04090001">
      <w:start w:val="1"/>
      <w:numFmt w:val="bullet"/>
      <w:lvlText w:val=""/>
      <w:lvlJc w:val="left"/>
      <w:pPr>
        <w:tabs>
          <w:tab w:val="num" w:pos="720"/>
        </w:tabs>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8101DF1"/>
    <w:multiLevelType w:val="hybridMultilevel"/>
    <w:tmpl w:val="31CEF59A"/>
    <w:lvl w:ilvl="0" w:tplc="6D00FD40">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15:restartNumberingAfterBreak="0">
    <w:nsid w:val="5A651B67"/>
    <w:multiLevelType w:val="hybridMultilevel"/>
    <w:tmpl w:val="F4E24C20"/>
    <w:lvl w:ilvl="0" w:tplc="638E9B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B5F24E9"/>
    <w:multiLevelType w:val="hybridMultilevel"/>
    <w:tmpl w:val="7C16ED50"/>
    <w:lvl w:ilvl="0" w:tplc="9F5ABD90">
      <w:start w:val="1"/>
      <w:numFmt w:val="bullet"/>
      <w:lvlText w:val="•"/>
      <w:lvlJc w:val="left"/>
      <w:pPr>
        <w:tabs>
          <w:tab w:val="num" w:pos="720"/>
        </w:tabs>
        <w:ind w:left="720" w:hanging="360"/>
      </w:pPr>
      <w:rPr>
        <w:rFonts w:ascii="Arial" w:hAnsi="Arial" w:hint="default"/>
      </w:rPr>
    </w:lvl>
    <w:lvl w:ilvl="1" w:tplc="DB04D4A2" w:tentative="1">
      <w:start w:val="1"/>
      <w:numFmt w:val="bullet"/>
      <w:lvlText w:val="•"/>
      <w:lvlJc w:val="left"/>
      <w:pPr>
        <w:tabs>
          <w:tab w:val="num" w:pos="1440"/>
        </w:tabs>
        <w:ind w:left="1440" w:hanging="360"/>
      </w:pPr>
      <w:rPr>
        <w:rFonts w:ascii="Arial" w:hAnsi="Arial" w:hint="default"/>
      </w:rPr>
    </w:lvl>
    <w:lvl w:ilvl="2" w:tplc="ECF05BA6" w:tentative="1">
      <w:start w:val="1"/>
      <w:numFmt w:val="bullet"/>
      <w:lvlText w:val="•"/>
      <w:lvlJc w:val="left"/>
      <w:pPr>
        <w:tabs>
          <w:tab w:val="num" w:pos="2160"/>
        </w:tabs>
        <w:ind w:left="2160" w:hanging="360"/>
      </w:pPr>
      <w:rPr>
        <w:rFonts w:ascii="Arial" w:hAnsi="Arial" w:hint="default"/>
      </w:rPr>
    </w:lvl>
    <w:lvl w:ilvl="3" w:tplc="654EF206" w:tentative="1">
      <w:start w:val="1"/>
      <w:numFmt w:val="bullet"/>
      <w:lvlText w:val="•"/>
      <w:lvlJc w:val="left"/>
      <w:pPr>
        <w:tabs>
          <w:tab w:val="num" w:pos="2880"/>
        </w:tabs>
        <w:ind w:left="2880" w:hanging="360"/>
      </w:pPr>
      <w:rPr>
        <w:rFonts w:ascii="Arial" w:hAnsi="Arial" w:hint="default"/>
      </w:rPr>
    </w:lvl>
    <w:lvl w:ilvl="4" w:tplc="98C095D4" w:tentative="1">
      <w:start w:val="1"/>
      <w:numFmt w:val="bullet"/>
      <w:lvlText w:val="•"/>
      <w:lvlJc w:val="left"/>
      <w:pPr>
        <w:tabs>
          <w:tab w:val="num" w:pos="3600"/>
        </w:tabs>
        <w:ind w:left="3600" w:hanging="360"/>
      </w:pPr>
      <w:rPr>
        <w:rFonts w:ascii="Arial" w:hAnsi="Arial" w:hint="default"/>
      </w:rPr>
    </w:lvl>
    <w:lvl w:ilvl="5" w:tplc="8B442B40" w:tentative="1">
      <w:start w:val="1"/>
      <w:numFmt w:val="bullet"/>
      <w:lvlText w:val="•"/>
      <w:lvlJc w:val="left"/>
      <w:pPr>
        <w:tabs>
          <w:tab w:val="num" w:pos="4320"/>
        </w:tabs>
        <w:ind w:left="4320" w:hanging="360"/>
      </w:pPr>
      <w:rPr>
        <w:rFonts w:ascii="Arial" w:hAnsi="Arial" w:hint="default"/>
      </w:rPr>
    </w:lvl>
    <w:lvl w:ilvl="6" w:tplc="8E20CFC6" w:tentative="1">
      <w:start w:val="1"/>
      <w:numFmt w:val="bullet"/>
      <w:lvlText w:val="•"/>
      <w:lvlJc w:val="left"/>
      <w:pPr>
        <w:tabs>
          <w:tab w:val="num" w:pos="5040"/>
        </w:tabs>
        <w:ind w:left="5040" w:hanging="360"/>
      </w:pPr>
      <w:rPr>
        <w:rFonts w:ascii="Arial" w:hAnsi="Arial" w:hint="default"/>
      </w:rPr>
    </w:lvl>
    <w:lvl w:ilvl="7" w:tplc="9B384D76" w:tentative="1">
      <w:start w:val="1"/>
      <w:numFmt w:val="bullet"/>
      <w:lvlText w:val="•"/>
      <w:lvlJc w:val="left"/>
      <w:pPr>
        <w:tabs>
          <w:tab w:val="num" w:pos="5760"/>
        </w:tabs>
        <w:ind w:left="5760" w:hanging="360"/>
      </w:pPr>
      <w:rPr>
        <w:rFonts w:ascii="Arial" w:hAnsi="Arial" w:hint="default"/>
      </w:rPr>
    </w:lvl>
    <w:lvl w:ilvl="8" w:tplc="411C4D6E"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5D154165"/>
    <w:multiLevelType w:val="hybridMultilevel"/>
    <w:tmpl w:val="3CA03F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7" w15:restartNumberingAfterBreak="0">
    <w:nsid w:val="63353B11"/>
    <w:multiLevelType w:val="hybridMultilevel"/>
    <w:tmpl w:val="459018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3DE038A"/>
    <w:multiLevelType w:val="hybridMultilevel"/>
    <w:tmpl w:val="4CB2B030"/>
    <w:lvl w:ilvl="0" w:tplc="C884229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64FA27AE"/>
    <w:multiLevelType w:val="hybridMultilevel"/>
    <w:tmpl w:val="FB44F6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15:restartNumberingAfterBreak="0">
    <w:nsid w:val="675E4CEA"/>
    <w:multiLevelType w:val="hybridMultilevel"/>
    <w:tmpl w:val="0FD6D6AA"/>
    <w:lvl w:ilvl="0" w:tplc="6392405A">
      <w:numFmt w:val="bullet"/>
      <w:lvlText w:val=""/>
      <w:lvlJc w:val="left"/>
      <w:pPr>
        <w:ind w:left="720" w:hanging="360"/>
      </w:pPr>
      <w:rPr>
        <w:rFonts w:ascii="Symbol" w:eastAsia="Calibri" w:hAnsi="Symbol" w:cs="Calibri" w:hint="default"/>
        <w:color w:val="1F497D"/>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682F2460"/>
    <w:multiLevelType w:val="hybridMultilevel"/>
    <w:tmpl w:val="5D1C83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2" w15:restartNumberingAfterBreak="0">
    <w:nsid w:val="68DE61BD"/>
    <w:multiLevelType w:val="hybridMultilevel"/>
    <w:tmpl w:val="990611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15:restartNumberingAfterBreak="0">
    <w:nsid w:val="6A021F34"/>
    <w:multiLevelType w:val="hybridMultilevel"/>
    <w:tmpl w:val="83D04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6DC025B9"/>
    <w:multiLevelType w:val="hybridMultilevel"/>
    <w:tmpl w:val="B3904C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5"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08D22AC"/>
    <w:multiLevelType w:val="hybridMultilevel"/>
    <w:tmpl w:val="CE44A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7" w15:restartNumberingAfterBreak="0">
    <w:nsid w:val="717735CA"/>
    <w:multiLevelType w:val="hybridMultilevel"/>
    <w:tmpl w:val="86BC699C"/>
    <w:lvl w:ilvl="0" w:tplc="8AD6D88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BE138C2"/>
    <w:multiLevelType w:val="hybridMultilevel"/>
    <w:tmpl w:val="3F284342"/>
    <w:lvl w:ilvl="0" w:tplc="04090001">
      <w:start w:val="1"/>
      <w:numFmt w:val="bullet"/>
      <w:lvlText w:val=""/>
      <w:lvlJc w:val="left"/>
      <w:pPr>
        <w:tabs>
          <w:tab w:val="num" w:pos="720"/>
        </w:tabs>
        <w:ind w:left="720" w:hanging="360"/>
      </w:pPr>
      <w:rPr>
        <w:rFonts w:ascii="Symbol" w:hAnsi="Symbol" w:hint="default"/>
      </w:rPr>
    </w:lvl>
    <w:lvl w:ilvl="1" w:tplc="AAECD0D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C1D3C07"/>
    <w:multiLevelType w:val="hybridMultilevel"/>
    <w:tmpl w:val="57A841D0"/>
    <w:lvl w:ilvl="0" w:tplc="04090001">
      <w:start w:val="1"/>
      <w:numFmt w:val="bullet"/>
      <w:lvlText w:val=""/>
      <w:lvlJc w:val="left"/>
      <w:pPr>
        <w:tabs>
          <w:tab w:val="num" w:pos="720"/>
        </w:tabs>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C43602C"/>
    <w:multiLevelType w:val="hybridMultilevel"/>
    <w:tmpl w:val="8E8622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1" w15:restartNumberingAfterBreak="0">
    <w:nsid w:val="7F8323CA"/>
    <w:multiLevelType w:val="hybridMultilevel"/>
    <w:tmpl w:val="7A7ECF5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2" w15:restartNumberingAfterBreak="0">
    <w:nsid w:val="7FA400CF"/>
    <w:multiLevelType w:val="hybridMultilevel"/>
    <w:tmpl w:val="520894EC"/>
    <w:lvl w:ilvl="0" w:tplc="04050001">
      <w:start w:val="1"/>
      <w:numFmt w:val="bullet"/>
      <w:lvlText w:val=""/>
      <w:lvlJc w:val="left"/>
      <w:pPr>
        <w:ind w:left="1069"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15:restartNumberingAfterBreak="0">
    <w:nsid w:val="7FD56D31"/>
    <w:multiLevelType w:val="hybridMultilevel"/>
    <w:tmpl w:val="80BC4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57393816">
    <w:abstractNumId w:val="14"/>
  </w:num>
  <w:num w:numId="2" w16cid:durableId="952790079">
    <w:abstractNumId w:val="75"/>
  </w:num>
  <w:num w:numId="3" w16cid:durableId="881868379">
    <w:abstractNumId w:val="44"/>
  </w:num>
  <w:num w:numId="4" w16cid:durableId="68427265">
    <w:abstractNumId w:val="9"/>
  </w:num>
  <w:num w:numId="5" w16cid:durableId="587617513">
    <w:abstractNumId w:val="7"/>
  </w:num>
  <w:num w:numId="6" w16cid:durableId="1349091260">
    <w:abstractNumId w:val="6"/>
  </w:num>
  <w:num w:numId="7" w16cid:durableId="2072196121">
    <w:abstractNumId w:val="5"/>
  </w:num>
  <w:num w:numId="8" w16cid:durableId="104155956">
    <w:abstractNumId w:val="4"/>
  </w:num>
  <w:num w:numId="9" w16cid:durableId="625045185">
    <w:abstractNumId w:val="8"/>
  </w:num>
  <w:num w:numId="10" w16cid:durableId="1474979750">
    <w:abstractNumId w:val="3"/>
  </w:num>
  <w:num w:numId="11" w16cid:durableId="1947495352">
    <w:abstractNumId w:val="2"/>
  </w:num>
  <w:num w:numId="12" w16cid:durableId="1420297337">
    <w:abstractNumId w:val="1"/>
  </w:num>
  <w:num w:numId="13" w16cid:durableId="323054326">
    <w:abstractNumId w:val="0"/>
  </w:num>
  <w:num w:numId="14" w16cid:durableId="1086801493">
    <w:abstractNumId w:val="63"/>
  </w:num>
  <w:num w:numId="15" w16cid:durableId="177282008">
    <w:abstractNumId w:val="30"/>
  </w:num>
  <w:num w:numId="16" w16cid:durableId="2135127828">
    <w:abstractNumId w:val="68"/>
  </w:num>
  <w:num w:numId="17" w16cid:durableId="1024281103">
    <w:abstractNumId w:val="51"/>
  </w:num>
  <w:num w:numId="18" w16cid:durableId="354891444">
    <w:abstractNumId w:val="78"/>
  </w:num>
  <w:num w:numId="19" w16cid:durableId="1316379665">
    <w:abstractNumId w:val="43"/>
  </w:num>
  <w:num w:numId="20" w16cid:durableId="527762491">
    <w:abstractNumId w:val="67"/>
  </w:num>
  <w:num w:numId="21" w16cid:durableId="1245148579">
    <w:abstractNumId w:val="54"/>
  </w:num>
  <w:num w:numId="22" w16cid:durableId="833688345">
    <w:abstractNumId w:val="46"/>
  </w:num>
  <w:num w:numId="23" w16cid:durableId="1795637619">
    <w:abstractNumId w:val="71"/>
  </w:num>
  <w:num w:numId="24" w16cid:durableId="417747678">
    <w:abstractNumId w:val="62"/>
  </w:num>
  <w:num w:numId="25" w16cid:durableId="523401084">
    <w:abstractNumId w:val="39"/>
  </w:num>
  <w:num w:numId="26" w16cid:durableId="758867119">
    <w:abstractNumId w:val="28"/>
  </w:num>
  <w:num w:numId="27" w16cid:durableId="1558932516">
    <w:abstractNumId w:val="83"/>
  </w:num>
  <w:num w:numId="28" w16cid:durableId="106044380">
    <w:abstractNumId w:val="19"/>
  </w:num>
  <w:num w:numId="29" w16cid:durableId="17590571">
    <w:abstractNumId w:val="17"/>
  </w:num>
  <w:num w:numId="30" w16cid:durableId="1720742917">
    <w:abstractNumId w:val="13"/>
  </w:num>
  <w:num w:numId="31" w16cid:durableId="938685897">
    <w:abstractNumId w:val="24"/>
  </w:num>
  <w:num w:numId="32" w16cid:durableId="397293063">
    <w:abstractNumId w:val="32"/>
  </w:num>
  <w:num w:numId="33" w16cid:durableId="121924571">
    <w:abstractNumId w:val="69"/>
  </w:num>
  <w:num w:numId="34" w16cid:durableId="440684470">
    <w:abstractNumId w:val="49"/>
  </w:num>
  <w:num w:numId="35" w16cid:durableId="1632708078">
    <w:abstractNumId w:val="54"/>
  </w:num>
  <w:num w:numId="36" w16cid:durableId="1805658852">
    <w:abstractNumId w:val="54"/>
  </w:num>
  <w:num w:numId="37" w16cid:durableId="1589117464">
    <w:abstractNumId w:val="18"/>
  </w:num>
  <w:num w:numId="38" w16cid:durableId="708919255">
    <w:abstractNumId w:val="70"/>
  </w:num>
  <w:num w:numId="39" w16cid:durableId="860239533">
    <w:abstractNumId w:val="57"/>
  </w:num>
  <w:num w:numId="40" w16cid:durableId="619456739">
    <w:abstractNumId w:val="72"/>
  </w:num>
  <w:num w:numId="41" w16cid:durableId="586311536">
    <w:abstractNumId w:val="47"/>
  </w:num>
  <w:num w:numId="42" w16cid:durableId="2128575405">
    <w:abstractNumId w:val="53"/>
  </w:num>
  <w:num w:numId="43" w16cid:durableId="2077626829">
    <w:abstractNumId w:val="22"/>
  </w:num>
  <w:num w:numId="44" w16cid:durableId="960956447">
    <w:abstractNumId w:val="12"/>
  </w:num>
  <w:num w:numId="45" w16cid:durableId="1427967374">
    <w:abstractNumId w:val="26"/>
  </w:num>
  <w:num w:numId="46" w16cid:durableId="858543319">
    <w:abstractNumId w:val="66"/>
  </w:num>
  <w:num w:numId="47" w16cid:durableId="548423081">
    <w:abstractNumId w:val="76"/>
  </w:num>
  <w:num w:numId="48" w16cid:durableId="703166939">
    <w:abstractNumId w:val="79"/>
  </w:num>
  <w:num w:numId="49" w16cid:durableId="1358656614">
    <w:abstractNumId w:val="56"/>
  </w:num>
  <w:num w:numId="50" w16cid:durableId="1999574099">
    <w:abstractNumId w:val="42"/>
  </w:num>
  <w:num w:numId="51" w16cid:durableId="510023258">
    <w:abstractNumId w:val="23"/>
  </w:num>
  <w:num w:numId="52" w16cid:durableId="1522355436">
    <w:abstractNumId w:val="48"/>
  </w:num>
  <w:num w:numId="53" w16cid:durableId="1935506936">
    <w:abstractNumId w:val="64"/>
  </w:num>
  <w:num w:numId="54" w16cid:durableId="1188324688">
    <w:abstractNumId w:val="58"/>
  </w:num>
  <w:num w:numId="55" w16cid:durableId="2082484766">
    <w:abstractNumId w:val="65"/>
  </w:num>
  <w:num w:numId="56" w16cid:durableId="1495485039">
    <w:abstractNumId w:val="36"/>
  </w:num>
  <w:num w:numId="57" w16cid:durableId="1443838885">
    <w:abstractNumId w:val="34"/>
  </w:num>
  <w:num w:numId="58" w16cid:durableId="2049647902">
    <w:abstractNumId w:val="31"/>
  </w:num>
  <w:num w:numId="59" w16cid:durableId="1496068982">
    <w:abstractNumId w:val="50"/>
  </w:num>
  <w:num w:numId="60" w16cid:durableId="1088697501">
    <w:abstractNumId w:val="33"/>
  </w:num>
  <w:num w:numId="61" w16cid:durableId="779758669">
    <w:abstractNumId w:val="77"/>
  </w:num>
  <w:num w:numId="62" w16cid:durableId="1519200528">
    <w:abstractNumId w:val="40"/>
  </w:num>
  <w:num w:numId="63" w16cid:durableId="1837068571">
    <w:abstractNumId w:val="73"/>
  </w:num>
  <w:num w:numId="64" w16cid:durableId="1967201249">
    <w:abstractNumId w:val="15"/>
  </w:num>
  <w:num w:numId="65" w16cid:durableId="17003021">
    <w:abstractNumId w:val="81"/>
  </w:num>
  <w:num w:numId="66" w16cid:durableId="334460473">
    <w:abstractNumId w:val="45"/>
  </w:num>
  <w:num w:numId="67" w16cid:durableId="1616256230">
    <w:abstractNumId w:val="80"/>
  </w:num>
  <w:num w:numId="68" w16cid:durableId="697118284">
    <w:abstractNumId w:val="59"/>
  </w:num>
  <w:num w:numId="69" w16cid:durableId="952905719">
    <w:abstractNumId w:val="74"/>
  </w:num>
  <w:num w:numId="70" w16cid:durableId="481965767">
    <w:abstractNumId w:val="16"/>
  </w:num>
  <w:num w:numId="71" w16cid:durableId="1786076222">
    <w:abstractNumId w:val="82"/>
  </w:num>
  <w:num w:numId="72" w16cid:durableId="467017826">
    <w:abstractNumId w:val="10"/>
    <w:lvlOverride w:ilvl="0">
      <w:lvl w:ilvl="0">
        <w:start w:val="1"/>
        <w:numFmt w:val="bullet"/>
        <w:lvlText w:val="-"/>
        <w:legacy w:legacy="1" w:legacySpace="0" w:legacyIndent="360"/>
        <w:lvlJc w:val="left"/>
        <w:pPr>
          <w:ind w:left="360" w:hanging="360"/>
        </w:pPr>
      </w:lvl>
    </w:lvlOverride>
  </w:num>
  <w:num w:numId="73" w16cid:durableId="1436514382">
    <w:abstractNumId w:val="21"/>
  </w:num>
  <w:num w:numId="74" w16cid:durableId="641815743">
    <w:abstractNumId w:val="60"/>
  </w:num>
  <w:num w:numId="75" w16cid:durableId="88039642">
    <w:abstractNumId w:val="38"/>
  </w:num>
  <w:num w:numId="76" w16cid:durableId="731316504">
    <w:abstractNumId w:val="41"/>
  </w:num>
  <w:num w:numId="77" w16cid:durableId="1016931808">
    <w:abstractNumId w:val="27"/>
  </w:num>
  <w:num w:numId="78" w16cid:durableId="1563254305">
    <w:abstractNumId w:val="35"/>
  </w:num>
  <w:num w:numId="79" w16cid:durableId="202600385">
    <w:abstractNumId w:val="37"/>
  </w:num>
  <w:num w:numId="80" w16cid:durableId="766779675">
    <w:abstractNumId w:val="20"/>
  </w:num>
  <w:num w:numId="81" w16cid:durableId="1535263900">
    <w:abstractNumId w:val="11"/>
  </w:num>
  <w:num w:numId="82" w16cid:durableId="446697609">
    <w:abstractNumId w:val="52"/>
  </w:num>
  <w:num w:numId="83" w16cid:durableId="738097130">
    <w:abstractNumId w:val="55"/>
  </w:num>
  <w:num w:numId="84" w16cid:durableId="314922571">
    <w:abstractNumId w:val="29"/>
  </w:num>
  <w:num w:numId="85" w16cid:durableId="787239797">
    <w:abstractNumId w:val="61"/>
  </w:num>
  <w:num w:numId="86" w16cid:durableId="684942852">
    <w:abstractNumId w:val="2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66141"/>
    <w:rsid w:val="00000A46"/>
    <w:rsid w:val="0000136C"/>
    <w:rsid w:val="00003B79"/>
    <w:rsid w:val="00004736"/>
    <w:rsid w:val="00004C19"/>
    <w:rsid w:val="00005BCC"/>
    <w:rsid w:val="000062D5"/>
    <w:rsid w:val="00006FDC"/>
    <w:rsid w:val="00007ACA"/>
    <w:rsid w:val="000105AC"/>
    <w:rsid w:val="00010BBF"/>
    <w:rsid w:val="00010CD3"/>
    <w:rsid w:val="00011915"/>
    <w:rsid w:val="00011CFB"/>
    <w:rsid w:val="00013F55"/>
    <w:rsid w:val="00014209"/>
    <w:rsid w:val="000160B9"/>
    <w:rsid w:val="00016172"/>
    <w:rsid w:val="00016578"/>
    <w:rsid w:val="00017144"/>
    <w:rsid w:val="00017B1E"/>
    <w:rsid w:val="00017E72"/>
    <w:rsid w:val="0002023A"/>
    <w:rsid w:val="00020724"/>
    <w:rsid w:val="00021100"/>
    <w:rsid w:val="00023286"/>
    <w:rsid w:val="000244AA"/>
    <w:rsid w:val="00024641"/>
    <w:rsid w:val="00024D71"/>
    <w:rsid w:val="00025556"/>
    <w:rsid w:val="0002580D"/>
    <w:rsid w:val="000268F8"/>
    <w:rsid w:val="000273BD"/>
    <w:rsid w:val="00027808"/>
    <w:rsid w:val="00034108"/>
    <w:rsid w:val="00034626"/>
    <w:rsid w:val="00034AA2"/>
    <w:rsid w:val="000352B8"/>
    <w:rsid w:val="00036EB9"/>
    <w:rsid w:val="00040225"/>
    <w:rsid w:val="00040264"/>
    <w:rsid w:val="000408D0"/>
    <w:rsid w:val="00040E7A"/>
    <w:rsid w:val="000411E7"/>
    <w:rsid w:val="000417C0"/>
    <w:rsid w:val="000418B0"/>
    <w:rsid w:val="00042C6C"/>
    <w:rsid w:val="00043526"/>
    <w:rsid w:val="000455ED"/>
    <w:rsid w:val="00045A34"/>
    <w:rsid w:val="00045A9D"/>
    <w:rsid w:val="00046F4C"/>
    <w:rsid w:val="00047BD9"/>
    <w:rsid w:val="0005068D"/>
    <w:rsid w:val="0005094B"/>
    <w:rsid w:val="00050A08"/>
    <w:rsid w:val="00051016"/>
    <w:rsid w:val="00051363"/>
    <w:rsid w:val="000516E1"/>
    <w:rsid w:val="000517D3"/>
    <w:rsid w:val="00052138"/>
    <w:rsid w:val="00052C0B"/>
    <w:rsid w:val="000543A2"/>
    <w:rsid w:val="00055371"/>
    <w:rsid w:val="00055708"/>
    <w:rsid w:val="00055B9B"/>
    <w:rsid w:val="000562B9"/>
    <w:rsid w:val="0005661C"/>
    <w:rsid w:val="00056FF0"/>
    <w:rsid w:val="000573E1"/>
    <w:rsid w:val="000578FB"/>
    <w:rsid w:val="00057911"/>
    <w:rsid w:val="000603C8"/>
    <w:rsid w:val="00060905"/>
    <w:rsid w:val="00060C74"/>
    <w:rsid w:val="00061145"/>
    <w:rsid w:val="00061F6D"/>
    <w:rsid w:val="0006487D"/>
    <w:rsid w:val="00065A14"/>
    <w:rsid w:val="00066277"/>
    <w:rsid w:val="00067E52"/>
    <w:rsid w:val="00070951"/>
    <w:rsid w:val="00071156"/>
    <w:rsid w:val="0007124B"/>
    <w:rsid w:val="00071EE7"/>
    <w:rsid w:val="00072561"/>
    <w:rsid w:val="0007361C"/>
    <w:rsid w:val="00073ECC"/>
    <w:rsid w:val="00073FA8"/>
    <w:rsid w:val="00074028"/>
    <w:rsid w:val="0007435C"/>
    <w:rsid w:val="000765E1"/>
    <w:rsid w:val="00076AE4"/>
    <w:rsid w:val="000820DB"/>
    <w:rsid w:val="000825C4"/>
    <w:rsid w:val="00083794"/>
    <w:rsid w:val="000838D6"/>
    <w:rsid w:val="00083FAB"/>
    <w:rsid w:val="000845AD"/>
    <w:rsid w:val="00084E43"/>
    <w:rsid w:val="000850BA"/>
    <w:rsid w:val="0008542C"/>
    <w:rsid w:val="0008553D"/>
    <w:rsid w:val="00086222"/>
    <w:rsid w:val="00087AFE"/>
    <w:rsid w:val="00090A0F"/>
    <w:rsid w:val="00090D6E"/>
    <w:rsid w:val="00091ADC"/>
    <w:rsid w:val="00092167"/>
    <w:rsid w:val="0009662C"/>
    <w:rsid w:val="00096642"/>
    <w:rsid w:val="0009753E"/>
    <w:rsid w:val="00097B54"/>
    <w:rsid w:val="00097D81"/>
    <w:rsid w:val="000A114F"/>
    <w:rsid w:val="000A12B1"/>
    <w:rsid w:val="000A153C"/>
    <w:rsid w:val="000A2AC4"/>
    <w:rsid w:val="000A3432"/>
    <w:rsid w:val="000A4C6C"/>
    <w:rsid w:val="000A56AF"/>
    <w:rsid w:val="000A5DCE"/>
    <w:rsid w:val="000A5F82"/>
    <w:rsid w:val="000A6F0A"/>
    <w:rsid w:val="000A72E3"/>
    <w:rsid w:val="000A782E"/>
    <w:rsid w:val="000A7CAB"/>
    <w:rsid w:val="000B0B36"/>
    <w:rsid w:val="000B0FD4"/>
    <w:rsid w:val="000B1421"/>
    <w:rsid w:val="000B296D"/>
    <w:rsid w:val="000B303C"/>
    <w:rsid w:val="000B3471"/>
    <w:rsid w:val="000B3FAC"/>
    <w:rsid w:val="000B49E3"/>
    <w:rsid w:val="000B5264"/>
    <w:rsid w:val="000B59B9"/>
    <w:rsid w:val="000B5C7F"/>
    <w:rsid w:val="000B5F18"/>
    <w:rsid w:val="000B6073"/>
    <w:rsid w:val="000B68FE"/>
    <w:rsid w:val="000B6B34"/>
    <w:rsid w:val="000B6DEC"/>
    <w:rsid w:val="000B70C8"/>
    <w:rsid w:val="000B7657"/>
    <w:rsid w:val="000C0B27"/>
    <w:rsid w:val="000C265D"/>
    <w:rsid w:val="000C2EB7"/>
    <w:rsid w:val="000C2FE2"/>
    <w:rsid w:val="000C3053"/>
    <w:rsid w:val="000C4051"/>
    <w:rsid w:val="000C5D3A"/>
    <w:rsid w:val="000C65D4"/>
    <w:rsid w:val="000C77E2"/>
    <w:rsid w:val="000D0E4E"/>
    <w:rsid w:val="000D0E56"/>
    <w:rsid w:val="000D1D7C"/>
    <w:rsid w:val="000D1F23"/>
    <w:rsid w:val="000D21A2"/>
    <w:rsid w:val="000D2CD1"/>
    <w:rsid w:val="000D354D"/>
    <w:rsid w:val="000D4AA5"/>
    <w:rsid w:val="000D5F1B"/>
    <w:rsid w:val="000D6B47"/>
    <w:rsid w:val="000D7DB6"/>
    <w:rsid w:val="000E002D"/>
    <w:rsid w:val="000E027B"/>
    <w:rsid w:val="000E053A"/>
    <w:rsid w:val="000E1974"/>
    <w:rsid w:val="000E19C2"/>
    <w:rsid w:val="000E33BA"/>
    <w:rsid w:val="000E3432"/>
    <w:rsid w:val="000E358A"/>
    <w:rsid w:val="000E3B05"/>
    <w:rsid w:val="000E511C"/>
    <w:rsid w:val="000E5D16"/>
    <w:rsid w:val="000E5D8D"/>
    <w:rsid w:val="000E633E"/>
    <w:rsid w:val="000E67F8"/>
    <w:rsid w:val="000E70FA"/>
    <w:rsid w:val="000E7103"/>
    <w:rsid w:val="000F0229"/>
    <w:rsid w:val="000F0DCF"/>
    <w:rsid w:val="000F1EFB"/>
    <w:rsid w:val="000F2182"/>
    <w:rsid w:val="000F2B86"/>
    <w:rsid w:val="000F2C66"/>
    <w:rsid w:val="000F2E3C"/>
    <w:rsid w:val="000F30CF"/>
    <w:rsid w:val="000F342B"/>
    <w:rsid w:val="000F3B8D"/>
    <w:rsid w:val="000F3D9C"/>
    <w:rsid w:val="000F41CD"/>
    <w:rsid w:val="000F42FD"/>
    <w:rsid w:val="000F4573"/>
    <w:rsid w:val="000F4C6C"/>
    <w:rsid w:val="000F5C3F"/>
    <w:rsid w:val="000F634E"/>
    <w:rsid w:val="000F63F4"/>
    <w:rsid w:val="000F70FC"/>
    <w:rsid w:val="000F75D9"/>
    <w:rsid w:val="000F7646"/>
    <w:rsid w:val="0010098B"/>
    <w:rsid w:val="001026A8"/>
    <w:rsid w:val="00102A3E"/>
    <w:rsid w:val="00103411"/>
    <w:rsid w:val="001036B0"/>
    <w:rsid w:val="00105230"/>
    <w:rsid w:val="00105C02"/>
    <w:rsid w:val="0010608D"/>
    <w:rsid w:val="0010734E"/>
    <w:rsid w:val="001100CD"/>
    <w:rsid w:val="00111D70"/>
    <w:rsid w:val="0011234B"/>
    <w:rsid w:val="00112853"/>
    <w:rsid w:val="0011312B"/>
    <w:rsid w:val="00113CE8"/>
    <w:rsid w:val="00114883"/>
    <w:rsid w:val="00114DA9"/>
    <w:rsid w:val="0011512F"/>
    <w:rsid w:val="001155A1"/>
    <w:rsid w:val="0011602C"/>
    <w:rsid w:val="00116AB9"/>
    <w:rsid w:val="00116D8C"/>
    <w:rsid w:val="001171F2"/>
    <w:rsid w:val="0011779D"/>
    <w:rsid w:val="00117939"/>
    <w:rsid w:val="00120154"/>
    <w:rsid w:val="00120683"/>
    <w:rsid w:val="001214F7"/>
    <w:rsid w:val="00121AB0"/>
    <w:rsid w:val="00122ACC"/>
    <w:rsid w:val="0012397B"/>
    <w:rsid w:val="0012412D"/>
    <w:rsid w:val="00124755"/>
    <w:rsid w:val="00124902"/>
    <w:rsid w:val="00124D92"/>
    <w:rsid w:val="0012519C"/>
    <w:rsid w:val="00127EC9"/>
    <w:rsid w:val="00131594"/>
    <w:rsid w:val="00131D0F"/>
    <w:rsid w:val="001322A5"/>
    <w:rsid w:val="0013295D"/>
    <w:rsid w:val="00134488"/>
    <w:rsid w:val="00134CFF"/>
    <w:rsid w:val="00134F54"/>
    <w:rsid w:val="00135B28"/>
    <w:rsid w:val="00142C8E"/>
    <w:rsid w:val="00143B5D"/>
    <w:rsid w:val="00143E49"/>
    <w:rsid w:val="00144A02"/>
    <w:rsid w:val="001452B9"/>
    <w:rsid w:val="00145938"/>
    <w:rsid w:val="00145E29"/>
    <w:rsid w:val="00146FBB"/>
    <w:rsid w:val="00146FF2"/>
    <w:rsid w:val="0014789C"/>
    <w:rsid w:val="00150E44"/>
    <w:rsid w:val="0015128A"/>
    <w:rsid w:val="001520C6"/>
    <w:rsid w:val="001523BD"/>
    <w:rsid w:val="00153AFF"/>
    <w:rsid w:val="00153B01"/>
    <w:rsid w:val="0015460F"/>
    <w:rsid w:val="00154FC2"/>
    <w:rsid w:val="001553DC"/>
    <w:rsid w:val="00155BCD"/>
    <w:rsid w:val="00160416"/>
    <w:rsid w:val="0016064A"/>
    <w:rsid w:val="00160930"/>
    <w:rsid w:val="0016099E"/>
    <w:rsid w:val="00160D32"/>
    <w:rsid w:val="00160D54"/>
    <w:rsid w:val="00161673"/>
    <w:rsid w:val="001622CF"/>
    <w:rsid w:val="00162B27"/>
    <w:rsid w:val="00162D8B"/>
    <w:rsid w:val="00164AB8"/>
    <w:rsid w:val="00164B99"/>
    <w:rsid w:val="00165D5E"/>
    <w:rsid w:val="001660DB"/>
    <w:rsid w:val="00166B56"/>
    <w:rsid w:val="001671B1"/>
    <w:rsid w:val="00167C19"/>
    <w:rsid w:val="001702D9"/>
    <w:rsid w:val="0017053C"/>
    <w:rsid w:val="00171A36"/>
    <w:rsid w:val="00172738"/>
    <w:rsid w:val="00172980"/>
    <w:rsid w:val="00172EE1"/>
    <w:rsid w:val="00173A61"/>
    <w:rsid w:val="00173F8C"/>
    <w:rsid w:val="001742EC"/>
    <w:rsid w:val="0017469E"/>
    <w:rsid w:val="00174B38"/>
    <w:rsid w:val="00175297"/>
    <w:rsid w:val="0017583E"/>
    <w:rsid w:val="00175BBB"/>
    <w:rsid w:val="00175E59"/>
    <w:rsid w:val="00176811"/>
    <w:rsid w:val="00177361"/>
    <w:rsid w:val="0018096B"/>
    <w:rsid w:val="00180ED5"/>
    <w:rsid w:val="001811FA"/>
    <w:rsid w:val="001839FC"/>
    <w:rsid w:val="00183AB7"/>
    <w:rsid w:val="001841B5"/>
    <w:rsid w:val="00184B95"/>
    <w:rsid w:val="00184DAB"/>
    <w:rsid w:val="0018513A"/>
    <w:rsid w:val="00185E36"/>
    <w:rsid w:val="001900CF"/>
    <w:rsid w:val="001906A0"/>
    <w:rsid w:val="00190EF4"/>
    <w:rsid w:val="0019114A"/>
    <w:rsid w:val="0019143E"/>
    <w:rsid w:val="001914F2"/>
    <w:rsid w:val="00192ECA"/>
    <w:rsid w:val="00194336"/>
    <w:rsid w:val="0019480D"/>
    <w:rsid w:val="001949B4"/>
    <w:rsid w:val="00194DE7"/>
    <w:rsid w:val="00195B80"/>
    <w:rsid w:val="001962D0"/>
    <w:rsid w:val="0019660F"/>
    <w:rsid w:val="0019666E"/>
    <w:rsid w:val="00196F7B"/>
    <w:rsid w:val="001973E3"/>
    <w:rsid w:val="001A0540"/>
    <w:rsid w:val="001A13C5"/>
    <w:rsid w:val="001A51CE"/>
    <w:rsid w:val="001A5D70"/>
    <w:rsid w:val="001A5ED2"/>
    <w:rsid w:val="001A5F2C"/>
    <w:rsid w:val="001A69A6"/>
    <w:rsid w:val="001A7078"/>
    <w:rsid w:val="001A70C6"/>
    <w:rsid w:val="001A766F"/>
    <w:rsid w:val="001A7FBC"/>
    <w:rsid w:val="001A7FD9"/>
    <w:rsid w:val="001B1102"/>
    <w:rsid w:val="001B1519"/>
    <w:rsid w:val="001B22F6"/>
    <w:rsid w:val="001B25E4"/>
    <w:rsid w:val="001B2A65"/>
    <w:rsid w:val="001B3F38"/>
    <w:rsid w:val="001B58FF"/>
    <w:rsid w:val="001B5A27"/>
    <w:rsid w:val="001B5D24"/>
    <w:rsid w:val="001B6FBA"/>
    <w:rsid w:val="001B707E"/>
    <w:rsid w:val="001C0A06"/>
    <w:rsid w:val="001C10B2"/>
    <w:rsid w:val="001C160C"/>
    <w:rsid w:val="001C24C2"/>
    <w:rsid w:val="001C43C5"/>
    <w:rsid w:val="001C4FAC"/>
    <w:rsid w:val="001C7977"/>
    <w:rsid w:val="001D0510"/>
    <w:rsid w:val="001D0523"/>
    <w:rsid w:val="001D094F"/>
    <w:rsid w:val="001D0C2E"/>
    <w:rsid w:val="001D1121"/>
    <w:rsid w:val="001D1998"/>
    <w:rsid w:val="001D2107"/>
    <w:rsid w:val="001D3564"/>
    <w:rsid w:val="001D3D61"/>
    <w:rsid w:val="001D4034"/>
    <w:rsid w:val="001D5AE0"/>
    <w:rsid w:val="001D5CAA"/>
    <w:rsid w:val="001D641F"/>
    <w:rsid w:val="001D7229"/>
    <w:rsid w:val="001D79AC"/>
    <w:rsid w:val="001E0319"/>
    <w:rsid w:val="001E2450"/>
    <w:rsid w:val="001E2596"/>
    <w:rsid w:val="001E2DD1"/>
    <w:rsid w:val="001E324E"/>
    <w:rsid w:val="001E380B"/>
    <w:rsid w:val="001E3F89"/>
    <w:rsid w:val="001E44BC"/>
    <w:rsid w:val="001E4776"/>
    <w:rsid w:val="001E5077"/>
    <w:rsid w:val="001E5154"/>
    <w:rsid w:val="001E738E"/>
    <w:rsid w:val="001F0370"/>
    <w:rsid w:val="001F0B40"/>
    <w:rsid w:val="001F1435"/>
    <w:rsid w:val="001F1749"/>
    <w:rsid w:val="001F2371"/>
    <w:rsid w:val="001F26E3"/>
    <w:rsid w:val="001F35EE"/>
    <w:rsid w:val="001F3843"/>
    <w:rsid w:val="001F4358"/>
    <w:rsid w:val="001F46DB"/>
    <w:rsid w:val="001F6CDF"/>
    <w:rsid w:val="001F706B"/>
    <w:rsid w:val="001F70F0"/>
    <w:rsid w:val="001F71CE"/>
    <w:rsid w:val="001F73AD"/>
    <w:rsid w:val="001F7677"/>
    <w:rsid w:val="00202168"/>
    <w:rsid w:val="00202863"/>
    <w:rsid w:val="00203507"/>
    <w:rsid w:val="002044E0"/>
    <w:rsid w:val="00204BD6"/>
    <w:rsid w:val="002054B2"/>
    <w:rsid w:val="00205580"/>
    <w:rsid w:val="00205E5E"/>
    <w:rsid w:val="00206A45"/>
    <w:rsid w:val="002114BA"/>
    <w:rsid w:val="002128A6"/>
    <w:rsid w:val="00212BD4"/>
    <w:rsid w:val="0021302E"/>
    <w:rsid w:val="0021358D"/>
    <w:rsid w:val="00213D0D"/>
    <w:rsid w:val="002141B4"/>
    <w:rsid w:val="002147C1"/>
    <w:rsid w:val="00214838"/>
    <w:rsid w:val="00215CCB"/>
    <w:rsid w:val="00216205"/>
    <w:rsid w:val="00216802"/>
    <w:rsid w:val="00217342"/>
    <w:rsid w:val="00217B09"/>
    <w:rsid w:val="002204F7"/>
    <w:rsid w:val="0022079A"/>
    <w:rsid w:val="00221766"/>
    <w:rsid w:val="00221EEB"/>
    <w:rsid w:val="0022266C"/>
    <w:rsid w:val="00223277"/>
    <w:rsid w:val="002232D8"/>
    <w:rsid w:val="002236DA"/>
    <w:rsid w:val="00223D1E"/>
    <w:rsid w:val="0022487C"/>
    <w:rsid w:val="002254AE"/>
    <w:rsid w:val="00226307"/>
    <w:rsid w:val="002266A7"/>
    <w:rsid w:val="00227D9A"/>
    <w:rsid w:val="00230582"/>
    <w:rsid w:val="00230CAD"/>
    <w:rsid w:val="00230FA4"/>
    <w:rsid w:val="0023185B"/>
    <w:rsid w:val="00233067"/>
    <w:rsid w:val="0023314A"/>
    <w:rsid w:val="002331BE"/>
    <w:rsid w:val="0023402E"/>
    <w:rsid w:val="002355C3"/>
    <w:rsid w:val="00237E59"/>
    <w:rsid w:val="002407BF"/>
    <w:rsid w:val="00240A75"/>
    <w:rsid w:val="00240B9E"/>
    <w:rsid w:val="00240ED0"/>
    <w:rsid w:val="0024353D"/>
    <w:rsid w:val="00243A2A"/>
    <w:rsid w:val="00243FAF"/>
    <w:rsid w:val="00244134"/>
    <w:rsid w:val="00244772"/>
    <w:rsid w:val="00244943"/>
    <w:rsid w:val="0024496A"/>
    <w:rsid w:val="00244A8C"/>
    <w:rsid w:val="00244CEF"/>
    <w:rsid w:val="00244DF9"/>
    <w:rsid w:val="002463CB"/>
    <w:rsid w:val="002465F2"/>
    <w:rsid w:val="002467AF"/>
    <w:rsid w:val="00246ACF"/>
    <w:rsid w:val="00247189"/>
    <w:rsid w:val="0025062B"/>
    <w:rsid w:val="00250E33"/>
    <w:rsid w:val="00251302"/>
    <w:rsid w:val="002527FC"/>
    <w:rsid w:val="00252C3C"/>
    <w:rsid w:val="00253ED2"/>
    <w:rsid w:val="0025513C"/>
    <w:rsid w:val="00255E5B"/>
    <w:rsid w:val="00256943"/>
    <w:rsid w:val="00256E4F"/>
    <w:rsid w:val="00257501"/>
    <w:rsid w:val="00257D53"/>
    <w:rsid w:val="00257FCB"/>
    <w:rsid w:val="00260823"/>
    <w:rsid w:val="0026130C"/>
    <w:rsid w:val="00261801"/>
    <w:rsid w:val="002628B4"/>
    <w:rsid w:val="00263229"/>
    <w:rsid w:val="00263504"/>
    <w:rsid w:val="002639A5"/>
    <w:rsid w:val="00264D1E"/>
    <w:rsid w:val="00264F08"/>
    <w:rsid w:val="002650C5"/>
    <w:rsid w:val="002665A2"/>
    <w:rsid w:val="00266769"/>
    <w:rsid w:val="0026734C"/>
    <w:rsid w:val="00267A93"/>
    <w:rsid w:val="00270F71"/>
    <w:rsid w:val="00271DF4"/>
    <w:rsid w:val="00271E48"/>
    <w:rsid w:val="00272EED"/>
    <w:rsid w:val="00274330"/>
    <w:rsid w:val="00274725"/>
    <w:rsid w:val="00274F89"/>
    <w:rsid w:val="00275119"/>
    <w:rsid w:val="00275E39"/>
    <w:rsid w:val="0027609E"/>
    <w:rsid w:val="002766EF"/>
    <w:rsid w:val="00277CFC"/>
    <w:rsid w:val="00280212"/>
    <w:rsid w:val="0028273C"/>
    <w:rsid w:val="0028283D"/>
    <w:rsid w:val="0028329E"/>
    <w:rsid w:val="00283970"/>
    <w:rsid w:val="00284E52"/>
    <w:rsid w:val="0028529B"/>
    <w:rsid w:val="002858BF"/>
    <w:rsid w:val="00285E37"/>
    <w:rsid w:val="0028604D"/>
    <w:rsid w:val="00287ABB"/>
    <w:rsid w:val="00287DAB"/>
    <w:rsid w:val="00290133"/>
    <w:rsid w:val="00290817"/>
    <w:rsid w:val="00291478"/>
    <w:rsid w:val="0029308B"/>
    <w:rsid w:val="00294E40"/>
    <w:rsid w:val="002957E9"/>
    <w:rsid w:val="00295FE3"/>
    <w:rsid w:val="002963DA"/>
    <w:rsid w:val="002974CC"/>
    <w:rsid w:val="002A0249"/>
    <w:rsid w:val="002A0366"/>
    <w:rsid w:val="002A13DF"/>
    <w:rsid w:val="002A1428"/>
    <w:rsid w:val="002A15E0"/>
    <w:rsid w:val="002A240A"/>
    <w:rsid w:val="002A3381"/>
    <w:rsid w:val="002A3843"/>
    <w:rsid w:val="002A3DD1"/>
    <w:rsid w:val="002A3F9B"/>
    <w:rsid w:val="002A6E85"/>
    <w:rsid w:val="002A7D2D"/>
    <w:rsid w:val="002B0EDC"/>
    <w:rsid w:val="002B0F5C"/>
    <w:rsid w:val="002B16A9"/>
    <w:rsid w:val="002B2037"/>
    <w:rsid w:val="002B2444"/>
    <w:rsid w:val="002B343E"/>
    <w:rsid w:val="002B34DF"/>
    <w:rsid w:val="002B3E7F"/>
    <w:rsid w:val="002B4526"/>
    <w:rsid w:val="002B4562"/>
    <w:rsid w:val="002B4A18"/>
    <w:rsid w:val="002B4EDD"/>
    <w:rsid w:val="002B5C86"/>
    <w:rsid w:val="002B748F"/>
    <w:rsid w:val="002B76BA"/>
    <w:rsid w:val="002C1002"/>
    <w:rsid w:val="002C281D"/>
    <w:rsid w:val="002C2B30"/>
    <w:rsid w:val="002C3163"/>
    <w:rsid w:val="002C3E92"/>
    <w:rsid w:val="002C4F98"/>
    <w:rsid w:val="002C5B28"/>
    <w:rsid w:val="002C5C6C"/>
    <w:rsid w:val="002C611C"/>
    <w:rsid w:val="002C65CD"/>
    <w:rsid w:val="002C671E"/>
    <w:rsid w:val="002C6DB0"/>
    <w:rsid w:val="002C70A8"/>
    <w:rsid w:val="002C749D"/>
    <w:rsid w:val="002C7AA2"/>
    <w:rsid w:val="002C7B82"/>
    <w:rsid w:val="002C7D14"/>
    <w:rsid w:val="002D0B1F"/>
    <w:rsid w:val="002D1186"/>
    <w:rsid w:val="002D11DE"/>
    <w:rsid w:val="002D1C0E"/>
    <w:rsid w:val="002D20F4"/>
    <w:rsid w:val="002D2521"/>
    <w:rsid w:val="002D2B41"/>
    <w:rsid w:val="002D2E46"/>
    <w:rsid w:val="002D4037"/>
    <w:rsid w:val="002D56E0"/>
    <w:rsid w:val="002D5A79"/>
    <w:rsid w:val="002D6230"/>
    <w:rsid w:val="002D6D9A"/>
    <w:rsid w:val="002E00DA"/>
    <w:rsid w:val="002E08C2"/>
    <w:rsid w:val="002E094D"/>
    <w:rsid w:val="002E266F"/>
    <w:rsid w:val="002E30D3"/>
    <w:rsid w:val="002E405E"/>
    <w:rsid w:val="002E41C8"/>
    <w:rsid w:val="002E4906"/>
    <w:rsid w:val="002E4C0D"/>
    <w:rsid w:val="002E572D"/>
    <w:rsid w:val="002E5927"/>
    <w:rsid w:val="002F0B8C"/>
    <w:rsid w:val="002F0C5C"/>
    <w:rsid w:val="002F0D57"/>
    <w:rsid w:val="002F101F"/>
    <w:rsid w:val="002F1238"/>
    <w:rsid w:val="002F1997"/>
    <w:rsid w:val="002F1AC1"/>
    <w:rsid w:val="002F3648"/>
    <w:rsid w:val="002F3B25"/>
    <w:rsid w:val="002F3CFE"/>
    <w:rsid w:val="002F4417"/>
    <w:rsid w:val="002F4740"/>
    <w:rsid w:val="002F695A"/>
    <w:rsid w:val="002F6FA9"/>
    <w:rsid w:val="00300360"/>
    <w:rsid w:val="0030117B"/>
    <w:rsid w:val="00303F98"/>
    <w:rsid w:val="0030417D"/>
    <w:rsid w:val="003047CD"/>
    <w:rsid w:val="00305166"/>
    <w:rsid w:val="00305D0E"/>
    <w:rsid w:val="00305D28"/>
    <w:rsid w:val="00306399"/>
    <w:rsid w:val="00306B9C"/>
    <w:rsid w:val="00307438"/>
    <w:rsid w:val="00307EF6"/>
    <w:rsid w:val="003114BE"/>
    <w:rsid w:val="00313638"/>
    <w:rsid w:val="003149D6"/>
    <w:rsid w:val="00314E03"/>
    <w:rsid w:val="00315B3E"/>
    <w:rsid w:val="003169AB"/>
    <w:rsid w:val="00317BDD"/>
    <w:rsid w:val="00320936"/>
    <w:rsid w:val="00320E9D"/>
    <w:rsid w:val="00321102"/>
    <w:rsid w:val="00321342"/>
    <w:rsid w:val="00322034"/>
    <w:rsid w:val="00322E5B"/>
    <w:rsid w:val="00323E53"/>
    <w:rsid w:val="003248F3"/>
    <w:rsid w:val="00325636"/>
    <w:rsid w:val="0032566B"/>
    <w:rsid w:val="0032568E"/>
    <w:rsid w:val="00325EF7"/>
    <w:rsid w:val="00326B19"/>
    <w:rsid w:val="0032734F"/>
    <w:rsid w:val="00330211"/>
    <w:rsid w:val="00330B12"/>
    <w:rsid w:val="00331C04"/>
    <w:rsid w:val="00331D9E"/>
    <w:rsid w:val="003322D7"/>
    <w:rsid w:val="00332FFE"/>
    <w:rsid w:val="00333269"/>
    <w:rsid w:val="003335E6"/>
    <w:rsid w:val="00334362"/>
    <w:rsid w:val="00334AA9"/>
    <w:rsid w:val="00334E91"/>
    <w:rsid w:val="0033585B"/>
    <w:rsid w:val="00336355"/>
    <w:rsid w:val="00336A62"/>
    <w:rsid w:val="00336C6D"/>
    <w:rsid w:val="003379E2"/>
    <w:rsid w:val="003417D6"/>
    <w:rsid w:val="00342532"/>
    <w:rsid w:val="00342DC9"/>
    <w:rsid w:val="0034423A"/>
    <w:rsid w:val="003450AC"/>
    <w:rsid w:val="003457D9"/>
    <w:rsid w:val="003459E9"/>
    <w:rsid w:val="00345F88"/>
    <w:rsid w:val="003469DA"/>
    <w:rsid w:val="003524CF"/>
    <w:rsid w:val="00352798"/>
    <w:rsid w:val="00352C92"/>
    <w:rsid w:val="00353198"/>
    <w:rsid w:val="003550FB"/>
    <w:rsid w:val="003558C1"/>
    <w:rsid w:val="00355A50"/>
    <w:rsid w:val="00356628"/>
    <w:rsid w:val="00356F0D"/>
    <w:rsid w:val="00360EA4"/>
    <w:rsid w:val="003616A5"/>
    <w:rsid w:val="003620C7"/>
    <w:rsid w:val="00363CD6"/>
    <w:rsid w:val="003652B5"/>
    <w:rsid w:val="00366B2E"/>
    <w:rsid w:val="0036769B"/>
    <w:rsid w:val="003678C2"/>
    <w:rsid w:val="00370CF2"/>
    <w:rsid w:val="003718D6"/>
    <w:rsid w:val="00374B40"/>
    <w:rsid w:val="003752E7"/>
    <w:rsid w:val="0037789D"/>
    <w:rsid w:val="00377D71"/>
    <w:rsid w:val="00380E93"/>
    <w:rsid w:val="003815F8"/>
    <w:rsid w:val="0038168B"/>
    <w:rsid w:val="00381ECD"/>
    <w:rsid w:val="003825D9"/>
    <w:rsid w:val="00382967"/>
    <w:rsid w:val="0038355B"/>
    <w:rsid w:val="00383919"/>
    <w:rsid w:val="00383A54"/>
    <w:rsid w:val="00384678"/>
    <w:rsid w:val="0038527B"/>
    <w:rsid w:val="003853F8"/>
    <w:rsid w:val="00385BE2"/>
    <w:rsid w:val="00386F8F"/>
    <w:rsid w:val="00387D1B"/>
    <w:rsid w:val="00391F5D"/>
    <w:rsid w:val="00393B0D"/>
    <w:rsid w:val="003946E7"/>
    <w:rsid w:val="003963B2"/>
    <w:rsid w:val="00397A5D"/>
    <w:rsid w:val="003A0B4A"/>
    <w:rsid w:val="003A2C09"/>
    <w:rsid w:val="003A2EE9"/>
    <w:rsid w:val="003A3A5A"/>
    <w:rsid w:val="003A4695"/>
    <w:rsid w:val="003A5102"/>
    <w:rsid w:val="003A5DCB"/>
    <w:rsid w:val="003A5E11"/>
    <w:rsid w:val="003A6831"/>
    <w:rsid w:val="003A6CAB"/>
    <w:rsid w:val="003A7027"/>
    <w:rsid w:val="003A7728"/>
    <w:rsid w:val="003A78EC"/>
    <w:rsid w:val="003B0082"/>
    <w:rsid w:val="003B0298"/>
    <w:rsid w:val="003B0F80"/>
    <w:rsid w:val="003B1DEA"/>
    <w:rsid w:val="003B1EB5"/>
    <w:rsid w:val="003B237C"/>
    <w:rsid w:val="003B2496"/>
    <w:rsid w:val="003B3486"/>
    <w:rsid w:val="003B3A5D"/>
    <w:rsid w:val="003B44E7"/>
    <w:rsid w:val="003B462D"/>
    <w:rsid w:val="003B4CB7"/>
    <w:rsid w:val="003B61C0"/>
    <w:rsid w:val="003B6665"/>
    <w:rsid w:val="003B6D12"/>
    <w:rsid w:val="003B7DBC"/>
    <w:rsid w:val="003C06E1"/>
    <w:rsid w:val="003C155D"/>
    <w:rsid w:val="003C1962"/>
    <w:rsid w:val="003C227E"/>
    <w:rsid w:val="003C3071"/>
    <w:rsid w:val="003C34D1"/>
    <w:rsid w:val="003C47BC"/>
    <w:rsid w:val="003C7623"/>
    <w:rsid w:val="003C7CA2"/>
    <w:rsid w:val="003D088C"/>
    <w:rsid w:val="003D18EF"/>
    <w:rsid w:val="003D195B"/>
    <w:rsid w:val="003D1FE2"/>
    <w:rsid w:val="003D4844"/>
    <w:rsid w:val="003D4ACB"/>
    <w:rsid w:val="003D4CC5"/>
    <w:rsid w:val="003D5F3E"/>
    <w:rsid w:val="003D761B"/>
    <w:rsid w:val="003D7C46"/>
    <w:rsid w:val="003D7E6D"/>
    <w:rsid w:val="003E1632"/>
    <w:rsid w:val="003E26D3"/>
    <w:rsid w:val="003E40F7"/>
    <w:rsid w:val="003E4E66"/>
    <w:rsid w:val="003E5FAC"/>
    <w:rsid w:val="003E6F80"/>
    <w:rsid w:val="003E752F"/>
    <w:rsid w:val="003F0527"/>
    <w:rsid w:val="003F0B22"/>
    <w:rsid w:val="003F16A1"/>
    <w:rsid w:val="003F1FE0"/>
    <w:rsid w:val="003F22F8"/>
    <w:rsid w:val="003F24D7"/>
    <w:rsid w:val="003F2C79"/>
    <w:rsid w:val="003F556E"/>
    <w:rsid w:val="003F5A81"/>
    <w:rsid w:val="003F5BEC"/>
    <w:rsid w:val="003F6303"/>
    <w:rsid w:val="003F670C"/>
    <w:rsid w:val="003F68F4"/>
    <w:rsid w:val="00400EB1"/>
    <w:rsid w:val="00401AD0"/>
    <w:rsid w:val="0040207D"/>
    <w:rsid w:val="004023C9"/>
    <w:rsid w:val="0040361E"/>
    <w:rsid w:val="00404620"/>
    <w:rsid w:val="00404EEB"/>
    <w:rsid w:val="004050AA"/>
    <w:rsid w:val="00405863"/>
    <w:rsid w:val="00405B1E"/>
    <w:rsid w:val="00406285"/>
    <w:rsid w:val="004068BD"/>
    <w:rsid w:val="004068E7"/>
    <w:rsid w:val="00406A13"/>
    <w:rsid w:val="00407EBB"/>
    <w:rsid w:val="00411431"/>
    <w:rsid w:val="00411A08"/>
    <w:rsid w:val="00411BDC"/>
    <w:rsid w:val="00412FEC"/>
    <w:rsid w:val="00414ADA"/>
    <w:rsid w:val="004159C3"/>
    <w:rsid w:val="00416813"/>
    <w:rsid w:val="00416CD2"/>
    <w:rsid w:val="00417639"/>
    <w:rsid w:val="00420182"/>
    <w:rsid w:val="00420AC0"/>
    <w:rsid w:val="004213F2"/>
    <w:rsid w:val="0042266D"/>
    <w:rsid w:val="004228E9"/>
    <w:rsid w:val="00422DF7"/>
    <w:rsid w:val="004231F4"/>
    <w:rsid w:val="00424350"/>
    <w:rsid w:val="004243CF"/>
    <w:rsid w:val="00424D46"/>
    <w:rsid w:val="00425707"/>
    <w:rsid w:val="00425D4C"/>
    <w:rsid w:val="00426B14"/>
    <w:rsid w:val="004278B5"/>
    <w:rsid w:val="00427F6D"/>
    <w:rsid w:val="00430906"/>
    <w:rsid w:val="00430C63"/>
    <w:rsid w:val="00430DCC"/>
    <w:rsid w:val="00430FB2"/>
    <w:rsid w:val="00431332"/>
    <w:rsid w:val="004319B9"/>
    <w:rsid w:val="00432060"/>
    <w:rsid w:val="00432699"/>
    <w:rsid w:val="00432B60"/>
    <w:rsid w:val="00432E8E"/>
    <w:rsid w:val="00433E8A"/>
    <w:rsid w:val="0043441C"/>
    <w:rsid w:val="0043596C"/>
    <w:rsid w:val="00436E93"/>
    <w:rsid w:val="004371BE"/>
    <w:rsid w:val="004401C0"/>
    <w:rsid w:val="00440744"/>
    <w:rsid w:val="00440972"/>
    <w:rsid w:val="00440DE0"/>
    <w:rsid w:val="004415FC"/>
    <w:rsid w:val="004418BF"/>
    <w:rsid w:val="00441A73"/>
    <w:rsid w:val="004427B6"/>
    <w:rsid w:val="004429C4"/>
    <w:rsid w:val="00447A3D"/>
    <w:rsid w:val="004502B1"/>
    <w:rsid w:val="00450606"/>
    <w:rsid w:val="00450BC5"/>
    <w:rsid w:val="004510E6"/>
    <w:rsid w:val="004522BE"/>
    <w:rsid w:val="004528F1"/>
    <w:rsid w:val="00452F91"/>
    <w:rsid w:val="004539FE"/>
    <w:rsid w:val="004544FD"/>
    <w:rsid w:val="00454FF7"/>
    <w:rsid w:val="0045534C"/>
    <w:rsid w:val="00456F99"/>
    <w:rsid w:val="0045733F"/>
    <w:rsid w:val="004576D0"/>
    <w:rsid w:val="004579A2"/>
    <w:rsid w:val="00460E1B"/>
    <w:rsid w:val="00461423"/>
    <w:rsid w:val="004622A0"/>
    <w:rsid w:val="0046287B"/>
    <w:rsid w:val="00462BD7"/>
    <w:rsid w:val="0046340D"/>
    <w:rsid w:val="00464AEB"/>
    <w:rsid w:val="00465057"/>
    <w:rsid w:val="00465E8A"/>
    <w:rsid w:val="004700B2"/>
    <w:rsid w:val="00470217"/>
    <w:rsid w:val="00472104"/>
    <w:rsid w:val="0047362C"/>
    <w:rsid w:val="00473F02"/>
    <w:rsid w:val="00474807"/>
    <w:rsid w:val="0047551E"/>
    <w:rsid w:val="004761B4"/>
    <w:rsid w:val="00476E34"/>
    <w:rsid w:val="0048052E"/>
    <w:rsid w:val="00481343"/>
    <w:rsid w:val="00481F7C"/>
    <w:rsid w:val="00482246"/>
    <w:rsid w:val="004842F2"/>
    <w:rsid w:val="0048547B"/>
    <w:rsid w:val="00485631"/>
    <w:rsid w:val="00485F7A"/>
    <w:rsid w:val="0048749E"/>
    <w:rsid w:val="00492742"/>
    <w:rsid w:val="00492B5E"/>
    <w:rsid w:val="00494D5A"/>
    <w:rsid w:val="0049506C"/>
    <w:rsid w:val="00495615"/>
    <w:rsid w:val="004A022A"/>
    <w:rsid w:val="004A03C5"/>
    <w:rsid w:val="004A2DB4"/>
    <w:rsid w:val="004A47D9"/>
    <w:rsid w:val="004A4E65"/>
    <w:rsid w:val="004A6549"/>
    <w:rsid w:val="004A68A0"/>
    <w:rsid w:val="004B080A"/>
    <w:rsid w:val="004B1DB2"/>
    <w:rsid w:val="004B1F38"/>
    <w:rsid w:val="004B20FF"/>
    <w:rsid w:val="004B2AC5"/>
    <w:rsid w:val="004B2D65"/>
    <w:rsid w:val="004B428F"/>
    <w:rsid w:val="004B50A2"/>
    <w:rsid w:val="004B55BE"/>
    <w:rsid w:val="004B56A8"/>
    <w:rsid w:val="004B5C84"/>
    <w:rsid w:val="004B7468"/>
    <w:rsid w:val="004B76FB"/>
    <w:rsid w:val="004C0959"/>
    <w:rsid w:val="004C0B95"/>
    <w:rsid w:val="004C1FE2"/>
    <w:rsid w:val="004C46C3"/>
    <w:rsid w:val="004C49AC"/>
    <w:rsid w:val="004C4D47"/>
    <w:rsid w:val="004C6ECB"/>
    <w:rsid w:val="004C6F61"/>
    <w:rsid w:val="004C7363"/>
    <w:rsid w:val="004C7BA5"/>
    <w:rsid w:val="004D0AA7"/>
    <w:rsid w:val="004D0B39"/>
    <w:rsid w:val="004D1FFE"/>
    <w:rsid w:val="004D26A5"/>
    <w:rsid w:val="004D2845"/>
    <w:rsid w:val="004D3C3C"/>
    <w:rsid w:val="004D3F4A"/>
    <w:rsid w:val="004D4C09"/>
    <w:rsid w:val="004D697C"/>
    <w:rsid w:val="004D6DAE"/>
    <w:rsid w:val="004D7BF2"/>
    <w:rsid w:val="004D7D5E"/>
    <w:rsid w:val="004E08C9"/>
    <w:rsid w:val="004E1AF2"/>
    <w:rsid w:val="004E22F2"/>
    <w:rsid w:val="004E30DA"/>
    <w:rsid w:val="004E3703"/>
    <w:rsid w:val="004E618C"/>
    <w:rsid w:val="004E713E"/>
    <w:rsid w:val="004F00A9"/>
    <w:rsid w:val="004F127C"/>
    <w:rsid w:val="004F1BC8"/>
    <w:rsid w:val="004F1D01"/>
    <w:rsid w:val="004F25E8"/>
    <w:rsid w:val="004F268C"/>
    <w:rsid w:val="004F2720"/>
    <w:rsid w:val="004F421E"/>
    <w:rsid w:val="004F466D"/>
    <w:rsid w:val="004F48B1"/>
    <w:rsid w:val="004F4A69"/>
    <w:rsid w:val="004F502A"/>
    <w:rsid w:val="004F5061"/>
    <w:rsid w:val="004F581F"/>
    <w:rsid w:val="004F6A35"/>
    <w:rsid w:val="004F6BB2"/>
    <w:rsid w:val="004F6F9F"/>
    <w:rsid w:val="004F705D"/>
    <w:rsid w:val="004F7110"/>
    <w:rsid w:val="00500CCB"/>
    <w:rsid w:val="00502E0B"/>
    <w:rsid w:val="00503F2F"/>
    <w:rsid w:val="00503F48"/>
    <w:rsid w:val="00506674"/>
    <w:rsid w:val="00506D5A"/>
    <w:rsid w:val="0051076A"/>
    <w:rsid w:val="00510FFF"/>
    <w:rsid w:val="005123CE"/>
    <w:rsid w:val="00514811"/>
    <w:rsid w:val="00514F2B"/>
    <w:rsid w:val="005153AA"/>
    <w:rsid w:val="0051542A"/>
    <w:rsid w:val="005169CC"/>
    <w:rsid w:val="0051704C"/>
    <w:rsid w:val="00520FE8"/>
    <w:rsid w:val="005229F7"/>
    <w:rsid w:val="005245A9"/>
    <w:rsid w:val="00525DDB"/>
    <w:rsid w:val="00526F43"/>
    <w:rsid w:val="00527006"/>
    <w:rsid w:val="005270F6"/>
    <w:rsid w:val="00530605"/>
    <w:rsid w:val="0053165D"/>
    <w:rsid w:val="00532FF4"/>
    <w:rsid w:val="00533341"/>
    <w:rsid w:val="00533455"/>
    <w:rsid w:val="0053360A"/>
    <w:rsid w:val="00533CCB"/>
    <w:rsid w:val="00534656"/>
    <w:rsid w:val="005358F0"/>
    <w:rsid w:val="005359F7"/>
    <w:rsid w:val="00535D58"/>
    <w:rsid w:val="00535F41"/>
    <w:rsid w:val="0053695B"/>
    <w:rsid w:val="0053702C"/>
    <w:rsid w:val="005373B9"/>
    <w:rsid w:val="00537561"/>
    <w:rsid w:val="00537E1C"/>
    <w:rsid w:val="005403AC"/>
    <w:rsid w:val="00540C42"/>
    <w:rsid w:val="005429F2"/>
    <w:rsid w:val="00542BE8"/>
    <w:rsid w:val="00542C40"/>
    <w:rsid w:val="00542C53"/>
    <w:rsid w:val="00544A6E"/>
    <w:rsid w:val="00544ABE"/>
    <w:rsid w:val="00546919"/>
    <w:rsid w:val="00546A17"/>
    <w:rsid w:val="00547524"/>
    <w:rsid w:val="00547A20"/>
    <w:rsid w:val="00550D15"/>
    <w:rsid w:val="00551240"/>
    <w:rsid w:val="005522C9"/>
    <w:rsid w:val="00552B7E"/>
    <w:rsid w:val="00552E2B"/>
    <w:rsid w:val="005531BA"/>
    <w:rsid w:val="0055354D"/>
    <w:rsid w:val="005539DC"/>
    <w:rsid w:val="00553EB7"/>
    <w:rsid w:val="0055491B"/>
    <w:rsid w:val="00554EFD"/>
    <w:rsid w:val="005563AB"/>
    <w:rsid w:val="00556598"/>
    <w:rsid w:val="005576B5"/>
    <w:rsid w:val="00557763"/>
    <w:rsid w:val="00560752"/>
    <w:rsid w:val="005635E5"/>
    <w:rsid w:val="00563B40"/>
    <w:rsid w:val="00563F9C"/>
    <w:rsid w:val="00564FF3"/>
    <w:rsid w:val="00565427"/>
    <w:rsid w:val="0056571F"/>
    <w:rsid w:val="00567795"/>
    <w:rsid w:val="00567A12"/>
    <w:rsid w:val="00567A4D"/>
    <w:rsid w:val="00567EEE"/>
    <w:rsid w:val="00570401"/>
    <w:rsid w:val="005704AD"/>
    <w:rsid w:val="0057072F"/>
    <w:rsid w:val="005708B9"/>
    <w:rsid w:val="005710ED"/>
    <w:rsid w:val="0057131F"/>
    <w:rsid w:val="00572AC2"/>
    <w:rsid w:val="005732E1"/>
    <w:rsid w:val="00573F4D"/>
    <w:rsid w:val="005748CB"/>
    <w:rsid w:val="00574C39"/>
    <w:rsid w:val="00576508"/>
    <w:rsid w:val="00577445"/>
    <w:rsid w:val="00580030"/>
    <w:rsid w:val="005822EC"/>
    <w:rsid w:val="00583715"/>
    <w:rsid w:val="00585B10"/>
    <w:rsid w:val="00585CF3"/>
    <w:rsid w:val="005860E4"/>
    <w:rsid w:val="005874AD"/>
    <w:rsid w:val="00590603"/>
    <w:rsid w:val="00591AAB"/>
    <w:rsid w:val="00591B77"/>
    <w:rsid w:val="00591F2A"/>
    <w:rsid w:val="0059282D"/>
    <w:rsid w:val="00595A9B"/>
    <w:rsid w:val="00595C8B"/>
    <w:rsid w:val="005966BE"/>
    <w:rsid w:val="00597601"/>
    <w:rsid w:val="005A0450"/>
    <w:rsid w:val="005A06B6"/>
    <w:rsid w:val="005A0E42"/>
    <w:rsid w:val="005A17D5"/>
    <w:rsid w:val="005A1857"/>
    <w:rsid w:val="005A1868"/>
    <w:rsid w:val="005A1D7F"/>
    <w:rsid w:val="005A1D92"/>
    <w:rsid w:val="005A277B"/>
    <w:rsid w:val="005A27AA"/>
    <w:rsid w:val="005A3735"/>
    <w:rsid w:val="005A4591"/>
    <w:rsid w:val="005A51A7"/>
    <w:rsid w:val="005A5429"/>
    <w:rsid w:val="005A6238"/>
    <w:rsid w:val="005A6DC3"/>
    <w:rsid w:val="005A73DC"/>
    <w:rsid w:val="005A7919"/>
    <w:rsid w:val="005B08EB"/>
    <w:rsid w:val="005B2F01"/>
    <w:rsid w:val="005B4177"/>
    <w:rsid w:val="005B527D"/>
    <w:rsid w:val="005B58F8"/>
    <w:rsid w:val="005B5EAA"/>
    <w:rsid w:val="005B6345"/>
    <w:rsid w:val="005B64A8"/>
    <w:rsid w:val="005B6CF3"/>
    <w:rsid w:val="005B76BB"/>
    <w:rsid w:val="005C1031"/>
    <w:rsid w:val="005C180C"/>
    <w:rsid w:val="005C351F"/>
    <w:rsid w:val="005C3612"/>
    <w:rsid w:val="005C428E"/>
    <w:rsid w:val="005C476E"/>
    <w:rsid w:val="005C5499"/>
    <w:rsid w:val="005C729A"/>
    <w:rsid w:val="005C737B"/>
    <w:rsid w:val="005C7D65"/>
    <w:rsid w:val="005D09DF"/>
    <w:rsid w:val="005D1398"/>
    <w:rsid w:val="005D2034"/>
    <w:rsid w:val="005D207D"/>
    <w:rsid w:val="005D3089"/>
    <w:rsid w:val="005D329A"/>
    <w:rsid w:val="005D3B58"/>
    <w:rsid w:val="005D3DC0"/>
    <w:rsid w:val="005D42A7"/>
    <w:rsid w:val="005D6686"/>
    <w:rsid w:val="005D6CAF"/>
    <w:rsid w:val="005D6CF0"/>
    <w:rsid w:val="005D70A6"/>
    <w:rsid w:val="005E0143"/>
    <w:rsid w:val="005E06FB"/>
    <w:rsid w:val="005E0B6A"/>
    <w:rsid w:val="005E1502"/>
    <w:rsid w:val="005E1617"/>
    <w:rsid w:val="005E1B87"/>
    <w:rsid w:val="005E2142"/>
    <w:rsid w:val="005E475F"/>
    <w:rsid w:val="005E5256"/>
    <w:rsid w:val="005E616A"/>
    <w:rsid w:val="005E6732"/>
    <w:rsid w:val="005E74AD"/>
    <w:rsid w:val="005E7E8D"/>
    <w:rsid w:val="005E7EE1"/>
    <w:rsid w:val="005F086F"/>
    <w:rsid w:val="005F1F21"/>
    <w:rsid w:val="005F228C"/>
    <w:rsid w:val="005F2762"/>
    <w:rsid w:val="005F27AA"/>
    <w:rsid w:val="005F29BF"/>
    <w:rsid w:val="005F3728"/>
    <w:rsid w:val="005F3D7F"/>
    <w:rsid w:val="005F6668"/>
    <w:rsid w:val="005F6D71"/>
    <w:rsid w:val="005F71C3"/>
    <w:rsid w:val="005F7EF1"/>
    <w:rsid w:val="006005DD"/>
    <w:rsid w:val="006030EE"/>
    <w:rsid w:val="006039DC"/>
    <w:rsid w:val="0060469C"/>
    <w:rsid w:val="0060476D"/>
    <w:rsid w:val="00604846"/>
    <w:rsid w:val="00604916"/>
    <w:rsid w:val="00604FD5"/>
    <w:rsid w:val="00606117"/>
    <w:rsid w:val="006066A6"/>
    <w:rsid w:val="006069DB"/>
    <w:rsid w:val="00606CC0"/>
    <w:rsid w:val="00606D57"/>
    <w:rsid w:val="006079CC"/>
    <w:rsid w:val="0061256E"/>
    <w:rsid w:val="00612725"/>
    <w:rsid w:val="006137D4"/>
    <w:rsid w:val="00615236"/>
    <w:rsid w:val="0061556D"/>
    <w:rsid w:val="00615E68"/>
    <w:rsid w:val="00616BEF"/>
    <w:rsid w:val="006204BC"/>
    <w:rsid w:val="006211CE"/>
    <w:rsid w:val="006217E1"/>
    <w:rsid w:val="00621C0A"/>
    <w:rsid w:val="006226A2"/>
    <w:rsid w:val="00623247"/>
    <w:rsid w:val="0062449D"/>
    <w:rsid w:val="006251CC"/>
    <w:rsid w:val="00625744"/>
    <w:rsid w:val="00626836"/>
    <w:rsid w:val="00626C5E"/>
    <w:rsid w:val="00627764"/>
    <w:rsid w:val="00631919"/>
    <w:rsid w:val="00631FCA"/>
    <w:rsid w:val="00633794"/>
    <w:rsid w:val="006339B2"/>
    <w:rsid w:val="006377BF"/>
    <w:rsid w:val="00637AE5"/>
    <w:rsid w:val="006400FB"/>
    <w:rsid w:val="00640181"/>
    <w:rsid w:val="0064073F"/>
    <w:rsid w:val="00640E19"/>
    <w:rsid w:val="00641E87"/>
    <w:rsid w:val="00641FF1"/>
    <w:rsid w:val="006439D1"/>
    <w:rsid w:val="00644903"/>
    <w:rsid w:val="006455D8"/>
    <w:rsid w:val="00646949"/>
    <w:rsid w:val="00647CD4"/>
    <w:rsid w:val="00647DF3"/>
    <w:rsid w:val="006501A1"/>
    <w:rsid w:val="006504F7"/>
    <w:rsid w:val="00650F89"/>
    <w:rsid w:val="00651103"/>
    <w:rsid w:val="006518CB"/>
    <w:rsid w:val="00651DFA"/>
    <w:rsid w:val="0065331A"/>
    <w:rsid w:val="006543D6"/>
    <w:rsid w:val="00654B57"/>
    <w:rsid w:val="006562C4"/>
    <w:rsid w:val="00656427"/>
    <w:rsid w:val="00656B5D"/>
    <w:rsid w:val="006608D5"/>
    <w:rsid w:val="00660EF2"/>
    <w:rsid w:val="00660F82"/>
    <w:rsid w:val="00661212"/>
    <w:rsid w:val="00663321"/>
    <w:rsid w:val="006649B1"/>
    <w:rsid w:val="00664CE6"/>
    <w:rsid w:val="0066558E"/>
    <w:rsid w:val="006659E3"/>
    <w:rsid w:val="00665CDC"/>
    <w:rsid w:val="006673EE"/>
    <w:rsid w:val="006712C7"/>
    <w:rsid w:val="00672986"/>
    <w:rsid w:val="00673201"/>
    <w:rsid w:val="00673D5F"/>
    <w:rsid w:val="006743EB"/>
    <w:rsid w:val="00674491"/>
    <w:rsid w:val="00674BAE"/>
    <w:rsid w:val="00674D9E"/>
    <w:rsid w:val="00675E29"/>
    <w:rsid w:val="006778F0"/>
    <w:rsid w:val="00677B01"/>
    <w:rsid w:val="00677EA6"/>
    <w:rsid w:val="00680E55"/>
    <w:rsid w:val="00681B49"/>
    <w:rsid w:val="00682639"/>
    <w:rsid w:val="00683D55"/>
    <w:rsid w:val="00686BFA"/>
    <w:rsid w:val="00687CC0"/>
    <w:rsid w:val="0069045D"/>
    <w:rsid w:val="00690792"/>
    <w:rsid w:val="00694B3F"/>
    <w:rsid w:val="006A0F27"/>
    <w:rsid w:val="006A20F8"/>
    <w:rsid w:val="006A2CA1"/>
    <w:rsid w:val="006A419C"/>
    <w:rsid w:val="006A5802"/>
    <w:rsid w:val="006A5A8C"/>
    <w:rsid w:val="006A6633"/>
    <w:rsid w:val="006A6DAA"/>
    <w:rsid w:val="006A71C1"/>
    <w:rsid w:val="006A739D"/>
    <w:rsid w:val="006A77BE"/>
    <w:rsid w:val="006A7D07"/>
    <w:rsid w:val="006B0605"/>
    <w:rsid w:val="006B09E5"/>
    <w:rsid w:val="006B1375"/>
    <w:rsid w:val="006B3C5C"/>
    <w:rsid w:val="006B4A44"/>
    <w:rsid w:val="006B4D2E"/>
    <w:rsid w:val="006B4FAB"/>
    <w:rsid w:val="006B5253"/>
    <w:rsid w:val="006B5AC7"/>
    <w:rsid w:val="006B5EB7"/>
    <w:rsid w:val="006B5EDA"/>
    <w:rsid w:val="006B7116"/>
    <w:rsid w:val="006C003A"/>
    <w:rsid w:val="006C0535"/>
    <w:rsid w:val="006C10E5"/>
    <w:rsid w:val="006C247F"/>
    <w:rsid w:val="006C2AED"/>
    <w:rsid w:val="006C2DF0"/>
    <w:rsid w:val="006C307D"/>
    <w:rsid w:val="006C40FB"/>
    <w:rsid w:val="006C476C"/>
    <w:rsid w:val="006C4825"/>
    <w:rsid w:val="006C4885"/>
    <w:rsid w:val="006C53DE"/>
    <w:rsid w:val="006C62D6"/>
    <w:rsid w:val="006C635F"/>
    <w:rsid w:val="006C63A3"/>
    <w:rsid w:val="006C63D9"/>
    <w:rsid w:val="006C6FF6"/>
    <w:rsid w:val="006D00A4"/>
    <w:rsid w:val="006D0229"/>
    <w:rsid w:val="006D0DF6"/>
    <w:rsid w:val="006D111E"/>
    <w:rsid w:val="006D17CA"/>
    <w:rsid w:val="006D1BA6"/>
    <w:rsid w:val="006D2251"/>
    <w:rsid w:val="006D2BE2"/>
    <w:rsid w:val="006D2CD8"/>
    <w:rsid w:val="006D5A43"/>
    <w:rsid w:val="006D749C"/>
    <w:rsid w:val="006D7A13"/>
    <w:rsid w:val="006E1194"/>
    <w:rsid w:val="006E1918"/>
    <w:rsid w:val="006E1C70"/>
    <w:rsid w:val="006E404C"/>
    <w:rsid w:val="006E4CB4"/>
    <w:rsid w:val="006E5976"/>
    <w:rsid w:val="006F0596"/>
    <w:rsid w:val="006F0F5F"/>
    <w:rsid w:val="006F2DA9"/>
    <w:rsid w:val="006F2DB7"/>
    <w:rsid w:val="006F3B09"/>
    <w:rsid w:val="006F3B7D"/>
    <w:rsid w:val="006F42DD"/>
    <w:rsid w:val="006F4BA4"/>
    <w:rsid w:val="006F5534"/>
    <w:rsid w:val="006F7C1A"/>
    <w:rsid w:val="007008AC"/>
    <w:rsid w:val="00701158"/>
    <w:rsid w:val="00701A7C"/>
    <w:rsid w:val="007031FD"/>
    <w:rsid w:val="007036E6"/>
    <w:rsid w:val="00704EBA"/>
    <w:rsid w:val="00704FDF"/>
    <w:rsid w:val="00705D87"/>
    <w:rsid w:val="00706211"/>
    <w:rsid w:val="0070696F"/>
    <w:rsid w:val="00706A9B"/>
    <w:rsid w:val="00706AA7"/>
    <w:rsid w:val="00706E57"/>
    <w:rsid w:val="00706F9F"/>
    <w:rsid w:val="00707646"/>
    <w:rsid w:val="0070789D"/>
    <w:rsid w:val="00707F90"/>
    <w:rsid w:val="0071073F"/>
    <w:rsid w:val="00711308"/>
    <w:rsid w:val="00711E05"/>
    <w:rsid w:val="007123C3"/>
    <w:rsid w:val="00713536"/>
    <w:rsid w:val="007142F4"/>
    <w:rsid w:val="00715E97"/>
    <w:rsid w:val="0071747D"/>
    <w:rsid w:val="00720247"/>
    <w:rsid w:val="00720740"/>
    <w:rsid w:val="00722E70"/>
    <w:rsid w:val="00723A30"/>
    <w:rsid w:val="00723FF7"/>
    <w:rsid w:val="00724098"/>
    <w:rsid w:val="00725678"/>
    <w:rsid w:val="007274ED"/>
    <w:rsid w:val="00727885"/>
    <w:rsid w:val="00730F6A"/>
    <w:rsid w:val="007326AA"/>
    <w:rsid w:val="00732A14"/>
    <w:rsid w:val="00733D29"/>
    <w:rsid w:val="0073491D"/>
    <w:rsid w:val="007350EE"/>
    <w:rsid w:val="00735457"/>
    <w:rsid w:val="00735DE9"/>
    <w:rsid w:val="00735F3B"/>
    <w:rsid w:val="00737031"/>
    <w:rsid w:val="00737554"/>
    <w:rsid w:val="00737ED4"/>
    <w:rsid w:val="00737EE1"/>
    <w:rsid w:val="007405AA"/>
    <w:rsid w:val="0074155B"/>
    <w:rsid w:val="007416E8"/>
    <w:rsid w:val="007419A0"/>
    <w:rsid w:val="007436A5"/>
    <w:rsid w:val="00743962"/>
    <w:rsid w:val="0074479F"/>
    <w:rsid w:val="00744B10"/>
    <w:rsid w:val="007454BB"/>
    <w:rsid w:val="00745D3E"/>
    <w:rsid w:val="00745E7B"/>
    <w:rsid w:val="00747445"/>
    <w:rsid w:val="00747490"/>
    <w:rsid w:val="0074768A"/>
    <w:rsid w:val="007478FF"/>
    <w:rsid w:val="00747DC2"/>
    <w:rsid w:val="00750121"/>
    <w:rsid w:val="00750E70"/>
    <w:rsid w:val="00751705"/>
    <w:rsid w:val="00751730"/>
    <w:rsid w:val="00752F19"/>
    <w:rsid w:val="007531EB"/>
    <w:rsid w:val="00753E0D"/>
    <w:rsid w:val="0075430A"/>
    <w:rsid w:val="0075533D"/>
    <w:rsid w:val="00755D38"/>
    <w:rsid w:val="007560F5"/>
    <w:rsid w:val="007564CE"/>
    <w:rsid w:val="007565D3"/>
    <w:rsid w:val="00757518"/>
    <w:rsid w:val="0076009F"/>
    <w:rsid w:val="00760E6E"/>
    <w:rsid w:val="007630B3"/>
    <w:rsid w:val="007630CA"/>
    <w:rsid w:val="00763EFD"/>
    <w:rsid w:val="00764042"/>
    <w:rsid w:val="00764A31"/>
    <w:rsid w:val="0076635E"/>
    <w:rsid w:val="00766761"/>
    <w:rsid w:val="00766D8A"/>
    <w:rsid w:val="007714BE"/>
    <w:rsid w:val="007728D1"/>
    <w:rsid w:val="00772D29"/>
    <w:rsid w:val="00774C5C"/>
    <w:rsid w:val="00774D42"/>
    <w:rsid w:val="00774E80"/>
    <w:rsid w:val="00774F76"/>
    <w:rsid w:val="0077569F"/>
    <w:rsid w:val="00777519"/>
    <w:rsid w:val="0077766A"/>
    <w:rsid w:val="00777B23"/>
    <w:rsid w:val="00777C33"/>
    <w:rsid w:val="00777D34"/>
    <w:rsid w:val="00777DD4"/>
    <w:rsid w:val="0078044C"/>
    <w:rsid w:val="007808E2"/>
    <w:rsid w:val="00781386"/>
    <w:rsid w:val="007814DB"/>
    <w:rsid w:val="00783125"/>
    <w:rsid w:val="00784476"/>
    <w:rsid w:val="00786CE1"/>
    <w:rsid w:val="007872D6"/>
    <w:rsid w:val="00790DBF"/>
    <w:rsid w:val="007924A7"/>
    <w:rsid w:val="007929CF"/>
    <w:rsid w:val="00792A81"/>
    <w:rsid w:val="007939BA"/>
    <w:rsid w:val="00793EDA"/>
    <w:rsid w:val="00794EC7"/>
    <w:rsid w:val="00795046"/>
    <w:rsid w:val="00795F27"/>
    <w:rsid w:val="007973C5"/>
    <w:rsid w:val="00797CB2"/>
    <w:rsid w:val="007A09EA"/>
    <w:rsid w:val="007A0F2C"/>
    <w:rsid w:val="007A1178"/>
    <w:rsid w:val="007A1437"/>
    <w:rsid w:val="007A17E1"/>
    <w:rsid w:val="007A1BD0"/>
    <w:rsid w:val="007A26C9"/>
    <w:rsid w:val="007A2846"/>
    <w:rsid w:val="007A4127"/>
    <w:rsid w:val="007A624D"/>
    <w:rsid w:val="007A6698"/>
    <w:rsid w:val="007A7F5E"/>
    <w:rsid w:val="007A7F63"/>
    <w:rsid w:val="007B010E"/>
    <w:rsid w:val="007B0178"/>
    <w:rsid w:val="007B0B47"/>
    <w:rsid w:val="007B13C0"/>
    <w:rsid w:val="007B18B9"/>
    <w:rsid w:val="007B2253"/>
    <w:rsid w:val="007B2A50"/>
    <w:rsid w:val="007B2A56"/>
    <w:rsid w:val="007B3E2B"/>
    <w:rsid w:val="007B3EB3"/>
    <w:rsid w:val="007B4209"/>
    <w:rsid w:val="007B4D8C"/>
    <w:rsid w:val="007C1EFC"/>
    <w:rsid w:val="007C27A0"/>
    <w:rsid w:val="007C617A"/>
    <w:rsid w:val="007C617C"/>
    <w:rsid w:val="007C6574"/>
    <w:rsid w:val="007C6937"/>
    <w:rsid w:val="007C6AD1"/>
    <w:rsid w:val="007C73A2"/>
    <w:rsid w:val="007C759E"/>
    <w:rsid w:val="007D0BB8"/>
    <w:rsid w:val="007D15D3"/>
    <w:rsid w:val="007D2F25"/>
    <w:rsid w:val="007D37BB"/>
    <w:rsid w:val="007D38F5"/>
    <w:rsid w:val="007D3F09"/>
    <w:rsid w:val="007D43C1"/>
    <w:rsid w:val="007D5080"/>
    <w:rsid w:val="007D73C5"/>
    <w:rsid w:val="007E0EBC"/>
    <w:rsid w:val="007E1624"/>
    <w:rsid w:val="007E19A0"/>
    <w:rsid w:val="007E473A"/>
    <w:rsid w:val="007E4742"/>
    <w:rsid w:val="007E54A3"/>
    <w:rsid w:val="007E76F0"/>
    <w:rsid w:val="007E7748"/>
    <w:rsid w:val="007E7EBD"/>
    <w:rsid w:val="007E7F2C"/>
    <w:rsid w:val="007F153E"/>
    <w:rsid w:val="007F3A4A"/>
    <w:rsid w:val="007F3C91"/>
    <w:rsid w:val="007F41E0"/>
    <w:rsid w:val="007F5017"/>
    <w:rsid w:val="007F6336"/>
    <w:rsid w:val="007F70F2"/>
    <w:rsid w:val="007F7B80"/>
    <w:rsid w:val="007F7E6D"/>
    <w:rsid w:val="008002E8"/>
    <w:rsid w:val="008005B1"/>
    <w:rsid w:val="00800DC4"/>
    <w:rsid w:val="00800FAB"/>
    <w:rsid w:val="0080195E"/>
    <w:rsid w:val="00801E52"/>
    <w:rsid w:val="008021E3"/>
    <w:rsid w:val="008030B3"/>
    <w:rsid w:val="008032C0"/>
    <w:rsid w:val="008033AA"/>
    <w:rsid w:val="008035C0"/>
    <w:rsid w:val="00803737"/>
    <w:rsid w:val="00803DDD"/>
    <w:rsid w:val="00803E37"/>
    <w:rsid w:val="008042E2"/>
    <w:rsid w:val="00804463"/>
    <w:rsid w:val="00804677"/>
    <w:rsid w:val="00806CDD"/>
    <w:rsid w:val="0080714D"/>
    <w:rsid w:val="00807ABA"/>
    <w:rsid w:val="00810167"/>
    <w:rsid w:val="00810A03"/>
    <w:rsid w:val="00810C81"/>
    <w:rsid w:val="008115B9"/>
    <w:rsid w:val="0081199F"/>
    <w:rsid w:val="00811E86"/>
    <w:rsid w:val="00812232"/>
    <w:rsid w:val="00812B16"/>
    <w:rsid w:val="008135B5"/>
    <w:rsid w:val="008135CE"/>
    <w:rsid w:val="00813654"/>
    <w:rsid w:val="00813739"/>
    <w:rsid w:val="0081393C"/>
    <w:rsid w:val="00814BB8"/>
    <w:rsid w:val="00814C17"/>
    <w:rsid w:val="00815AEC"/>
    <w:rsid w:val="00816856"/>
    <w:rsid w:val="0081693F"/>
    <w:rsid w:val="00816C41"/>
    <w:rsid w:val="008205CF"/>
    <w:rsid w:val="00822846"/>
    <w:rsid w:val="00823446"/>
    <w:rsid w:val="0082386F"/>
    <w:rsid w:val="00824583"/>
    <w:rsid w:val="0082498F"/>
    <w:rsid w:val="008257C2"/>
    <w:rsid w:val="008263A4"/>
    <w:rsid w:val="0082643C"/>
    <w:rsid w:val="008264A4"/>
    <w:rsid w:val="00827D06"/>
    <w:rsid w:val="00827D82"/>
    <w:rsid w:val="00830311"/>
    <w:rsid w:val="0083043E"/>
    <w:rsid w:val="008305CD"/>
    <w:rsid w:val="008310F5"/>
    <w:rsid w:val="008311A1"/>
    <w:rsid w:val="00831232"/>
    <w:rsid w:val="00832B3F"/>
    <w:rsid w:val="008348C9"/>
    <w:rsid w:val="00837D58"/>
    <w:rsid w:val="00837EF1"/>
    <w:rsid w:val="00840476"/>
    <w:rsid w:val="0084090E"/>
    <w:rsid w:val="00841ADB"/>
    <w:rsid w:val="00841D45"/>
    <w:rsid w:val="00842614"/>
    <w:rsid w:val="008426C9"/>
    <w:rsid w:val="0084334F"/>
    <w:rsid w:val="00843A1F"/>
    <w:rsid w:val="008440A2"/>
    <w:rsid w:val="008449CA"/>
    <w:rsid w:val="00844D76"/>
    <w:rsid w:val="00844F0E"/>
    <w:rsid w:val="00845931"/>
    <w:rsid w:val="00845DBA"/>
    <w:rsid w:val="008470FD"/>
    <w:rsid w:val="008476B6"/>
    <w:rsid w:val="00847759"/>
    <w:rsid w:val="00847A30"/>
    <w:rsid w:val="00847F5F"/>
    <w:rsid w:val="00850566"/>
    <w:rsid w:val="00850A0A"/>
    <w:rsid w:val="00850E4F"/>
    <w:rsid w:val="00851C5B"/>
    <w:rsid w:val="00853C47"/>
    <w:rsid w:val="008541DC"/>
    <w:rsid w:val="0086039C"/>
    <w:rsid w:val="00861D46"/>
    <w:rsid w:val="00862967"/>
    <w:rsid w:val="00863370"/>
    <w:rsid w:val="00863463"/>
    <w:rsid w:val="00864611"/>
    <w:rsid w:val="00864E81"/>
    <w:rsid w:val="0086569A"/>
    <w:rsid w:val="008659B9"/>
    <w:rsid w:val="00866B87"/>
    <w:rsid w:val="00867976"/>
    <w:rsid w:val="00867A4C"/>
    <w:rsid w:val="00867BB7"/>
    <w:rsid w:val="008705D1"/>
    <w:rsid w:val="0087139F"/>
    <w:rsid w:val="008741C1"/>
    <w:rsid w:val="0087494F"/>
    <w:rsid w:val="00874F5F"/>
    <w:rsid w:val="008758AE"/>
    <w:rsid w:val="00875FBE"/>
    <w:rsid w:val="00877767"/>
    <w:rsid w:val="008779EC"/>
    <w:rsid w:val="00881149"/>
    <w:rsid w:val="00881941"/>
    <w:rsid w:val="00881A5F"/>
    <w:rsid w:val="008821F3"/>
    <w:rsid w:val="00882418"/>
    <w:rsid w:val="008833FE"/>
    <w:rsid w:val="00883798"/>
    <w:rsid w:val="00883D61"/>
    <w:rsid w:val="008844EC"/>
    <w:rsid w:val="008858E8"/>
    <w:rsid w:val="00885A33"/>
    <w:rsid w:val="00886371"/>
    <w:rsid w:val="00891303"/>
    <w:rsid w:val="00891349"/>
    <w:rsid w:val="00891AC7"/>
    <w:rsid w:val="008959B7"/>
    <w:rsid w:val="0089623C"/>
    <w:rsid w:val="00896672"/>
    <w:rsid w:val="008A0A5D"/>
    <w:rsid w:val="008A2A0E"/>
    <w:rsid w:val="008A305E"/>
    <w:rsid w:val="008A3A6C"/>
    <w:rsid w:val="008A4A94"/>
    <w:rsid w:val="008A4BCA"/>
    <w:rsid w:val="008A5074"/>
    <w:rsid w:val="008A5B33"/>
    <w:rsid w:val="008A6998"/>
    <w:rsid w:val="008A7C47"/>
    <w:rsid w:val="008B01B1"/>
    <w:rsid w:val="008B06A3"/>
    <w:rsid w:val="008B1009"/>
    <w:rsid w:val="008B1412"/>
    <w:rsid w:val="008B1818"/>
    <w:rsid w:val="008B1BB0"/>
    <w:rsid w:val="008B1D56"/>
    <w:rsid w:val="008B1E13"/>
    <w:rsid w:val="008B2D67"/>
    <w:rsid w:val="008B3E8C"/>
    <w:rsid w:val="008B486C"/>
    <w:rsid w:val="008B4C48"/>
    <w:rsid w:val="008B53A9"/>
    <w:rsid w:val="008B56C1"/>
    <w:rsid w:val="008B5917"/>
    <w:rsid w:val="008B5CE1"/>
    <w:rsid w:val="008B660A"/>
    <w:rsid w:val="008B6629"/>
    <w:rsid w:val="008B726B"/>
    <w:rsid w:val="008B7C0A"/>
    <w:rsid w:val="008B7C7B"/>
    <w:rsid w:val="008C0207"/>
    <w:rsid w:val="008C07AE"/>
    <w:rsid w:val="008C1C3F"/>
    <w:rsid w:val="008C2EB5"/>
    <w:rsid w:val="008C34CE"/>
    <w:rsid w:val="008C40CB"/>
    <w:rsid w:val="008C4379"/>
    <w:rsid w:val="008C4A1D"/>
    <w:rsid w:val="008C536A"/>
    <w:rsid w:val="008C5C85"/>
    <w:rsid w:val="008C6ED3"/>
    <w:rsid w:val="008C735A"/>
    <w:rsid w:val="008D0867"/>
    <w:rsid w:val="008D0ECC"/>
    <w:rsid w:val="008D0FAA"/>
    <w:rsid w:val="008D1A4C"/>
    <w:rsid w:val="008D1FE5"/>
    <w:rsid w:val="008D2B0F"/>
    <w:rsid w:val="008D2E1C"/>
    <w:rsid w:val="008D348F"/>
    <w:rsid w:val="008D4EEF"/>
    <w:rsid w:val="008D52A6"/>
    <w:rsid w:val="008D5388"/>
    <w:rsid w:val="008D56A9"/>
    <w:rsid w:val="008D5DCC"/>
    <w:rsid w:val="008D62BC"/>
    <w:rsid w:val="008E09BF"/>
    <w:rsid w:val="008E0BBD"/>
    <w:rsid w:val="008E14B0"/>
    <w:rsid w:val="008E1B14"/>
    <w:rsid w:val="008E2168"/>
    <w:rsid w:val="008E2177"/>
    <w:rsid w:val="008E25ED"/>
    <w:rsid w:val="008E26DD"/>
    <w:rsid w:val="008E2E80"/>
    <w:rsid w:val="008E3FB1"/>
    <w:rsid w:val="008E4B54"/>
    <w:rsid w:val="008E4EC8"/>
    <w:rsid w:val="008E7570"/>
    <w:rsid w:val="008F0052"/>
    <w:rsid w:val="008F00E1"/>
    <w:rsid w:val="008F0783"/>
    <w:rsid w:val="008F205E"/>
    <w:rsid w:val="008F2F36"/>
    <w:rsid w:val="008F32EE"/>
    <w:rsid w:val="008F3721"/>
    <w:rsid w:val="008F598E"/>
    <w:rsid w:val="008F6F0D"/>
    <w:rsid w:val="008F75D4"/>
    <w:rsid w:val="008F7731"/>
    <w:rsid w:val="008F786C"/>
    <w:rsid w:val="008F7F83"/>
    <w:rsid w:val="009010EE"/>
    <w:rsid w:val="0090139E"/>
    <w:rsid w:val="00902103"/>
    <w:rsid w:val="00902A1B"/>
    <w:rsid w:val="00902C6E"/>
    <w:rsid w:val="00904031"/>
    <w:rsid w:val="00905514"/>
    <w:rsid w:val="0090554B"/>
    <w:rsid w:val="0090565E"/>
    <w:rsid w:val="00905A36"/>
    <w:rsid w:val="00906B82"/>
    <w:rsid w:val="00907538"/>
    <w:rsid w:val="00907567"/>
    <w:rsid w:val="00911034"/>
    <w:rsid w:val="00911650"/>
    <w:rsid w:val="0091241A"/>
    <w:rsid w:val="009128E5"/>
    <w:rsid w:val="00913CC0"/>
    <w:rsid w:val="00914B31"/>
    <w:rsid w:val="00914E5E"/>
    <w:rsid w:val="00915319"/>
    <w:rsid w:val="0091538D"/>
    <w:rsid w:val="0091610F"/>
    <w:rsid w:val="00916B07"/>
    <w:rsid w:val="00917C4B"/>
    <w:rsid w:val="009212D1"/>
    <w:rsid w:val="00921825"/>
    <w:rsid w:val="00925053"/>
    <w:rsid w:val="00925268"/>
    <w:rsid w:val="009252CB"/>
    <w:rsid w:val="00927A8E"/>
    <w:rsid w:val="00931420"/>
    <w:rsid w:val="009317FA"/>
    <w:rsid w:val="00934535"/>
    <w:rsid w:val="0093461C"/>
    <w:rsid w:val="00934C8B"/>
    <w:rsid w:val="0093529B"/>
    <w:rsid w:val="00935F93"/>
    <w:rsid w:val="00936906"/>
    <w:rsid w:val="00936E65"/>
    <w:rsid w:val="009378D3"/>
    <w:rsid w:val="00940125"/>
    <w:rsid w:val="00940240"/>
    <w:rsid w:val="00940E4C"/>
    <w:rsid w:val="00942ED0"/>
    <w:rsid w:val="0094396D"/>
    <w:rsid w:val="00943AFD"/>
    <w:rsid w:val="00943FE4"/>
    <w:rsid w:val="00945467"/>
    <w:rsid w:val="00945777"/>
    <w:rsid w:val="00945993"/>
    <w:rsid w:val="0094708F"/>
    <w:rsid w:val="0094798E"/>
    <w:rsid w:val="00950148"/>
    <w:rsid w:val="00950176"/>
    <w:rsid w:val="00950698"/>
    <w:rsid w:val="00950B7F"/>
    <w:rsid w:val="009513AA"/>
    <w:rsid w:val="00951DF8"/>
    <w:rsid w:val="009523DB"/>
    <w:rsid w:val="009524C4"/>
    <w:rsid w:val="00952742"/>
    <w:rsid w:val="00952A07"/>
    <w:rsid w:val="00956287"/>
    <w:rsid w:val="00956413"/>
    <w:rsid w:val="00960277"/>
    <w:rsid w:val="009611F4"/>
    <w:rsid w:val="0096153E"/>
    <w:rsid w:val="0096217A"/>
    <w:rsid w:val="0096258D"/>
    <w:rsid w:val="00962717"/>
    <w:rsid w:val="00962FD3"/>
    <w:rsid w:val="009638AE"/>
    <w:rsid w:val="009641CC"/>
    <w:rsid w:val="00964C4B"/>
    <w:rsid w:val="00965C6D"/>
    <w:rsid w:val="00966313"/>
    <w:rsid w:val="009674B6"/>
    <w:rsid w:val="009716EE"/>
    <w:rsid w:val="009736C6"/>
    <w:rsid w:val="00973A67"/>
    <w:rsid w:val="00975321"/>
    <w:rsid w:val="0097588A"/>
    <w:rsid w:val="00975B98"/>
    <w:rsid w:val="00981006"/>
    <w:rsid w:val="00982DC3"/>
    <w:rsid w:val="00982EE6"/>
    <w:rsid w:val="00983150"/>
    <w:rsid w:val="00983E1F"/>
    <w:rsid w:val="00984AB2"/>
    <w:rsid w:val="0098518B"/>
    <w:rsid w:val="0098700C"/>
    <w:rsid w:val="00987C2B"/>
    <w:rsid w:val="00990AE5"/>
    <w:rsid w:val="00990B5B"/>
    <w:rsid w:val="00991433"/>
    <w:rsid w:val="0099163F"/>
    <w:rsid w:val="0099222A"/>
    <w:rsid w:val="00992EC6"/>
    <w:rsid w:val="00992F0A"/>
    <w:rsid w:val="00993216"/>
    <w:rsid w:val="00993DA4"/>
    <w:rsid w:val="00993DF7"/>
    <w:rsid w:val="00994069"/>
    <w:rsid w:val="00994182"/>
    <w:rsid w:val="00995C6B"/>
    <w:rsid w:val="00996027"/>
    <w:rsid w:val="009A09CE"/>
    <w:rsid w:val="009A0B50"/>
    <w:rsid w:val="009A0D8E"/>
    <w:rsid w:val="009A0DEA"/>
    <w:rsid w:val="009A16A6"/>
    <w:rsid w:val="009A2ED5"/>
    <w:rsid w:val="009A33E1"/>
    <w:rsid w:val="009A3BC7"/>
    <w:rsid w:val="009A6B4E"/>
    <w:rsid w:val="009B05FD"/>
    <w:rsid w:val="009B06B3"/>
    <w:rsid w:val="009B0B55"/>
    <w:rsid w:val="009B1609"/>
    <w:rsid w:val="009B1B2A"/>
    <w:rsid w:val="009B1B61"/>
    <w:rsid w:val="009B2C59"/>
    <w:rsid w:val="009B433B"/>
    <w:rsid w:val="009B4DC4"/>
    <w:rsid w:val="009B56C7"/>
    <w:rsid w:val="009B5975"/>
    <w:rsid w:val="009B73AC"/>
    <w:rsid w:val="009B75E6"/>
    <w:rsid w:val="009C0178"/>
    <w:rsid w:val="009C04BA"/>
    <w:rsid w:val="009C1033"/>
    <w:rsid w:val="009C15D1"/>
    <w:rsid w:val="009C19DE"/>
    <w:rsid w:val="009C26D5"/>
    <w:rsid w:val="009C2789"/>
    <w:rsid w:val="009C3FC5"/>
    <w:rsid w:val="009C4492"/>
    <w:rsid w:val="009C4608"/>
    <w:rsid w:val="009C465B"/>
    <w:rsid w:val="009C46A4"/>
    <w:rsid w:val="009C47A0"/>
    <w:rsid w:val="009C4C5F"/>
    <w:rsid w:val="009C59FC"/>
    <w:rsid w:val="009C6B90"/>
    <w:rsid w:val="009D04F4"/>
    <w:rsid w:val="009D06BA"/>
    <w:rsid w:val="009D0D92"/>
    <w:rsid w:val="009D18F5"/>
    <w:rsid w:val="009D1ACB"/>
    <w:rsid w:val="009D1C42"/>
    <w:rsid w:val="009D1CDC"/>
    <w:rsid w:val="009D24A4"/>
    <w:rsid w:val="009D296C"/>
    <w:rsid w:val="009D338B"/>
    <w:rsid w:val="009D412F"/>
    <w:rsid w:val="009D4692"/>
    <w:rsid w:val="009D4F4B"/>
    <w:rsid w:val="009D50E1"/>
    <w:rsid w:val="009D5295"/>
    <w:rsid w:val="009D57FF"/>
    <w:rsid w:val="009D6576"/>
    <w:rsid w:val="009D6AB9"/>
    <w:rsid w:val="009D6D12"/>
    <w:rsid w:val="009D6F89"/>
    <w:rsid w:val="009D6FBC"/>
    <w:rsid w:val="009D74B3"/>
    <w:rsid w:val="009D7A0F"/>
    <w:rsid w:val="009E0B5B"/>
    <w:rsid w:val="009E32B9"/>
    <w:rsid w:val="009E3682"/>
    <w:rsid w:val="009E40D3"/>
    <w:rsid w:val="009E5665"/>
    <w:rsid w:val="009E6B2A"/>
    <w:rsid w:val="009F0333"/>
    <w:rsid w:val="009F05D6"/>
    <w:rsid w:val="009F0E32"/>
    <w:rsid w:val="009F2675"/>
    <w:rsid w:val="009F38F8"/>
    <w:rsid w:val="009F3DB1"/>
    <w:rsid w:val="009F483B"/>
    <w:rsid w:val="009F5819"/>
    <w:rsid w:val="009F6643"/>
    <w:rsid w:val="009F6AE9"/>
    <w:rsid w:val="009F6D57"/>
    <w:rsid w:val="009F7C31"/>
    <w:rsid w:val="009F7FE5"/>
    <w:rsid w:val="00A0052C"/>
    <w:rsid w:val="00A00559"/>
    <w:rsid w:val="00A009FC"/>
    <w:rsid w:val="00A00C82"/>
    <w:rsid w:val="00A010DC"/>
    <w:rsid w:val="00A0422E"/>
    <w:rsid w:val="00A043AF"/>
    <w:rsid w:val="00A04CC4"/>
    <w:rsid w:val="00A04F74"/>
    <w:rsid w:val="00A06A5D"/>
    <w:rsid w:val="00A06EEB"/>
    <w:rsid w:val="00A07459"/>
    <w:rsid w:val="00A10BF9"/>
    <w:rsid w:val="00A10FAF"/>
    <w:rsid w:val="00A117B0"/>
    <w:rsid w:val="00A11A86"/>
    <w:rsid w:val="00A12592"/>
    <w:rsid w:val="00A13B43"/>
    <w:rsid w:val="00A148BA"/>
    <w:rsid w:val="00A158A7"/>
    <w:rsid w:val="00A17691"/>
    <w:rsid w:val="00A17D57"/>
    <w:rsid w:val="00A203B8"/>
    <w:rsid w:val="00A208D0"/>
    <w:rsid w:val="00A21742"/>
    <w:rsid w:val="00A21909"/>
    <w:rsid w:val="00A2324F"/>
    <w:rsid w:val="00A23A3D"/>
    <w:rsid w:val="00A23D3C"/>
    <w:rsid w:val="00A250FB"/>
    <w:rsid w:val="00A25158"/>
    <w:rsid w:val="00A25686"/>
    <w:rsid w:val="00A27AB3"/>
    <w:rsid w:val="00A27BDE"/>
    <w:rsid w:val="00A30979"/>
    <w:rsid w:val="00A30BDD"/>
    <w:rsid w:val="00A3137C"/>
    <w:rsid w:val="00A33056"/>
    <w:rsid w:val="00A33E73"/>
    <w:rsid w:val="00A33FC9"/>
    <w:rsid w:val="00A34868"/>
    <w:rsid w:val="00A36BAA"/>
    <w:rsid w:val="00A36C81"/>
    <w:rsid w:val="00A36E6D"/>
    <w:rsid w:val="00A403E6"/>
    <w:rsid w:val="00A4056C"/>
    <w:rsid w:val="00A414C4"/>
    <w:rsid w:val="00A427A8"/>
    <w:rsid w:val="00A43AA9"/>
    <w:rsid w:val="00A446D3"/>
    <w:rsid w:val="00A44B0D"/>
    <w:rsid w:val="00A44BAB"/>
    <w:rsid w:val="00A44DDB"/>
    <w:rsid w:val="00A4534E"/>
    <w:rsid w:val="00A4613D"/>
    <w:rsid w:val="00A47C95"/>
    <w:rsid w:val="00A51416"/>
    <w:rsid w:val="00A52723"/>
    <w:rsid w:val="00A5301C"/>
    <w:rsid w:val="00A53A54"/>
    <w:rsid w:val="00A53E7E"/>
    <w:rsid w:val="00A5456C"/>
    <w:rsid w:val="00A5491B"/>
    <w:rsid w:val="00A54CC0"/>
    <w:rsid w:val="00A54D0A"/>
    <w:rsid w:val="00A54F63"/>
    <w:rsid w:val="00A553CD"/>
    <w:rsid w:val="00A55BBD"/>
    <w:rsid w:val="00A608CF"/>
    <w:rsid w:val="00A6102B"/>
    <w:rsid w:val="00A62028"/>
    <w:rsid w:val="00A62430"/>
    <w:rsid w:val="00A62451"/>
    <w:rsid w:val="00A63383"/>
    <w:rsid w:val="00A63AFF"/>
    <w:rsid w:val="00A640C2"/>
    <w:rsid w:val="00A64326"/>
    <w:rsid w:val="00A645B3"/>
    <w:rsid w:val="00A64CD1"/>
    <w:rsid w:val="00A661F9"/>
    <w:rsid w:val="00A665B5"/>
    <w:rsid w:val="00A67024"/>
    <w:rsid w:val="00A67A7F"/>
    <w:rsid w:val="00A67B21"/>
    <w:rsid w:val="00A67EEC"/>
    <w:rsid w:val="00A7038C"/>
    <w:rsid w:val="00A7057F"/>
    <w:rsid w:val="00A70859"/>
    <w:rsid w:val="00A70A89"/>
    <w:rsid w:val="00A70FB1"/>
    <w:rsid w:val="00A71288"/>
    <w:rsid w:val="00A7142B"/>
    <w:rsid w:val="00A748C0"/>
    <w:rsid w:val="00A7540A"/>
    <w:rsid w:val="00A758DA"/>
    <w:rsid w:val="00A759B6"/>
    <w:rsid w:val="00A76677"/>
    <w:rsid w:val="00A76D6B"/>
    <w:rsid w:val="00A77F5E"/>
    <w:rsid w:val="00A80812"/>
    <w:rsid w:val="00A81DD7"/>
    <w:rsid w:val="00A822A8"/>
    <w:rsid w:val="00A8346F"/>
    <w:rsid w:val="00A835AD"/>
    <w:rsid w:val="00A836A1"/>
    <w:rsid w:val="00A84650"/>
    <w:rsid w:val="00A84B50"/>
    <w:rsid w:val="00A84C69"/>
    <w:rsid w:val="00A858BE"/>
    <w:rsid w:val="00A866A8"/>
    <w:rsid w:val="00A86ABC"/>
    <w:rsid w:val="00A87026"/>
    <w:rsid w:val="00A874CB"/>
    <w:rsid w:val="00A903B5"/>
    <w:rsid w:val="00A905FD"/>
    <w:rsid w:val="00A9097D"/>
    <w:rsid w:val="00A9152A"/>
    <w:rsid w:val="00A920C4"/>
    <w:rsid w:val="00A920D6"/>
    <w:rsid w:val="00A940E7"/>
    <w:rsid w:val="00A941B5"/>
    <w:rsid w:val="00A946FD"/>
    <w:rsid w:val="00A9476E"/>
    <w:rsid w:val="00A94A61"/>
    <w:rsid w:val="00A9667C"/>
    <w:rsid w:val="00A966D8"/>
    <w:rsid w:val="00AA0BAE"/>
    <w:rsid w:val="00AA1780"/>
    <w:rsid w:val="00AA1AAB"/>
    <w:rsid w:val="00AA1CE5"/>
    <w:rsid w:val="00AA2024"/>
    <w:rsid w:val="00AA2443"/>
    <w:rsid w:val="00AA2AFD"/>
    <w:rsid w:val="00AA2DF2"/>
    <w:rsid w:val="00AA2F0F"/>
    <w:rsid w:val="00AA3C5D"/>
    <w:rsid w:val="00AA54B6"/>
    <w:rsid w:val="00AA55D6"/>
    <w:rsid w:val="00AA59BE"/>
    <w:rsid w:val="00AA660A"/>
    <w:rsid w:val="00AA7575"/>
    <w:rsid w:val="00AB0359"/>
    <w:rsid w:val="00AB160E"/>
    <w:rsid w:val="00AB1A8E"/>
    <w:rsid w:val="00AB2BAB"/>
    <w:rsid w:val="00AB3A4B"/>
    <w:rsid w:val="00AB444F"/>
    <w:rsid w:val="00AB4CBC"/>
    <w:rsid w:val="00AB5343"/>
    <w:rsid w:val="00AB58E7"/>
    <w:rsid w:val="00AB60B5"/>
    <w:rsid w:val="00AB622A"/>
    <w:rsid w:val="00AB73C5"/>
    <w:rsid w:val="00AB7BCB"/>
    <w:rsid w:val="00AB7F69"/>
    <w:rsid w:val="00AC05C0"/>
    <w:rsid w:val="00AC07CC"/>
    <w:rsid w:val="00AC1236"/>
    <w:rsid w:val="00AC2549"/>
    <w:rsid w:val="00AC3DAD"/>
    <w:rsid w:val="00AC45F6"/>
    <w:rsid w:val="00AC5420"/>
    <w:rsid w:val="00AC5818"/>
    <w:rsid w:val="00AC6ED1"/>
    <w:rsid w:val="00AD0168"/>
    <w:rsid w:val="00AD0653"/>
    <w:rsid w:val="00AD0AD1"/>
    <w:rsid w:val="00AD1DE0"/>
    <w:rsid w:val="00AD1DEC"/>
    <w:rsid w:val="00AD2B36"/>
    <w:rsid w:val="00AD3DCC"/>
    <w:rsid w:val="00AD4056"/>
    <w:rsid w:val="00AD468B"/>
    <w:rsid w:val="00AD4B70"/>
    <w:rsid w:val="00AD5559"/>
    <w:rsid w:val="00AD66B3"/>
    <w:rsid w:val="00AD7615"/>
    <w:rsid w:val="00AD7F69"/>
    <w:rsid w:val="00AE0435"/>
    <w:rsid w:val="00AE0914"/>
    <w:rsid w:val="00AE181A"/>
    <w:rsid w:val="00AE26E2"/>
    <w:rsid w:val="00AE2E88"/>
    <w:rsid w:val="00AE4110"/>
    <w:rsid w:val="00AE4467"/>
    <w:rsid w:val="00AE5EB1"/>
    <w:rsid w:val="00AE65EF"/>
    <w:rsid w:val="00AF0EFD"/>
    <w:rsid w:val="00AF1786"/>
    <w:rsid w:val="00AF292A"/>
    <w:rsid w:val="00AF361D"/>
    <w:rsid w:val="00AF5D2B"/>
    <w:rsid w:val="00AF7101"/>
    <w:rsid w:val="00AF7660"/>
    <w:rsid w:val="00AF799D"/>
    <w:rsid w:val="00AF7E2D"/>
    <w:rsid w:val="00AF7FC2"/>
    <w:rsid w:val="00B00FD2"/>
    <w:rsid w:val="00B011B4"/>
    <w:rsid w:val="00B012FD"/>
    <w:rsid w:val="00B01B24"/>
    <w:rsid w:val="00B02FF8"/>
    <w:rsid w:val="00B049A9"/>
    <w:rsid w:val="00B04A8C"/>
    <w:rsid w:val="00B04D50"/>
    <w:rsid w:val="00B04F04"/>
    <w:rsid w:val="00B064FC"/>
    <w:rsid w:val="00B07BA7"/>
    <w:rsid w:val="00B10130"/>
    <w:rsid w:val="00B10299"/>
    <w:rsid w:val="00B10A10"/>
    <w:rsid w:val="00B10C79"/>
    <w:rsid w:val="00B10E63"/>
    <w:rsid w:val="00B121D3"/>
    <w:rsid w:val="00B12201"/>
    <w:rsid w:val="00B1294C"/>
    <w:rsid w:val="00B140CA"/>
    <w:rsid w:val="00B160D2"/>
    <w:rsid w:val="00B167A1"/>
    <w:rsid w:val="00B16A5B"/>
    <w:rsid w:val="00B16B3F"/>
    <w:rsid w:val="00B202D6"/>
    <w:rsid w:val="00B21318"/>
    <w:rsid w:val="00B21A9E"/>
    <w:rsid w:val="00B21D66"/>
    <w:rsid w:val="00B23134"/>
    <w:rsid w:val="00B23586"/>
    <w:rsid w:val="00B243AA"/>
    <w:rsid w:val="00B24721"/>
    <w:rsid w:val="00B24B9A"/>
    <w:rsid w:val="00B24D6B"/>
    <w:rsid w:val="00B264B0"/>
    <w:rsid w:val="00B26872"/>
    <w:rsid w:val="00B30515"/>
    <w:rsid w:val="00B30F9F"/>
    <w:rsid w:val="00B31138"/>
    <w:rsid w:val="00B319D3"/>
    <w:rsid w:val="00B32461"/>
    <w:rsid w:val="00B3361E"/>
    <w:rsid w:val="00B33674"/>
    <w:rsid w:val="00B33C54"/>
    <w:rsid w:val="00B35A66"/>
    <w:rsid w:val="00B35EB9"/>
    <w:rsid w:val="00B36150"/>
    <w:rsid w:val="00B36FDF"/>
    <w:rsid w:val="00B372B2"/>
    <w:rsid w:val="00B374B3"/>
    <w:rsid w:val="00B4072D"/>
    <w:rsid w:val="00B40B89"/>
    <w:rsid w:val="00B41417"/>
    <w:rsid w:val="00B4240F"/>
    <w:rsid w:val="00B42B4B"/>
    <w:rsid w:val="00B43DDE"/>
    <w:rsid w:val="00B44C7B"/>
    <w:rsid w:val="00B45318"/>
    <w:rsid w:val="00B45554"/>
    <w:rsid w:val="00B45749"/>
    <w:rsid w:val="00B45894"/>
    <w:rsid w:val="00B50CC1"/>
    <w:rsid w:val="00B50CD7"/>
    <w:rsid w:val="00B5116E"/>
    <w:rsid w:val="00B51BAA"/>
    <w:rsid w:val="00B51D76"/>
    <w:rsid w:val="00B524E8"/>
    <w:rsid w:val="00B5296A"/>
    <w:rsid w:val="00B52FF6"/>
    <w:rsid w:val="00B538DE"/>
    <w:rsid w:val="00B546B4"/>
    <w:rsid w:val="00B54A16"/>
    <w:rsid w:val="00B54B20"/>
    <w:rsid w:val="00B55476"/>
    <w:rsid w:val="00B559A1"/>
    <w:rsid w:val="00B56C25"/>
    <w:rsid w:val="00B57FC0"/>
    <w:rsid w:val="00B60DA0"/>
    <w:rsid w:val="00B621C6"/>
    <w:rsid w:val="00B62226"/>
    <w:rsid w:val="00B62E69"/>
    <w:rsid w:val="00B63155"/>
    <w:rsid w:val="00B6423B"/>
    <w:rsid w:val="00B650F9"/>
    <w:rsid w:val="00B6529D"/>
    <w:rsid w:val="00B655E2"/>
    <w:rsid w:val="00B71500"/>
    <w:rsid w:val="00B72A99"/>
    <w:rsid w:val="00B733CB"/>
    <w:rsid w:val="00B74EA9"/>
    <w:rsid w:val="00B751A1"/>
    <w:rsid w:val="00B7555A"/>
    <w:rsid w:val="00B7625A"/>
    <w:rsid w:val="00B764A2"/>
    <w:rsid w:val="00B76681"/>
    <w:rsid w:val="00B76A69"/>
    <w:rsid w:val="00B77811"/>
    <w:rsid w:val="00B77AB3"/>
    <w:rsid w:val="00B77D32"/>
    <w:rsid w:val="00B80E2B"/>
    <w:rsid w:val="00B82A0D"/>
    <w:rsid w:val="00B82CA9"/>
    <w:rsid w:val="00B8400B"/>
    <w:rsid w:val="00B8438E"/>
    <w:rsid w:val="00B845A8"/>
    <w:rsid w:val="00B85FA7"/>
    <w:rsid w:val="00B8684A"/>
    <w:rsid w:val="00B87F04"/>
    <w:rsid w:val="00B90ADE"/>
    <w:rsid w:val="00B90D42"/>
    <w:rsid w:val="00B90E95"/>
    <w:rsid w:val="00B90FE6"/>
    <w:rsid w:val="00B913F5"/>
    <w:rsid w:val="00B91ECF"/>
    <w:rsid w:val="00B92198"/>
    <w:rsid w:val="00B930FA"/>
    <w:rsid w:val="00B937FA"/>
    <w:rsid w:val="00B93BD5"/>
    <w:rsid w:val="00B95637"/>
    <w:rsid w:val="00B95DF4"/>
    <w:rsid w:val="00B96A98"/>
    <w:rsid w:val="00B97A4A"/>
    <w:rsid w:val="00BA2656"/>
    <w:rsid w:val="00BA43D0"/>
    <w:rsid w:val="00BA758E"/>
    <w:rsid w:val="00BB2EA4"/>
    <w:rsid w:val="00BB31C8"/>
    <w:rsid w:val="00BB3649"/>
    <w:rsid w:val="00BB49B9"/>
    <w:rsid w:val="00BB4CCD"/>
    <w:rsid w:val="00BB4DE9"/>
    <w:rsid w:val="00BB52A5"/>
    <w:rsid w:val="00BB5D02"/>
    <w:rsid w:val="00BB7BA9"/>
    <w:rsid w:val="00BB7EC0"/>
    <w:rsid w:val="00BC2FA7"/>
    <w:rsid w:val="00BC46B7"/>
    <w:rsid w:val="00BC4E9F"/>
    <w:rsid w:val="00BC5480"/>
    <w:rsid w:val="00BC5555"/>
    <w:rsid w:val="00BC5DA2"/>
    <w:rsid w:val="00BC5EBF"/>
    <w:rsid w:val="00BC6DE8"/>
    <w:rsid w:val="00BC7F8A"/>
    <w:rsid w:val="00BD0A88"/>
    <w:rsid w:val="00BD1EA9"/>
    <w:rsid w:val="00BD244F"/>
    <w:rsid w:val="00BD2523"/>
    <w:rsid w:val="00BD2645"/>
    <w:rsid w:val="00BD2B61"/>
    <w:rsid w:val="00BD2C03"/>
    <w:rsid w:val="00BD2F94"/>
    <w:rsid w:val="00BD3CDF"/>
    <w:rsid w:val="00BD4E09"/>
    <w:rsid w:val="00BD5CA7"/>
    <w:rsid w:val="00BD726C"/>
    <w:rsid w:val="00BE03E8"/>
    <w:rsid w:val="00BE0EA1"/>
    <w:rsid w:val="00BE1E53"/>
    <w:rsid w:val="00BE217B"/>
    <w:rsid w:val="00BE2DC3"/>
    <w:rsid w:val="00BE3A71"/>
    <w:rsid w:val="00BE4041"/>
    <w:rsid w:val="00BE471A"/>
    <w:rsid w:val="00BE5326"/>
    <w:rsid w:val="00BE54F4"/>
    <w:rsid w:val="00BE5555"/>
    <w:rsid w:val="00BE6167"/>
    <w:rsid w:val="00BE6884"/>
    <w:rsid w:val="00BF0654"/>
    <w:rsid w:val="00BF0A47"/>
    <w:rsid w:val="00BF0E6D"/>
    <w:rsid w:val="00BF18A4"/>
    <w:rsid w:val="00BF2481"/>
    <w:rsid w:val="00BF28FC"/>
    <w:rsid w:val="00BF3054"/>
    <w:rsid w:val="00BF32AB"/>
    <w:rsid w:val="00BF4722"/>
    <w:rsid w:val="00BF5169"/>
    <w:rsid w:val="00BF51BC"/>
    <w:rsid w:val="00BF54B9"/>
    <w:rsid w:val="00BF5CD3"/>
    <w:rsid w:val="00BF6B24"/>
    <w:rsid w:val="00BF6DDA"/>
    <w:rsid w:val="00C00421"/>
    <w:rsid w:val="00C01671"/>
    <w:rsid w:val="00C0203F"/>
    <w:rsid w:val="00C025C7"/>
    <w:rsid w:val="00C036F6"/>
    <w:rsid w:val="00C0408D"/>
    <w:rsid w:val="00C045D0"/>
    <w:rsid w:val="00C04E96"/>
    <w:rsid w:val="00C05022"/>
    <w:rsid w:val="00C05219"/>
    <w:rsid w:val="00C06215"/>
    <w:rsid w:val="00C07823"/>
    <w:rsid w:val="00C07B7E"/>
    <w:rsid w:val="00C07FCC"/>
    <w:rsid w:val="00C101F1"/>
    <w:rsid w:val="00C10304"/>
    <w:rsid w:val="00C104D6"/>
    <w:rsid w:val="00C10AA0"/>
    <w:rsid w:val="00C11F23"/>
    <w:rsid w:val="00C1214C"/>
    <w:rsid w:val="00C128F6"/>
    <w:rsid w:val="00C13142"/>
    <w:rsid w:val="00C15168"/>
    <w:rsid w:val="00C1648C"/>
    <w:rsid w:val="00C1776A"/>
    <w:rsid w:val="00C2016F"/>
    <w:rsid w:val="00C217FE"/>
    <w:rsid w:val="00C21F29"/>
    <w:rsid w:val="00C23009"/>
    <w:rsid w:val="00C23D64"/>
    <w:rsid w:val="00C257DE"/>
    <w:rsid w:val="00C25CC2"/>
    <w:rsid w:val="00C265F5"/>
    <w:rsid w:val="00C26C7E"/>
    <w:rsid w:val="00C277AF"/>
    <w:rsid w:val="00C279A9"/>
    <w:rsid w:val="00C27AE6"/>
    <w:rsid w:val="00C309DA"/>
    <w:rsid w:val="00C31D6C"/>
    <w:rsid w:val="00C3208C"/>
    <w:rsid w:val="00C3340D"/>
    <w:rsid w:val="00C3436C"/>
    <w:rsid w:val="00C34A6A"/>
    <w:rsid w:val="00C35215"/>
    <w:rsid w:val="00C36017"/>
    <w:rsid w:val="00C41610"/>
    <w:rsid w:val="00C423FD"/>
    <w:rsid w:val="00C4326A"/>
    <w:rsid w:val="00C434F9"/>
    <w:rsid w:val="00C43A5D"/>
    <w:rsid w:val="00C441EB"/>
    <w:rsid w:val="00C4509B"/>
    <w:rsid w:val="00C45B7E"/>
    <w:rsid w:val="00C4694E"/>
    <w:rsid w:val="00C46CA3"/>
    <w:rsid w:val="00C47A31"/>
    <w:rsid w:val="00C47B2E"/>
    <w:rsid w:val="00C50DDB"/>
    <w:rsid w:val="00C512D4"/>
    <w:rsid w:val="00C52768"/>
    <w:rsid w:val="00C53918"/>
    <w:rsid w:val="00C53E9A"/>
    <w:rsid w:val="00C541D8"/>
    <w:rsid w:val="00C56076"/>
    <w:rsid w:val="00C56A12"/>
    <w:rsid w:val="00C61019"/>
    <w:rsid w:val="00C61BFD"/>
    <w:rsid w:val="00C61CD8"/>
    <w:rsid w:val="00C62135"/>
    <w:rsid w:val="00C63618"/>
    <w:rsid w:val="00C6419C"/>
    <w:rsid w:val="00C64341"/>
    <w:rsid w:val="00C64A64"/>
    <w:rsid w:val="00C64DAF"/>
    <w:rsid w:val="00C6501A"/>
    <w:rsid w:val="00C65457"/>
    <w:rsid w:val="00C65D1A"/>
    <w:rsid w:val="00C66141"/>
    <w:rsid w:val="00C6629D"/>
    <w:rsid w:val="00C66E03"/>
    <w:rsid w:val="00C67811"/>
    <w:rsid w:val="00C7031A"/>
    <w:rsid w:val="00C703ED"/>
    <w:rsid w:val="00C706A4"/>
    <w:rsid w:val="00C71282"/>
    <w:rsid w:val="00C71BEC"/>
    <w:rsid w:val="00C728F2"/>
    <w:rsid w:val="00C735E7"/>
    <w:rsid w:val="00C73B0B"/>
    <w:rsid w:val="00C745A1"/>
    <w:rsid w:val="00C75AFF"/>
    <w:rsid w:val="00C75D4C"/>
    <w:rsid w:val="00C75DC0"/>
    <w:rsid w:val="00C75FD6"/>
    <w:rsid w:val="00C76ADD"/>
    <w:rsid w:val="00C77126"/>
    <w:rsid w:val="00C80176"/>
    <w:rsid w:val="00C8181F"/>
    <w:rsid w:val="00C82164"/>
    <w:rsid w:val="00C82DAD"/>
    <w:rsid w:val="00C8391D"/>
    <w:rsid w:val="00C84F85"/>
    <w:rsid w:val="00C85555"/>
    <w:rsid w:val="00C869BF"/>
    <w:rsid w:val="00C869E2"/>
    <w:rsid w:val="00C870E0"/>
    <w:rsid w:val="00C87556"/>
    <w:rsid w:val="00C91378"/>
    <w:rsid w:val="00C926F0"/>
    <w:rsid w:val="00C93A0F"/>
    <w:rsid w:val="00C94650"/>
    <w:rsid w:val="00C95809"/>
    <w:rsid w:val="00C95C0E"/>
    <w:rsid w:val="00C96002"/>
    <w:rsid w:val="00C967FF"/>
    <w:rsid w:val="00C96F05"/>
    <w:rsid w:val="00C9737F"/>
    <w:rsid w:val="00C974E6"/>
    <w:rsid w:val="00C976BB"/>
    <w:rsid w:val="00CA45D2"/>
    <w:rsid w:val="00CA47FA"/>
    <w:rsid w:val="00CA5761"/>
    <w:rsid w:val="00CA5AA9"/>
    <w:rsid w:val="00CA61CD"/>
    <w:rsid w:val="00CA67CE"/>
    <w:rsid w:val="00CA7A63"/>
    <w:rsid w:val="00CA7CB1"/>
    <w:rsid w:val="00CB0984"/>
    <w:rsid w:val="00CB13C0"/>
    <w:rsid w:val="00CB14FE"/>
    <w:rsid w:val="00CB1BA9"/>
    <w:rsid w:val="00CB31A6"/>
    <w:rsid w:val="00CB36CE"/>
    <w:rsid w:val="00CB3FFE"/>
    <w:rsid w:val="00CB47C1"/>
    <w:rsid w:val="00CB49D2"/>
    <w:rsid w:val="00CB49E5"/>
    <w:rsid w:val="00CB50CF"/>
    <w:rsid w:val="00CB523E"/>
    <w:rsid w:val="00CB6006"/>
    <w:rsid w:val="00CB6BC7"/>
    <w:rsid w:val="00CB7681"/>
    <w:rsid w:val="00CC0444"/>
    <w:rsid w:val="00CC1217"/>
    <w:rsid w:val="00CC1378"/>
    <w:rsid w:val="00CC13AD"/>
    <w:rsid w:val="00CC146E"/>
    <w:rsid w:val="00CC233D"/>
    <w:rsid w:val="00CC2EE2"/>
    <w:rsid w:val="00CC33D2"/>
    <w:rsid w:val="00CC341A"/>
    <w:rsid w:val="00CC4A11"/>
    <w:rsid w:val="00CC4DBA"/>
    <w:rsid w:val="00CC4F67"/>
    <w:rsid w:val="00CC578A"/>
    <w:rsid w:val="00CC5D73"/>
    <w:rsid w:val="00CC777B"/>
    <w:rsid w:val="00CC795D"/>
    <w:rsid w:val="00CD0ED9"/>
    <w:rsid w:val="00CD136B"/>
    <w:rsid w:val="00CD1ED6"/>
    <w:rsid w:val="00CD35D9"/>
    <w:rsid w:val="00CD3D76"/>
    <w:rsid w:val="00CD3F28"/>
    <w:rsid w:val="00CD52B2"/>
    <w:rsid w:val="00CD58F4"/>
    <w:rsid w:val="00CD62E6"/>
    <w:rsid w:val="00CD65CF"/>
    <w:rsid w:val="00CD68F8"/>
    <w:rsid w:val="00CD7908"/>
    <w:rsid w:val="00CD7D40"/>
    <w:rsid w:val="00CE183C"/>
    <w:rsid w:val="00CE22CF"/>
    <w:rsid w:val="00CE2817"/>
    <w:rsid w:val="00CE30EA"/>
    <w:rsid w:val="00CE40D2"/>
    <w:rsid w:val="00CE4736"/>
    <w:rsid w:val="00CE57F4"/>
    <w:rsid w:val="00CE5C16"/>
    <w:rsid w:val="00CE5DEA"/>
    <w:rsid w:val="00CE7129"/>
    <w:rsid w:val="00CE7A74"/>
    <w:rsid w:val="00CE7BE2"/>
    <w:rsid w:val="00CF1C08"/>
    <w:rsid w:val="00CF21F2"/>
    <w:rsid w:val="00CF2E4E"/>
    <w:rsid w:val="00CF348B"/>
    <w:rsid w:val="00CF356F"/>
    <w:rsid w:val="00CF4CE3"/>
    <w:rsid w:val="00CF611B"/>
    <w:rsid w:val="00CF6B39"/>
    <w:rsid w:val="00CF717B"/>
    <w:rsid w:val="00CF723B"/>
    <w:rsid w:val="00CF7A90"/>
    <w:rsid w:val="00CF7B5C"/>
    <w:rsid w:val="00D002A7"/>
    <w:rsid w:val="00D01287"/>
    <w:rsid w:val="00D01BCC"/>
    <w:rsid w:val="00D020A2"/>
    <w:rsid w:val="00D02C8D"/>
    <w:rsid w:val="00D02E56"/>
    <w:rsid w:val="00D02F4C"/>
    <w:rsid w:val="00D039F4"/>
    <w:rsid w:val="00D03F83"/>
    <w:rsid w:val="00D0429B"/>
    <w:rsid w:val="00D04E95"/>
    <w:rsid w:val="00D05DB2"/>
    <w:rsid w:val="00D067EE"/>
    <w:rsid w:val="00D069EC"/>
    <w:rsid w:val="00D06E95"/>
    <w:rsid w:val="00D104D4"/>
    <w:rsid w:val="00D1075C"/>
    <w:rsid w:val="00D1078C"/>
    <w:rsid w:val="00D10A87"/>
    <w:rsid w:val="00D10D8B"/>
    <w:rsid w:val="00D113DE"/>
    <w:rsid w:val="00D1276D"/>
    <w:rsid w:val="00D12B90"/>
    <w:rsid w:val="00D131C2"/>
    <w:rsid w:val="00D142B2"/>
    <w:rsid w:val="00D1448A"/>
    <w:rsid w:val="00D15045"/>
    <w:rsid w:val="00D161E7"/>
    <w:rsid w:val="00D16C53"/>
    <w:rsid w:val="00D16ECD"/>
    <w:rsid w:val="00D17B08"/>
    <w:rsid w:val="00D2202D"/>
    <w:rsid w:val="00D2308B"/>
    <w:rsid w:val="00D23CDC"/>
    <w:rsid w:val="00D251B2"/>
    <w:rsid w:val="00D25916"/>
    <w:rsid w:val="00D25B86"/>
    <w:rsid w:val="00D2678F"/>
    <w:rsid w:val="00D267E5"/>
    <w:rsid w:val="00D26B86"/>
    <w:rsid w:val="00D26DDD"/>
    <w:rsid w:val="00D27065"/>
    <w:rsid w:val="00D275B5"/>
    <w:rsid w:val="00D324F0"/>
    <w:rsid w:val="00D3299A"/>
    <w:rsid w:val="00D32A55"/>
    <w:rsid w:val="00D33FF5"/>
    <w:rsid w:val="00D344C0"/>
    <w:rsid w:val="00D34569"/>
    <w:rsid w:val="00D35AB6"/>
    <w:rsid w:val="00D36FC2"/>
    <w:rsid w:val="00D42045"/>
    <w:rsid w:val="00D42328"/>
    <w:rsid w:val="00D435E5"/>
    <w:rsid w:val="00D44332"/>
    <w:rsid w:val="00D453D0"/>
    <w:rsid w:val="00D455DB"/>
    <w:rsid w:val="00D4603B"/>
    <w:rsid w:val="00D462C6"/>
    <w:rsid w:val="00D4682C"/>
    <w:rsid w:val="00D50FF2"/>
    <w:rsid w:val="00D528E3"/>
    <w:rsid w:val="00D52D78"/>
    <w:rsid w:val="00D537D5"/>
    <w:rsid w:val="00D53DB9"/>
    <w:rsid w:val="00D54800"/>
    <w:rsid w:val="00D54853"/>
    <w:rsid w:val="00D5500F"/>
    <w:rsid w:val="00D55B6D"/>
    <w:rsid w:val="00D5615E"/>
    <w:rsid w:val="00D604AF"/>
    <w:rsid w:val="00D6075D"/>
    <w:rsid w:val="00D608C0"/>
    <w:rsid w:val="00D61E64"/>
    <w:rsid w:val="00D63588"/>
    <w:rsid w:val="00D63769"/>
    <w:rsid w:val="00D64AE7"/>
    <w:rsid w:val="00D64E16"/>
    <w:rsid w:val="00D65183"/>
    <w:rsid w:val="00D663D8"/>
    <w:rsid w:val="00D66601"/>
    <w:rsid w:val="00D667AE"/>
    <w:rsid w:val="00D66E5F"/>
    <w:rsid w:val="00D67769"/>
    <w:rsid w:val="00D711BF"/>
    <w:rsid w:val="00D7137F"/>
    <w:rsid w:val="00D71CD1"/>
    <w:rsid w:val="00D72CC7"/>
    <w:rsid w:val="00D73925"/>
    <w:rsid w:val="00D73B0D"/>
    <w:rsid w:val="00D7411E"/>
    <w:rsid w:val="00D76F56"/>
    <w:rsid w:val="00D77643"/>
    <w:rsid w:val="00D77B7B"/>
    <w:rsid w:val="00D83C2A"/>
    <w:rsid w:val="00D84089"/>
    <w:rsid w:val="00D863C8"/>
    <w:rsid w:val="00D8647C"/>
    <w:rsid w:val="00D867B6"/>
    <w:rsid w:val="00D86BAA"/>
    <w:rsid w:val="00D874FB"/>
    <w:rsid w:val="00D87737"/>
    <w:rsid w:val="00D87E37"/>
    <w:rsid w:val="00D91985"/>
    <w:rsid w:val="00D923A0"/>
    <w:rsid w:val="00D9527A"/>
    <w:rsid w:val="00D95339"/>
    <w:rsid w:val="00D95524"/>
    <w:rsid w:val="00D96ECD"/>
    <w:rsid w:val="00D96FE8"/>
    <w:rsid w:val="00D97BE8"/>
    <w:rsid w:val="00D97CC3"/>
    <w:rsid w:val="00DA1B5D"/>
    <w:rsid w:val="00DA1C26"/>
    <w:rsid w:val="00DA2FAF"/>
    <w:rsid w:val="00DA4E78"/>
    <w:rsid w:val="00DA506C"/>
    <w:rsid w:val="00DA5B94"/>
    <w:rsid w:val="00DA711A"/>
    <w:rsid w:val="00DB0E49"/>
    <w:rsid w:val="00DB1C39"/>
    <w:rsid w:val="00DB2263"/>
    <w:rsid w:val="00DB31B9"/>
    <w:rsid w:val="00DB3FC5"/>
    <w:rsid w:val="00DB4006"/>
    <w:rsid w:val="00DB48C5"/>
    <w:rsid w:val="00DB6323"/>
    <w:rsid w:val="00DB64D0"/>
    <w:rsid w:val="00DB6986"/>
    <w:rsid w:val="00DB6DB3"/>
    <w:rsid w:val="00DB786C"/>
    <w:rsid w:val="00DB7E09"/>
    <w:rsid w:val="00DC1FC2"/>
    <w:rsid w:val="00DC27F7"/>
    <w:rsid w:val="00DC4AFE"/>
    <w:rsid w:val="00DC4C0B"/>
    <w:rsid w:val="00DC4C9E"/>
    <w:rsid w:val="00DC5212"/>
    <w:rsid w:val="00DC6D22"/>
    <w:rsid w:val="00DC7682"/>
    <w:rsid w:val="00DC7841"/>
    <w:rsid w:val="00DC7C29"/>
    <w:rsid w:val="00DD1093"/>
    <w:rsid w:val="00DD1360"/>
    <w:rsid w:val="00DD28C0"/>
    <w:rsid w:val="00DD397C"/>
    <w:rsid w:val="00DD39C2"/>
    <w:rsid w:val="00DD3A96"/>
    <w:rsid w:val="00DD3C9B"/>
    <w:rsid w:val="00DD509C"/>
    <w:rsid w:val="00DD5577"/>
    <w:rsid w:val="00DD5709"/>
    <w:rsid w:val="00DD5791"/>
    <w:rsid w:val="00DD5A58"/>
    <w:rsid w:val="00DD6503"/>
    <w:rsid w:val="00DD7655"/>
    <w:rsid w:val="00DE229D"/>
    <w:rsid w:val="00DE3238"/>
    <w:rsid w:val="00DE3E92"/>
    <w:rsid w:val="00DE3F42"/>
    <w:rsid w:val="00DE3FC2"/>
    <w:rsid w:val="00DE4C24"/>
    <w:rsid w:val="00DE5080"/>
    <w:rsid w:val="00DE517D"/>
    <w:rsid w:val="00DE5B6E"/>
    <w:rsid w:val="00DE5E4D"/>
    <w:rsid w:val="00DE6C3A"/>
    <w:rsid w:val="00DE6C79"/>
    <w:rsid w:val="00DE6DDE"/>
    <w:rsid w:val="00DE7183"/>
    <w:rsid w:val="00DE7AAC"/>
    <w:rsid w:val="00DF0534"/>
    <w:rsid w:val="00DF08A6"/>
    <w:rsid w:val="00DF092D"/>
    <w:rsid w:val="00DF19C8"/>
    <w:rsid w:val="00DF1F42"/>
    <w:rsid w:val="00DF3132"/>
    <w:rsid w:val="00DF4585"/>
    <w:rsid w:val="00DF4A91"/>
    <w:rsid w:val="00DF5B6B"/>
    <w:rsid w:val="00DF63D5"/>
    <w:rsid w:val="00DF668F"/>
    <w:rsid w:val="00E01179"/>
    <w:rsid w:val="00E01299"/>
    <w:rsid w:val="00E01477"/>
    <w:rsid w:val="00E019BA"/>
    <w:rsid w:val="00E01A1D"/>
    <w:rsid w:val="00E01DA3"/>
    <w:rsid w:val="00E0209F"/>
    <w:rsid w:val="00E02697"/>
    <w:rsid w:val="00E0396E"/>
    <w:rsid w:val="00E04584"/>
    <w:rsid w:val="00E04E15"/>
    <w:rsid w:val="00E05B4F"/>
    <w:rsid w:val="00E05ECE"/>
    <w:rsid w:val="00E06196"/>
    <w:rsid w:val="00E06DCA"/>
    <w:rsid w:val="00E07BA4"/>
    <w:rsid w:val="00E1095C"/>
    <w:rsid w:val="00E10C3C"/>
    <w:rsid w:val="00E122C1"/>
    <w:rsid w:val="00E1366C"/>
    <w:rsid w:val="00E13733"/>
    <w:rsid w:val="00E138DC"/>
    <w:rsid w:val="00E13C0A"/>
    <w:rsid w:val="00E14929"/>
    <w:rsid w:val="00E1519E"/>
    <w:rsid w:val="00E161DB"/>
    <w:rsid w:val="00E17585"/>
    <w:rsid w:val="00E20DBC"/>
    <w:rsid w:val="00E211E3"/>
    <w:rsid w:val="00E21695"/>
    <w:rsid w:val="00E22430"/>
    <w:rsid w:val="00E23ABC"/>
    <w:rsid w:val="00E23F33"/>
    <w:rsid w:val="00E24341"/>
    <w:rsid w:val="00E2533D"/>
    <w:rsid w:val="00E2557E"/>
    <w:rsid w:val="00E30886"/>
    <w:rsid w:val="00E314BA"/>
    <w:rsid w:val="00E31F2F"/>
    <w:rsid w:val="00E3279A"/>
    <w:rsid w:val="00E33CD4"/>
    <w:rsid w:val="00E33FD4"/>
    <w:rsid w:val="00E34FE8"/>
    <w:rsid w:val="00E35524"/>
    <w:rsid w:val="00E3799E"/>
    <w:rsid w:val="00E37BCC"/>
    <w:rsid w:val="00E40541"/>
    <w:rsid w:val="00E415FD"/>
    <w:rsid w:val="00E42653"/>
    <w:rsid w:val="00E42A61"/>
    <w:rsid w:val="00E435D7"/>
    <w:rsid w:val="00E44481"/>
    <w:rsid w:val="00E44DE3"/>
    <w:rsid w:val="00E4639A"/>
    <w:rsid w:val="00E4655E"/>
    <w:rsid w:val="00E46625"/>
    <w:rsid w:val="00E468ED"/>
    <w:rsid w:val="00E46D7B"/>
    <w:rsid w:val="00E46F6A"/>
    <w:rsid w:val="00E47AD7"/>
    <w:rsid w:val="00E47C14"/>
    <w:rsid w:val="00E47D06"/>
    <w:rsid w:val="00E47FA3"/>
    <w:rsid w:val="00E50D3E"/>
    <w:rsid w:val="00E50ED9"/>
    <w:rsid w:val="00E51264"/>
    <w:rsid w:val="00E5158A"/>
    <w:rsid w:val="00E52B60"/>
    <w:rsid w:val="00E53A14"/>
    <w:rsid w:val="00E5430F"/>
    <w:rsid w:val="00E54474"/>
    <w:rsid w:val="00E54ADF"/>
    <w:rsid w:val="00E54C76"/>
    <w:rsid w:val="00E55493"/>
    <w:rsid w:val="00E5603B"/>
    <w:rsid w:val="00E568DE"/>
    <w:rsid w:val="00E57089"/>
    <w:rsid w:val="00E579B7"/>
    <w:rsid w:val="00E60185"/>
    <w:rsid w:val="00E602B2"/>
    <w:rsid w:val="00E60F38"/>
    <w:rsid w:val="00E6193C"/>
    <w:rsid w:val="00E63519"/>
    <w:rsid w:val="00E6376E"/>
    <w:rsid w:val="00E63F57"/>
    <w:rsid w:val="00E64EBC"/>
    <w:rsid w:val="00E6585D"/>
    <w:rsid w:val="00E66BD4"/>
    <w:rsid w:val="00E66C4E"/>
    <w:rsid w:val="00E67814"/>
    <w:rsid w:val="00E713CB"/>
    <w:rsid w:val="00E71F30"/>
    <w:rsid w:val="00E71FE8"/>
    <w:rsid w:val="00E72C17"/>
    <w:rsid w:val="00E7382F"/>
    <w:rsid w:val="00E73923"/>
    <w:rsid w:val="00E74070"/>
    <w:rsid w:val="00E74FDB"/>
    <w:rsid w:val="00E758D6"/>
    <w:rsid w:val="00E75B2E"/>
    <w:rsid w:val="00E76B22"/>
    <w:rsid w:val="00E76D9E"/>
    <w:rsid w:val="00E77B9C"/>
    <w:rsid w:val="00E8129C"/>
    <w:rsid w:val="00E813BD"/>
    <w:rsid w:val="00E81C98"/>
    <w:rsid w:val="00E82613"/>
    <w:rsid w:val="00E8294C"/>
    <w:rsid w:val="00E8331F"/>
    <w:rsid w:val="00E83F6B"/>
    <w:rsid w:val="00E84A61"/>
    <w:rsid w:val="00E84F8E"/>
    <w:rsid w:val="00E854F6"/>
    <w:rsid w:val="00E857DB"/>
    <w:rsid w:val="00E85EC6"/>
    <w:rsid w:val="00E8603C"/>
    <w:rsid w:val="00E8628D"/>
    <w:rsid w:val="00E8685F"/>
    <w:rsid w:val="00E86DAE"/>
    <w:rsid w:val="00E9016B"/>
    <w:rsid w:val="00E9018F"/>
    <w:rsid w:val="00E90456"/>
    <w:rsid w:val="00E90642"/>
    <w:rsid w:val="00E90B58"/>
    <w:rsid w:val="00E9123C"/>
    <w:rsid w:val="00E9229D"/>
    <w:rsid w:val="00E924CF"/>
    <w:rsid w:val="00E93393"/>
    <w:rsid w:val="00E941FE"/>
    <w:rsid w:val="00E944A3"/>
    <w:rsid w:val="00E947C1"/>
    <w:rsid w:val="00E95CC0"/>
    <w:rsid w:val="00E97151"/>
    <w:rsid w:val="00E97709"/>
    <w:rsid w:val="00EA0CDC"/>
    <w:rsid w:val="00EA16D4"/>
    <w:rsid w:val="00EA1FFC"/>
    <w:rsid w:val="00EA33EB"/>
    <w:rsid w:val="00EA5B35"/>
    <w:rsid w:val="00EA623F"/>
    <w:rsid w:val="00EA6F38"/>
    <w:rsid w:val="00EA7E52"/>
    <w:rsid w:val="00EB068D"/>
    <w:rsid w:val="00EB0B3D"/>
    <w:rsid w:val="00EB13C8"/>
    <w:rsid w:val="00EB2FEB"/>
    <w:rsid w:val="00EB30B8"/>
    <w:rsid w:val="00EB409D"/>
    <w:rsid w:val="00EB41AE"/>
    <w:rsid w:val="00EB5243"/>
    <w:rsid w:val="00EB548C"/>
    <w:rsid w:val="00EC0295"/>
    <w:rsid w:val="00EC040C"/>
    <w:rsid w:val="00EC068B"/>
    <w:rsid w:val="00EC0BEB"/>
    <w:rsid w:val="00EC12D6"/>
    <w:rsid w:val="00EC1A33"/>
    <w:rsid w:val="00EC1F24"/>
    <w:rsid w:val="00EC26E4"/>
    <w:rsid w:val="00EC2926"/>
    <w:rsid w:val="00EC2964"/>
    <w:rsid w:val="00EC2CEA"/>
    <w:rsid w:val="00EC37C5"/>
    <w:rsid w:val="00EC4559"/>
    <w:rsid w:val="00EC4B96"/>
    <w:rsid w:val="00EC5C5B"/>
    <w:rsid w:val="00EC5E3B"/>
    <w:rsid w:val="00EC740E"/>
    <w:rsid w:val="00EC7A7D"/>
    <w:rsid w:val="00ED09F4"/>
    <w:rsid w:val="00ED16CA"/>
    <w:rsid w:val="00ED200E"/>
    <w:rsid w:val="00ED2616"/>
    <w:rsid w:val="00ED27A4"/>
    <w:rsid w:val="00ED2DC1"/>
    <w:rsid w:val="00ED2FBC"/>
    <w:rsid w:val="00ED3218"/>
    <w:rsid w:val="00ED3686"/>
    <w:rsid w:val="00ED3FA4"/>
    <w:rsid w:val="00ED4624"/>
    <w:rsid w:val="00ED53EE"/>
    <w:rsid w:val="00ED5C84"/>
    <w:rsid w:val="00ED5DA0"/>
    <w:rsid w:val="00ED69D2"/>
    <w:rsid w:val="00ED6DA3"/>
    <w:rsid w:val="00ED7C35"/>
    <w:rsid w:val="00EE0AF3"/>
    <w:rsid w:val="00EE1E2E"/>
    <w:rsid w:val="00EE2546"/>
    <w:rsid w:val="00EE51EF"/>
    <w:rsid w:val="00EE53C1"/>
    <w:rsid w:val="00EE5C63"/>
    <w:rsid w:val="00EE69F3"/>
    <w:rsid w:val="00EE6F48"/>
    <w:rsid w:val="00EF10BD"/>
    <w:rsid w:val="00EF140C"/>
    <w:rsid w:val="00EF2290"/>
    <w:rsid w:val="00EF2E31"/>
    <w:rsid w:val="00EF5DE2"/>
    <w:rsid w:val="00EF77DC"/>
    <w:rsid w:val="00EF7926"/>
    <w:rsid w:val="00EF79E8"/>
    <w:rsid w:val="00F00589"/>
    <w:rsid w:val="00F009D7"/>
    <w:rsid w:val="00F01631"/>
    <w:rsid w:val="00F01E4A"/>
    <w:rsid w:val="00F022DA"/>
    <w:rsid w:val="00F03E94"/>
    <w:rsid w:val="00F0486D"/>
    <w:rsid w:val="00F05C72"/>
    <w:rsid w:val="00F06F5A"/>
    <w:rsid w:val="00F11320"/>
    <w:rsid w:val="00F11446"/>
    <w:rsid w:val="00F11B4B"/>
    <w:rsid w:val="00F127E8"/>
    <w:rsid w:val="00F140A3"/>
    <w:rsid w:val="00F14A8E"/>
    <w:rsid w:val="00F14C55"/>
    <w:rsid w:val="00F15471"/>
    <w:rsid w:val="00F15800"/>
    <w:rsid w:val="00F16989"/>
    <w:rsid w:val="00F16CF0"/>
    <w:rsid w:val="00F171F7"/>
    <w:rsid w:val="00F20EA1"/>
    <w:rsid w:val="00F21166"/>
    <w:rsid w:val="00F21951"/>
    <w:rsid w:val="00F22F3E"/>
    <w:rsid w:val="00F246C8"/>
    <w:rsid w:val="00F24FB9"/>
    <w:rsid w:val="00F256AB"/>
    <w:rsid w:val="00F25806"/>
    <w:rsid w:val="00F26989"/>
    <w:rsid w:val="00F27711"/>
    <w:rsid w:val="00F27CCF"/>
    <w:rsid w:val="00F30AB3"/>
    <w:rsid w:val="00F30BCA"/>
    <w:rsid w:val="00F30E2E"/>
    <w:rsid w:val="00F30F0D"/>
    <w:rsid w:val="00F322F4"/>
    <w:rsid w:val="00F33066"/>
    <w:rsid w:val="00F33922"/>
    <w:rsid w:val="00F33F86"/>
    <w:rsid w:val="00F34B1D"/>
    <w:rsid w:val="00F35BCC"/>
    <w:rsid w:val="00F35D62"/>
    <w:rsid w:val="00F36040"/>
    <w:rsid w:val="00F36280"/>
    <w:rsid w:val="00F36F4E"/>
    <w:rsid w:val="00F3753D"/>
    <w:rsid w:val="00F379DA"/>
    <w:rsid w:val="00F37AD4"/>
    <w:rsid w:val="00F37C3A"/>
    <w:rsid w:val="00F408C3"/>
    <w:rsid w:val="00F4109B"/>
    <w:rsid w:val="00F43349"/>
    <w:rsid w:val="00F43462"/>
    <w:rsid w:val="00F43D4A"/>
    <w:rsid w:val="00F444F2"/>
    <w:rsid w:val="00F44E59"/>
    <w:rsid w:val="00F45E23"/>
    <w:rsid w:val="00F46590"/>
    <w:rsid w:val="00F46D9D"/>
    <w:rsid w:val="00F46F9A"/>
    <w:rsid w:val="00F4700D"/>
    <w:rsid w:val="00F47B8C"/>
    <w:rsid w:val="00F47B93"/>
    <w:rsid w:val="00F47BFF"/>
    <w:rsid w:val="00F50009"/>
    <w:rsid w:val="00F502EF"/>
    <w:rsid w:val="00F520FF"/>
    <w:rsid w:val="00F525A9"/>
    <w:rsid w:val="00F53802"/>
    <w:rsid w:val="00F539A7"/>
    <w:rsid w:val="00F53D19"/>
    <w:rsid w:val="00F53F26"/>
    <w:rsid w:val="00F54555"/>
    <w:rsid w:val="00F54DDC"/>
    <w:rsid w:val="00F558DA"/>
    <w:rsid w:val="00F55AEA"/>
    <w:rsid w:val="00F56338"/>
    <w:rsid w:val="00F569E7"/>
    <w:rsid w:val="00F60703"/>
    <w:rsid w:val="00F60D9C"/>
    <w:rsid w:val="00F612FA"/>
    <w:rsid w:val="00F615B5"/>
    <w:rsid w:val="00F6207F"/>
    <w:rsid w:val="00F62AAB"/>
    <w:rsid w:val="00F62EEA"/>
    <w:rsid w:val="00F66E83"/>
    <w:rsid w:val="00F66F9E"/>
    <w:rsid w:val="00F70A68"/>
    <w:rsid w:val="00F70BDB"/>
    <w:rsid w:val="00F71644"/>
    <w:rsid w:val="00F7186C"/>
    <w:rsid w:val="00F71F3B"/>
    <w:rsid w:val="00F7230C"/>
    <w:rsid w:val="00F723EE"/>
    <w:rsid w:val="00F72682"/>
    <w:rsid w:val="00F7275E"/>
    <w:rsid w:val="00F737AC"/>
    <w:rsid w:val="00F741F5"/>
    <w:rsid w:val="00F75837"/>
    <w:rsid w:val="00F774F3"/>
    <w:rsid w:val="00F77BEA"/>
    <w:rsid w:val="00F80742"/>
    <w:rsid w:val="00F8160E"/>
    <w:rsid w:val="00F83ECB"/>
    <w:rsid w:val="00F848D8"/>
    <w:rsid w:val="00F84970"/>
    <w:rsid w:val="00F84D33"/>
    <w:rsid w:val="00F864C3"/>
    <w:rsid w:val="00F86717"/>
    <w:rsid w:val="00F87F17"/>
    <w:rsid w:val="00F92CB6"/>
    <w:rsid w:val="00F92DB9"/>
    <w:rsid w:val="00F92E06"/>
    <w:rsid w:val="00F92F73"/>
    <w:rsid w:val="00F94DBA"/>
    <w:rsid w:val="00F95009"/>
    <w:rsid w:val="00F9700F"/>
    <w:rsid w:val="00F97C66"/>
    <w:rsid w:val="00FA1963"/>
    <w:rsid w:val="00FA1C59"/>
    <w:rsid w:val="00FA1F28"/>
    <w:rsid w:val="00FA204B"/>
    <w:rsid w:val="00FA282F"/>
    <w:rsid w:val="00FA3206"/>
    <w:rsid w:val="00FA34AF"/>
    <w:rsid w:val="00FA3A7D"/>
    <w:rsid w:val="00FA3AD9"/>
    <w:rsid w:val="00FA4225"/>
    <w:rsid w:val="00FA448B"/>
    <w:rsid w:val="00FA45EB"/>
    <w:rsid w:val="00FA5BB3"/>
    <w:rsid w:val="00FA63F2"/>
    <w:rsid w:val="00FA64F8"/>
    <w:rsid w:val="00FA6573"/>
    <w:rsid w:val="00FA67E8"/>
    <w:rsid w:val="00FB0C7C"/>
    <w:rsid w:val="00FB1728"/>
    <w:rsid w:val="00FB31F6"/>
    <w:rsid w:val="00FB4104"/>
    <w:rsid w:val="00FB49B2"/>
    <w:rsid w:val="00FC0AE8"/>
    <w:rsid w:val="00FC1B25"/>
    <w:rsid w:val="00FC1C94"/>
    <w:rsid w:val="00FC2546"/>
    <w:rsid w:val="00FC36A3"/>
    <w:rsid w:val="00FC433F"/>
    <w:rsid w:val="00FC50E7"/>
    <w:rsid w:val="00FC594C"/>
    <w:rsid w:val="00FC5D76"/>
    <w:rsid w:val="00FC6A07"/>
    <w:rsid w:val="00FD1677"/>
    <w:rsid w:val="00FD291D"/>
    <w:rsid w:val="00FD299F"/>
    <w:rsid w:val="00FD2EAB"/>
    <w:rsid w:val="00FD3343"/>
    <w:rsid w:val="00FD4CDF"/>
    <w:rsid w:val="00FD5285"/>
    <w:rsid w:val="00FD5366"/>
    <w:rsid w:val="00FD7AA5"/>
    <w:rsid w:val="00FD7F78"/>
    <w:rsid w:val="00FE0049"/>
    <w:rsid w:val="00FE067C"/>
    <w:rsid w:val="00FE0A63"/>
    <w:rsid w:val="00FE133C"/>
    <w:rsid w:val="00FE182C"/>
    <w:rsid w:val="00FE1C69"/>
    <w:rsid w:val="00FE2A72"/>
    <w:rsid w:val="00FE2FE8"/>
    <w:rsid w:val="00FE3607"/>
    <w:rsid w:val="00FE383F"/>
    <w:rsid w:val="00FE3ACD"/>
    <w:rsid w:val="00FE4EEB"/>
    <w:rsid w:val="00FE5D81"/>
    <w:rsid w:val="00FE7F59"/>
    <w:rsid w:val="00FF1313"/>
    <w:rsid w:val="00FF1932"/>
    <w:rsid w:val="00FF2E1A"/>
    <w:rsid w:val="00FF377A"/>
    <w:rsid w:val="00FF5D35"/>
    <w:rsid w:val="00FF65AC"/>
    <w:rsid w:val="00FF6908"/>
    <w:rsid w:val="00FF75D7"/>
    <w:rsid w:val="08DAF136"/>
    <w:rsid w:val="0B963F18"/>
    <w:rsid w:val="0E2B1EA6"/>
    <w:rsid w:val="15EB728E"/>
    <w:rsid w:val="183D640F"/>
    <w:rsid w:val="19833FBC"/>
    <w:rsid w:val="2119785A"/>
    <w:rsid w:val="215CBE4B"/>
    <w:rsid w:val="2547114D"/>
    <w:rsid w:val="26732E16"/>
    <w:rsid w:val="33D1D9B6"/>
    <w:rsid w:val="3B1FB570"/>
    <w:rsid w:val="4E4B50FB"/>
    <w:rsid w:val="56AD2BAB"/>
    <w:rsid w:val="623B7DDA"/>
    <w:rsid w:val="64479363"/>
    <w:rsid w:val="66F7D99A"/>
    <w:rsid w:val="6A8F0FA2"/>
    <w:rsid w:val="6B3EDCF2"/>
    <w:rsid w:val="6C8B376A"/>
    <w:rsid w:val="7078F7E6"/>
    <w:rsid w:val="71782CED"/>
    <w:rsid w:val="7A5ABD3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B0077B"/>
  <w15:chartTrackingRefBased/>
  <w15:docId w15:val="{EF72FE67-E406-4D95-AEAF-9844BF516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tabs>
        <w:tab w:val="left" w:pos="567"/>
      </w:tabs>
    </w:pPr>
    <w:rPr>
      <w:sz w:val="22"/>
      <w:lang w:val="en-GB" w:eastAsia="zh-TW"/>
    </w:rPr>
  </w:style>
  <w:style w:type="paragraph" w:styleId="Nadpis1">
    <w:name w:val="heading 1"/>
    <w:basedOn w:val="Normln"/>
    <w:next w:val="Normln"/>
    <w:qFormat/>
    <w:pPr>
      <w:spacing w:before="240" w:after="120"/>
      <w:ind w:left="357" w:hanging="357"/>
      <w:outlineLvl w:val="0"/>
    </w:pPr>
    <w:rPr>
      <w:b/>
      <w:caps/>
      <w:sz w:val="26"/>
      <w:lang w:val="en-US"/>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lang w:val="en-US"/>
    </w:rPr>
  </w:style>
  <w:style w:type="paragraph" w:styleId="Nadpis4">
    <w:name w:val="heading 4"/>
    <w:basedOn w:val="Normln"/>
    <w:next w:val="Normln"/>
    <w:qFormat/>
    <w:pPr>
      <w:keepNext/>
      <w:jc w:val="both"/>
      <w:outlineLvl w:val="3"/>
    </w:pPr>
    <w:rPr>
      <w:b/>
      <w:noProof/>
    </w:rPr>
  </w:style>
  <w:style w:type="paragraph" w:styleId="Nadpis5">
    <w:name w:val="heading 5"/>
    <w:basedOn w:val="Normln"/>
    <w:next w:val="Normln"/>
    <w:qFormat/>
    <w:pPr>
      <w:keepNext/>
      <w:jc w:val="both"/>
      <w:outlineLvl w:val="4"/>
    </w:pPr>
    <w:rPr>
      <w:noProof/>
    </w:rPr>
  </w:style>
  <w:style w:type="paragraph" w:styleId="Nadpis6">
    <w:name w:val="heading 6"/>
    <w:basedOn w:val="Normln"/>
    <w:next w:val="Normln"/>
    <w:link w:val="Nadpis6Char"/>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ind w:left="567" w:hanging="567"/>
      <w:jc w:val="both"/>
      <w:outlineLvl w:val="7"/>
    </w:pPr>
    <w:rPr>
      <w:b/>
      <w:i/>
    </w:rPr>
  </w:style>
  <w:style w:type="paragraph" w:styleId="Nadpis9">
    <w:name w:val="heading 9"/>
    <w:basedOn w:val="Normln"/>
    <w:next w:val="Normln"/>
    <w:qFormat/>
    <w:pPr>
      <w:keepNext/>
      <w:jc w:val="both"/>
      <w:outlineLvl w:val="8"/>
    </w:pPr>
    <w:rPr>
      <w:b/>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link w:val="Nadpis6"/>
    <w:rsid w:val="000543A2"/>
    <w:rPr>
      <w:i/>
      <w:sz w:val="22"/>
      <w:lang w:val="en-GB" w:eastAsia="zh-TW"/>
    </w:rPr>
  </w:style>
  <w:style w:type="paragraph" w:styleId="Textbubliny">
    <w:name w:val="Balloon Text"/>
    <w:basedOn w:val="Normln"/>
    <w:link w:val="TextbublinyChar"/>
    <w:rsid w:val="000543A2"/>
    <w:rPr>
      <w:rFonts w:ascii="Tahoma" w:hAnsi="Tahoma" w:cs="Tahoma"/>
      <w:sz w:val="16"/>
      <w:szCs w:val="16"/>
    </w:rPr>
  </w:style>
  <w:style w:type="character" w:customStyle="1" w:styleId="TextbublinyChar">
    <w:name w:val="Text bubliny Char"/>
    <w:link w:val="Textbubliny"/>
    <w:rsid w:val="000543A2"/>
    <w:rPr>
      <w:rFonts w:ascii="Tahoma" w:hAnsi="Tahoma" w:cs="Tahoma"/>
      <w:sz w:val="16"/>
      <w:szCs w:val="16"/>
      <w:lang w:val="en-GB" w:eastAsia="zh-TW"/>
    </w:rPr>
  </w:style>
  <w:style w:type="paragraph" w:styleId="Odstavecseseznamem">
    <w:name w:val="List Paragraph"/>
    <w:basedOn w:val="Normln"/>
    <w:link w:val="OdstavecseseznamemChar"/>
    <w:uiPriority w:val="34"/>
    <w:qFormat/>
    <w:rsid w:val="000543A2"/>
    <w:pPr>
      <w:ind w:left="708"/>
    </w:pPr>
  </w:style>
  <w:style w:type="paragraph" w:customStyle="1" w:styleId="TitleA">
    <w:name w:val="Title A"/>
    <w:basedOn w:val="Normln"/>
    <w:qFormat/>
    <w:rsid w:val="00FA1963"/>
    <w:pPr>
      <w:tabs>
        <w:tab w:val="clear" w:pos="567"/>
      </w:tabs>
      <w:jc w:val="center"/>
      <w:outlineLvl w:val="0"/>
    </w:pPr>
    <w:rPr>
      <w:rFonts w:eastAsiaTheme="minorHAnsi"/>
      <w:b/>
      <w:szCs w:val="22"/>
      <w:lang w:val="de-DE" w:eastAsia="en-US"/>
    </w:rPr>
  </w:style>
  <w:style w:type="paragraph" w:customStyle="1" w:styleId="TitleB">
    <w:name w:val="Title B"/>
    <w:basedOn w:val="Normln"/>
    <w:qFormat/>
    <w:rsid w:val="00FA1963"/>
    <w:pPr>
      <w:tabs>
        <w:tab w:val="clear" w:pos="567"/>
      </w:tabs>
      <w:ind w:left="567" w:hanging="567"/>
      <w:outlineLvl w:val="1"/>
    </w:pPr>
    <w:rPr>
      <w:rFonts w:eastAsiaTheme="minorHAnsi"/>
      <w:b/>
      <w:szCs w:val="22"/>
      <w:lang w:val="de-DE" w:eastAsia="en-US"/>
    </w:rPr>
  </w:style>
  <w:style w:type="paragraph" w:styleId="Seznamobrzk">
    <w:name w:val="table of figures"/>
    <w:basedOn w:val="Normln"/>
    <w:next w:val="Normln"/>
    <w:rsid w:val="00046F4C"/>
    <w:pPr>
      <w:tabs>
        <w:tab w:val="clear" w:pos="567"/>
      </w:tabs>
    </w:pPr>
  </w:style>
  <w:style w:type="paragraph" w:styleId="Osloven">
    <w:name w:val="Salutation"/>
    <w:basedOn w:val="Normln"/>
    <w:next w:val="Normln"/>
    <w:link w:val="OslovenChar"/>
    <w:rsid w:val="00046F4C"/>
  </w:style>
  <w:style w:type="character" w:customStyle="1" w:styleId="OslovenChar">
    <w:name w:val="Oslovení Char"/>
    <w:link w:val="Osloven"/>
    <w:rsid w:val="00046F4C"/>
    <w:rPr>
      <w:sz w:val="22"/>
      <w:lang w:val="en-GB" w:eastAsia="zh-TW"/>
    </w:rPr>
  </w:style>
  <w:style w:type="paragraph" w:styleId="Seznamsodrkami">
    <w:name w:val="List Bullet"/>
    <w:basedOn w:val="Normln"/>
    <w:rsid w:val="00046F4C"/>
    <w:pPr>
      <w:numPr>
        <w:numId w:val="4"/>
      </w:numPr>
      <w:contextualSpacing/>
    </w:pPr>
  </w:style>
  <w:style w:type="paragraph" w:styleId="Seznamsodrkami2">
    <w:name w:val="List Bullet 2"/>
    <w:basedOn w:val="Normln"/>
    <w:rsid w:val="00046F4C"/>
    <w:pPr>
      <w:numPr>
        <w:numId w:val="5"/>
      </w:numPr>
      <w:contextualSpacing/>
    </w:pPr>
  </w:style>
  <w:style w:type="paragraph" w:styleId="Seznamsodrkami3">
    <w:name w:val="List Bullet 3"/>
    <w:basedOn w:val="Normln"/>
    <w:rsid w:val="00046F4C"/>
    <w:pPr>
      <w:numPr>
        <w:numId w:val="6"/>
      </w:numPr>
      <w:contextualSpacing/>
    </w:pPr>
  </w:style>
  <w:style w:type="paragraph" w:styleId="Seznamsodrkami4">
    <w:name w:val="List Bullet 4"/>
    <w:basedOn w:val="Normln"/>
    <w:rsid w:val="00046F4C"/>
    <w:pPr>
      <w:numPr>
        <w:numId w:val="7"/>
      </w:numPr>
      <w:contextualSpacing/>
    </w:pPr>
  </w:style>
  <w:style w:type="paragraph" w:styleId="Seznamsodrkami5">
    <w:name w:val="List Bullet 5"/>
    <w:basedOn w:val="Normln"/>
    <w:rsid w:val="00046F4C"/>
    <w:pPr>
      <w:numPr>
        <w:numId w:val="8"/>
      </w:numPr>
      <w:contextualSpacing/>
    </w:pPr>
  </w:style>
  <w:style w:type="paragraph" w:styleId="Titulek">
    <w:name w:val="caption"/>
    <w:aliases w:val="Bayer Caption,Bayer Normal Zchn Zchn,NDA,IB Caption,Medical Caption,Tab/Fig,Tab,Bayer Normal Char,12+,Caption 12pt+,12,Caption 12pt,Figure A. Char,Bayer Normal Char + Blac...,Caption-FUSA,Bayer Normal...,table,appendix,Vion Caption"/>
    <w:basedOn w:val="Normln"/>
    <w:next w:val="Normln"/>
    <w:link w:val="TitulekChar"/>
    <w:unhideWhenUsed/>
    <w:qFormat/>
    <w:rsid w:val="00046F4C"/>
    <w:rPr>
      <w:b/>
      <w:bCs/>
      <w:sz w:val="20"/>
    </w:rPr>
  </w:style>
  <w:style w:type="paragraph" w:styleId="Textvbloku">
    <w:name w:val="Block Text"/>
    <w:basedOn w:val="Normln"/>
    <w:rsid w:val="00046F4C"/>
    <w:pPr>
      <w:spacing w:after="120"/>
      <w:ind w:left="1440" w:right="1440"/>
    </w:pPr>
  </w:style>
  <w:style w:type="paragraph" w:styleId="Datum">
    <w:name w:val="Date"/>
    <w:basedOn w:val="Normln"/>
    <w:next w:val="Normln"/>
    <w:link w:val="DatumChar"/>
    <w:rsid w:val="00046F4C"/>
  </w:style>
  <w:style w:type="character" w:customStyle="1" w:styleId="DatumChar">
    <w:name w:val="Datum Char"/>
    <w:link w:val="Datum"/>
    <w:rsid w:val="00046F4C"/>
    <w:rPr>
      <w:sz w:val="22"/>
      <w:lang w:val="en-GB" w:eastAsia="zh-TW"/>
    </w:rPr>
  </w:style>
  <w:style w:type="paragraph" w:styleId="Rozloendokumentu">
    <w:name w:val="Document Map"/>
    <w:basedOn w:val="Normln"/>
    <w:link w:val="RozloendokumentuChar"/>
    <w:rsid w:val="00046F4C"/>
    <w:rPr>
      <w:rFonts w:ascii="Tahoma" w:hAnsi="Tahoma" w:cs="Tahoma"/>
      <w:sz w:val="16"/>
      <w:szCs w:val="16"/>
    </w:rPr>
  </w:style>
  <w:style w:type="character" w:customStyle="1" w:styleId="RozloendokumentuChar">
    <w:name w:val="Rozložení dokumentu Char"/>
    <w:link w:val="Rozloendokumentu"/>
    <w:rsid w:val="00046F4C"/>
    <w:rPr>
      <w:rFonts w:ascii="Tahoma" w:hAnsi="Tahoma" w:cs="Tahoma"/>
      <w:sz w:val="16"/>
      <w:szCs w:val="16"/>
      <w:lang w:val="en-GB" w:eastAsia="zh-TW"/>
    </w:rPr>
  </w:style>
  <w:style w:type="paragraph" w:styleId="Podpise-mailu">
    <w:name w:val="E-mail Signature"/>
    <w:basedOn w:val="Normln"/>
    <w:link w:val="Podpise-mailuChar"/>
    <w:rsid w:val="00046F4C"/>
  </w:style>
  <w:style w:type="character" w:customStyle="1" w:styleId="Podpise-mailuChar">
    <w:name w:val="Podpis e-mailu Char"/>
    <w:link w:val="Podpise-mailu"/>
    <w:rsid w:val="00046F4C"/>
    <w:rPr>
      <w:sz w:val="22"/>
      <w:lang w:val="en-GB" w:eastAsia="zh-TW"/>
    </w:rPr>
  </w:style>
  <w:style w:type="paragraph" w:styleId="Textvysvtlivek">
    <w:name w:val="endnote text"/>
    <w:basedOn w:val="Normln"/>
    <w:link w:val="TextvysvtlivekChar"/>
    <w:rsid w:val="00046F4C"/>
    <w:rPr>
      <w:sz w:val="20"/>
    </w:rPr>
  </w:style>
  <w:style w:type="character" w:customStyle="1" w:styleId="TextvysvtlivekChar">
    <w:name w:val="Text vysvětlivek Char"/>
    <w:link w:val="Textvysvtlivek"/>
    <w:rsid w:val="00046F4C"/>
    <w:rPr>
      <w:lang w:val="en-GB" w:eastAsia="zh-TW"/>
    </w:rPr>
  </w:style>
  <w:style w:type="paragraph" w:styleId="Nadpispoznmky">
    <w:name w:val="Note Heading"/>
    <w:basedOn w:val="Normln"/>
    <w:next w:val="Normln"/>
    <w:link w:val="NadpispoznmkyChar"/>
    <w:rsid w:val="00046F4C"/>
  </w:style>
  <w:style w:type="character" w:customStyle="1" w:styleId="NadpispoznmkyChar">
    <w:name w:val="Nadpis poznámky Char"/>
    <w:link w:val="Nadpispoznmky"/>
    <w:rsid w:val="00046F4C"/>
    <w:rPr>
      <w:sz w:val="22"/>
      <w:lang w:val="en-GB" w:eastAsia="zh-TW"/>
    </w:rPr>
  </w:style>
  <w:style w:type="paragraph" w:styleId="Textpoznpodarou">
    <w:name w:val="footnote text"/>
    <w:basedOn w:val="Normln"/>
    <w:link w:val="TextpoznpodarouChar"/>
    <w:rsid w:val="00046F4C"/>
    <w:rPr>
      <w:sz w:val="20"/>
    </w:rPr>
  </w:style>
  <w:style w:type="character" w:customStyle="1" w:styleId="TextpoznpodarouChar">
    <w:name w:val="Text pozn. pod čarou Char"/>
    <w:link w:val="Textpoznpodarou"/>
    <w:rsid w:val="00046F4C"/>
    <w:rPr>
      <w:lang w:val="en-GB" w:eastAsia="zh-TW"/>
    </w:rPr>
  </w:style>
  <w:style w:type="paragraph" w:styleId="Zpat">
    <w:name w:val="footer"/>
    <w:basedOn w:val="Normln"/>
    <w:link w:val="ZpatChar"/>
    <w:uiPriority w:val="99"/>
    <w:rsid w:val="00046F4C"/>
    <w:pPr>
      <w:tabs>
        <w:tab w:val="clear" w:pos="567"/>
        <w:tab w:val="center" w:pos="4536"/>
        <w:tab w:val="right" w:pos="9072"/>
      </w:tabs>
    </w:pPr>
  </w:style>
  <w:style w:type="character" w:customStyle="1" w:styleId="ZpatChar">
    <w:name w:val="Zápatí Char"/>
    <w:link w:val="Zpat"/>
    <w:uiPriority w:val="99"/>
    <w:rsid w:val="00046F4C"/>
    <w:rPr>
      <w:sz w:val="22"/>
      <w:lang w:val="en-GB" w:eastAsia="zh-TW"/>
    </w:rPr>
  </w:style>
  <w:style w:type="paragraph" w:styleId="Zvr">
    <w:name w:val="Closing"/>
    <w:basedOn w:val="Normln"/>
    <w:link w:val="ZvrChar"/>
    <w:rsid w:val="00046F4C"/>
    <w:pPr>
      <w:ind w:left="4252"/>
    </w:pPr>
  </w:style>
  <w:style w:type="character" w:customStyle="1" w:styleId="ZvrChar">
    <w:name w:val="Závěr Char"/>
    <w:link w:val="Zvr"/>
    <w:rsid w:val="00046F4C"/>
    <w:rPr>
      <w:sz w:val="22"/>
      <w:lang w:val="en-GB" w:eastAsia="zh-TW"/>
    </w:rPr>
  </w:style>
  <w:style w:type="paragraph" w:styleId="AdresaHTML">
    <w:name w:val="HTML Address"/>
    <w:basedOn w:val="Normln"/>
    <w:link w:val="AdresaHTMLChar"/>
    <w:rsid w:val="00046F4C"/>
    <w:rPr>
      <w:i/>
      <w:iCs/>
    </w:rPr>
  </w:style>
  <w:style w:type="character" w:customStyle="1" w:styleId="AdresaHTMLChar">
    <w:name w:val="Adresa HTML Char"/>
    <w:link w:val="AdresaHTML"/>
    <w:rsid w:val="00046F4C"/>
    <w:rPr>
      <w:i/>
      <w:iCs/>
      <w:sz w:val="22"/>
      <w:lang w:val="en-GB" w:eastAsia="zh-TW"/>
    </w:rPr>
  </w:style>
  <w:style w:type="paragraph" w:styleId="FormtovanvHTML">
    <w:name w:val="HTML Preformatted"/>
    <w:basedOn w:val="Normln"/>
    <w:link w:val="FormtovanvHTMLChar"/>
    <w:rsid w:val="00046F4C"/>
    <w:rPr>
      <w:rFonts w:ascii="Courier New" w:hAnsi="Courier New" w:cs="Courier New"/>
      <w:sz w:val="20"/>
    </w:rPr>
  </w:style>
  <w:style w:type="character" w:customStyle="1" w:styleId="FormtovanvHTMLChar">
    <w:name w:val="Formátovaný v HTML Char"/>
    <w:link w:val="FormtovanvHTML"/>
    <w:rsid w:val="00046F4C"/>
    <w:rPr>
      <w:rFonts w:ascii="Courier New" w:hAnsi="Courier New" w:cs="Courier New"/>
      <w:lang w:val="en-GB" w:eastAsia="zh-TW"/>
    </w:rPr>
  </w:style>
  <w:style w:type="paragraph" w:styleId="Rejstk1">
    <w:name w:val="index 1"/>
    <w:basedOn w:val="Normln"/>
    <w:next w:val="Normln"/>
    <w:autoRedefine/>
    <w:rsid w:val="00046F4C"/>
    <w:pPr>
      <w:tabs>
        <w:tab w:val="clear" w:pos="567"/>
      </w:tabs>
      <w:ind w:left="220" w:hanging="220"/>
    </w:pPr>
  </w:style>
  <w:style w:type="paragraph" w:styleId="Rejstk2">
    <w:name w:val="index 2"/>
    <w:basedOn w:val="Normln"/>
    <w:next w:val="Normln"/>
    <w:autoRedefine/>
    <w:rsid w:val="00046F4C"/>
    <w:pPr>
      <w:tabs>
        <w:tab w:val="clear" w:pos="567"/>
      </w:tabs>
      <w:ind w:left="440" w:hanging="220"/>
    </w:pPr>
  </w:style>
  <w:style w:type="paragraph" w:styleId="Rejstk3">
    <w:name w:val="index 3"/>
    <w:basedOn w:val="Normln"/>
    <w:next w:val="Normln"/>
    <w:autoRedefine/>
    <w:rsid w:val="00046F4C"/>
    <w:pPr>
      <w:tabs>
        <w:tab w:val="clear" w:pos="567"/>
      </w:tabs>
      <w:ind w:left="660" w:hanging="220"/>
    </w:pPr>
  </w:style>
  <w:style w:type="paragraph" w:styleId="Rejstk4">
    <w:name w:val="index 4"/>
    <w:basedOn w:val="Normln"/>
    <w:next w:val="Normln"/>
    <w:autoRedefine/>
    <w:rsid w:val="00046F4C"/>
    <w:pPr>
      <w:tabs>
        <w:tab w:val="clear" w:pos="567"/>
      </w:tabs>
      <w:ind w:left="880" w:hanging="220"/>
    </w:pPr>
  </w:style>
  <w:style w:type="paragraph" w:styleId="Rejstk5">
    <w:name w:val="index 5"/>
    <w:basedOn w:val="Normln"/>
    <w:next w:val="Normln"/>
    <w:autoRedefine/>
    <w:rsid w:val="00046F4C"/>
    <w:pPr>
      <w:tabs>
        <w:tab w:val="clear" w:pos="567"/>
      </w:tabs>
      <w:ind w:left="1100" w:hanging="220"/>
    </w:pPr>
  </w:style>
  <w:style w:type="paragraph" w:styleId="Rejstk6">
    <w:name w:val="index 6"/>
    <w:basedOn w:val="Normln"/>
    <w:next w:val="Normln"/>
    <w:autoRedefine/>
    <w:rsid w:val="00046F4C"/>
    <w:pPr>
      <w:tabs>
        <w:tab w:val="clear" w:pos="567"/>
      </w:tabs>
      <w:ind w:left="1320" w:hanging="220"/>
    </w:pPr>
  </w:style>
  <w:style w:type="paragraph" w:styleId="Rejstk7">
    <w:name w:val="index 7"/>
    <w:basedOn w:val="Normln"/>
    <w:next w:val="Normln"/>
    <w:autoRedefine/>
    <w:rsid w:val="00046F4C"/>
    <w:pPr>
      <w:tabs>
        <w:tab w:val="clear" w:pos="567"/>
      </w:tabs>
      <w:ind w:left="1540" w:hanging="220"/>
    </w:pPr>
  </w:style>
  <w:style w:type="paragraph" w:styleId="Rejstk8">
    <w:name w:val="index 8"/>
    <w:basedOn w:val="Normln"/>
    <w:next w:val="Normln"/>
    <w:autoRedefine/>
    <w:rsid w:val="00046F4C"/>
    <w:pPr>
      <w:tabs>
        <w:tab w:val="clear" w:pos="567"/>
      </w:tabs>
      <w:ind w:left="1760" w:hanging="220"/>
    </w:pPr>
  </w:style>
  <w:style w:type="paragraph" w:styleId="Rejstk9">
    <w:name w:val="index 9"/>
    <w:basedOn w:val="Normln"/>
    <w:next w:val="Normln"/>
    <w:autoRedefine/>
    <w:rsid w:val="00046F4C"/>
    <w:pPr>
      <w:tabs>
        <w:tab w:val="clear" w:pos="567"/>
      </w:tabs>
      <w:ind w:left="1980" w:hanging="220"/>
    </w:pPr>
  </w:style>
  <w:style w:type="paragraph" w:styleId="Hlavikarejstku">
    <w:name w:val="index heading"/>
    <w:basedOn w:val="Normln"/>
    <w:next w:val="Rejstk1"/>
    <w:rsid w:val="00046F4C"/>
    <w:rPr>
      <w:rFonts w:ascii="Cambria" w:hAnsi="Cambria"/>
      <w:b/>
      <w:bCs/>
    </w:rPr>
  </w:style>
  <w:style w:type="paragraph" w:styleId="Nadpisobsahu">
    <w:name w:val="TOC Heading"/>
    <w:basedOn w:val="Nadpis1"/>
    <w:next w:val="Normln"/>
    <w:uiPriority w:val="39"/>
    <w:semiHidden/>
    <w:unhideWhenUsed/>
    <w:qFormat/>
    <w:rsid w:val="00046F4C"/>
    <w:pPr>
      <w:keepNext/>
      <w:spacing w:after="60"/>
      <w:ind w:left="0" w:firstLine="0"/>
      <w:outlineLvl w:val="9"/>
    </w:pPr>
    <w:rPr>
      <w:rFonts w:ascii="Cambria" w:hAnsi="Cambria"/>
      <w:bCs/>
      <w:caps w:val="0"/>
      <w:kern w:val="32"/>
      <w:sz w:val="32"/>
      <w:szCs w:val="32"/>
      <w:lang w:val="en-GB"/>
    </w:rPr>
  </w:style>
  <w:style w:type="paragraph" w:styleId="Vrazncitt">
    <w:name w:val="Intense Quote"/>
    <w:basedOn w:val="Normln"/>
    <w:next w:val="Normln"/>
    <w:link w:val="VrazncittChar"/>
    <w:uiPriority w:val="30"/>
    <w:qFormat/>
    <w:rsid w:val="00046F4C"/>
    <w:pPr>
      <w:pBdr>
        <w:bottom w:val="single" w:sz="4" w:space="4" w:color="4F81BD"/>
      </w:pBdr>
      <w:spacing w:before="200" w:after="280"/>
      <w:ind w:left="936" w:right="936"/>
    </w:pPr>
    <w:rPr>
      <w:b/>
      <w:bCs/>
      <w:i/>
      <w:iCs/>
      <w:color w:val="4F81BD"/>
    </w:rPr>
  </w:style>
  <w:style w:type="character" w:customStyle="1" w:styleId="VrazncittChar">
    <w:name w:val="Výrazný citát Char"/>
    <w:link w:val="Vrazncitt"/>
    <w:uiPriority w:val="30"/>
    <w:rsid w:val="00046F4C"/>
    <w:rPr>
      <w:b/>
      <w:bCs/>
      <w:i/>
      <w:iCs/>
      <w:color w:val="4F81BD"/>
      <w:sz w:val="22"/>
      <w:lang w:val="en-GB" w:eastAsia="zh-TW"/>
    </w:rPr>
  </w:style>
  <w:style w:type="paragraph" w:styleId="Bezmezer">
    <w:name w:val="No Spacing"/>
    <w:uiPriority w:val="1"/>
    <w:qFormat/>
    <w:rsid w:val="00046F4C"/>
    <w:pPr>
      <w:tabs>
        <w:tab w:val="left" w:pos="567"/>
      </w:tabs>
    </w:pPr>
    <w:rPr>
      <w:sz w:val="22"/>
      <w:lang w:val="en-GB" w:eastAsia="zh-TW"/>
    </w:rPr>
  </w:style>
  <w:style w:type="paragraph" w:styleId="Textkomente">
    <w:name w:val="annotation text"/>
    <w:basedOn w:val="Normln"/>
    <w:link w:val="TextkomenteChar"/>
    <w:uiPriority w:val="99"/>
    <w:rsid w:val="00046F4C"/>
    <w:rPr>
      <w:sz w:val="20"/>
    </w:rPr>
  </w:style>
  <w:style w:type="character" w:customStyle="1" w:styleId="TextkomenteChar">
    <w:name w:val="Text komentáře Char"/>
    <w:link w:val="Textkomente"/>
    <w:uiPriority w:val="99"/>
    <w:rsid w:val="00046F4C"/>
    <w:rPr>
      <w:lang w:val="en-GB" w:eastAsia="zh-TW"/>
    </w:rPr>
  </w:style>
  <w:style w:type="paragraph" w:styleId="Pedmtkomente">
    <w:name w:val="annotation subject"/>
    <w:basedOn w:val="Textkomente"/>
    <w:next w:val="Textkomente"/>
    <w:link w:val="PedmtkomenteChar"/>
    <w:rsid w:val="00046F4C"/>
    <w:rPr>
      <w:b/>
      <w:bCs/>
    </w:rPr>
  </w:style>
  <w:style w:type="character" w:customStyle="1" w:styleId="PedmtkomenteChar">
    <w:name w:val="Předmět komentáře Char"/>
    <w:link w:val="Pedmtkomente"/>
    <w:rsid w:val="00046F4C"/>
    <w:rPr>
      <w:b/>
      <w:bCs/>
      <w:lang w:val="en-GB" w:eastAsia="zh-TW"/>
    </w:rPr>
  </w:style>
  <w:style w:type="paragraph" w:styleId="Zhlav">
    <w:name w:val="header"/>
    <w:basedOn w:val="Normln"/>
    <w:link w:val="ZhlavChar"/>
    <w:uiPriority w:val="99"/>
    <w:rsid w:val="00046F4C"/>
    <w:pPr>
      <w:tabs>
        <w:tab w:val="clear" w:pos="567"/>
        <w:tab w:val="center" w:pos="4536"/>
        <w:tab w:val="right" w:pos="9072"/>
      </w:tabs>
    </w:pPr>
  </w:style>
  <w:style w:type="character" w:customStyle="1" w:styleId="ZhlavChar">
    <w:name w:val="Záhlaví Char"/>
    <w:link w:val="Zhlav"/>
    <w:uiPriority w:val="99"/>
    <w:rsid w:val="00046F4C"/>
    <w:rPr>
      <w:sz w:val="22"/>
      <w:lang w:val="en-GB" w:eastAsia="zh-TW"/>
    </w:rPr>
  </w:style>
  <w:style w:type="paragraph" w:styleId="Seznam">
    <w:name w:val="List"/>
    <w:basedOn w:val="Normln"/>
    <w:rsid w:val="00046F4C"/>
    <w:pPr>
      <w:ind w:left="283" w:hanging="283"/>
      <w:contextualSpacing/>
    </w:pPr>
  </w:style>
  <w:style w:type="paragraph" w:styleId="Seznam2">
    <w:name w:val="List 2"/>
    <w:basedOn w:val="Normln"/>
    <w:rsid w:val="00046F4C"/>
    <w:pPr>
      <w:ind w:left="566" w:hanging="283"/>
      <w:contextualSpacing/>
    </w:pPr>
  </w:style>
  <w:style w:type="paragraph" w:styleId="Seznam3">
    <w:name w:val="List 3"/>
    <w:basedOn w:val="Normln"/>
    <w:rsid w:val="00046F4C"/>
    <w:pPr>
      <w:ind w:left="849" w:hanging="283"/>
      <w:contextualSpacing/>
    </w:pPr>
  </w:style>
  <w:style w:type="paragraph" w:styleId="Seznam4">
    <w:name w:val="List 4"/>
    <w:basedOn w:val="Normln"/>
    <w:rsid w:val="00046F4C"/>
    <w:pPr>
      <w:ind w:left="1132" w:hanging="283"/>
      <w:contextualSpacing/>
    </w:pPr>
  </w:style>
  <w:style w:type="paragraph" w:styleId="Seznam5">
    <w:name w:val="List 5"/>
    <w:basedOn w:val="Normln"/>
    <w:rsid w:val="00046F4C"/>
    <w:pPr>
      <w:ind w:left="1415" w:hanging="283"/>
      <w:contextualSpacing/>
    </w:pPr>
  </w:style>
  <w:style w:type="paragraph" w:styleId="Pokraovnseznamu">
    <w:name w:val="List Continue"/>
    <w:basedOn w:val="Normln"/>
    <w:rsid w:val="00046F4C"/>
    <w:pPr>
      <w:spacing w:after="120"/>
      <w:ind w:left="283"/>
      <w:contextualSpacing/>
    </w:pPr>
  </w:style>
  <w:style w:type="paragraph" w:styleId="Pokraovnseznamu2">
    <w:name w:val="List Continue 2"/>
    <w:basedOn w:val="Normln"/>
    <w:rsid w:val="00046F4C"/>
    <w:pPr>
      <w:spacing w:after="120"/>
      <w:ind w:left="566"/>
      <w:contextualSpacing/>
    </w:pPr>
  </w:style>
  <w:style w:type="paragraph" w:styleId="Pokraovnseznamu3">
    <w:name w:val="List Continue 3"/>
    <w:basedOn w:val="Normln"/>
    <w:rsid w:val="00046F4C"/>
    <w:pPr>
      <w:spacing w:after="120"/>
      <w:ind w:left="849"/>
      <w:contextualSpacing/>
    </w:pPr>
  </w:style>
  <w:style w:type="paragraph" w:styleId="Pokraovnseznamu4">
    <w:name w:val="List Continue 4"/>
    <w:basedOn w:val="Normln"/>
    <w:rsid w:val="00046F4C"/>
    <w:pPr>
      <w:spacing w:after="120"/>
      <w:ind w:left="1132"/>
      <w:contextualSpacing/>
    </w:pPr>
  </w:style>
  <w:style w:type="paragraph" w:styleId="Pokraovnseznamu5">
    <w:name w:val="List Continue 5"/>
    <w:basedOn w:val="Normln"/>
    <w:rsid w:val="00046F4C"/>
    <w:pPr>
      <w:spacing w:after="120"/>
      <w:ind w:left="1415"/>
      <w:contextualSpacing/>
    </w:pPr>
  </w:style>
  <w:style w:type="paragraph" w:styleId="slovanseznam">
    <w:name w:val="List Number"/>
    <w:basedOn w:val="Normln"/>
    <w:rsid w:val="00046F4C"/>
    <w:pPr>
      <w:numPr>
        <w:numId w:val="9"/>
      </w:numPr>
      <w:contextualSpacing/>
    </w:pPr>
  </w:style>
  <w:style w:type="paragraph" w:styleId="slovanseznam2">
    <w:name w:val="List Number 2"/>
    <w:basedOn w:val="Normln"/>
    <w:rsid w:val="00046F4C"/>
    <w:pPr>
      <w:numPr>
        <w:numId w:val="10"/>
      </w:numPr>
      <w:contextualSpacing/>
    </w:pPr>
  </w:style>
  <w:style w:type="paragraph" w:styleId="slovanseznam3">
    <w:name w:val="List Number 3"/>
    <w:basedOn w:val="Normln"/>
    <w:rsid w:val="00046F4C"/>
    <w:pPr>
      <w:numPr>
        <w:numId w:val="11"/>
      </w:numPr>
      <w:contextualSpacing/>
    </w:pPr>
  </w:style>
  <w:style w:type="paragraph" w:styleId="slovanseznam4">
    <w:name w:val="List Number 4"/>
    <w:basedOn w:val="Normln"/>
    <w:rsid w:val="00046F4C"/>
    <w:pPr>
      <w:numPr>
        <w:numId w:val="12"/>
      </w:numPr>
      <w:contextualSpacing/>
    </w:pPr>
  </w:style>
  <w:style w:type="paragraph" w:styleId="slovanseznam5">
    <w:name w:val="List Number 5"/>
    <w:basedOn w:val="Normln"/>
    <w:rsid w:val="00046F4C"/>
    <w:pPr>
      <w:numPr>
        <w:numId w:val="13"/>
      </w:numPr>
      <w:contextualSpacing/>
    </w:pPr>
  </w:style>
  <w:style w:type="paragraph" w:styleId="Bibliografie">
    <w:name w:val="Bibliography"/>
    <w:basedOn w:val="Normln"/>
    <w:next w:val="Normln"/>
    <w:uiPriority w:val="37"/>
    <w:semiHidden/>
    <w:unhideWhenUsed/>
    <w:rsid w:val="00046F4C"/>
  </w:style>
  <w:style w:type="paragraph" w:styleId="Textmakra">
    <w:name w:val="macro"/>
    <w:link w:val="TextmakraChar"/>
    <w:rsid w:val="00046F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zh-TW"/>
    </w:rPr>
  </w:style>
  <w:style w:type="character" w:customStyle="1" w:styleId="TextmakraChar">
    <w:name w:val="Text makra Char"/>
    <w:link w:val="Textmakra"/>
    <w:rsid w:val="00046F4C"/>
    <w:rPr>
      <w:rFonts w:ascii="Courier New" w:hAnsi="Courier New" w:cs="Courier New"/>
      <w:lang w:val="en-GB" w:eastAsia="zh-TW"/>
    </w:rPr>
  </w:style>
  <w:style w:type="paragraph" w:styleId="Zhlavzprvy">
    <w:name w:val="Message Header"/>
    <w:basedOn w:val="Normln"/>
    <w:link w:val="ZhlavzprvyChar"/>
    <w:rsid w:val="00046F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ZhlavzprvyChar">
    <w:name w:val="Záhlaví zprávy Char"/>
    <w:link w:val="Zhlavzprvy"/>
    <w:rsid w:val="00046F4C"/>
    <w:rPr>
      <w:rFonts w:ascii="Cambria" w:eastAsia="Times New Roman" w:hAnsi="Cambria" w:cs="Times New Roman"/>
      <w:sz w:val="24"/>
      <w:szCs w:val="24"/>
      <w:shd w:val="pct20" w:color="auto" w:fill="auto"/>
      <w:lang w:val="en-GB" w:eastAsia="zh-TW"/>
    </w:rPr>
  </w:style>
  <w:style w:type="paragraph" w:styleId="Prosttext">
    <w:name w:val="Plain Text"/>
    <w:basedOn w:val="Normln"/>
    <w:link w:val="ProsttextChar"/>
    <w:rsid w:val="00046F4C"/>
    <w:rPr>
      <w:rFonts w:ascii="Courier New" w:hAnsi="Courier New" w:cs="Courier New"/>
      <w:sz w:val="20"/>
    </w:rPr>
  </w:style>
  <w:style w:type="character" w:customStyle="1" w:styleId="ProsttextChar">
    <w:name w:val="Prostý text Char"/>
    <w:link w:val="Prosttext"/>
    <w:rsid w:val="00046F4C"/>
    <w:rPr>
      <w:rFonts w:ascii="Courier New" w:hAnsi="Courier New" w:cs="Courier New"/>
      <w:lang w:val="en-GB" w:eastAsia="zh-TW"/>
    </w:rPr>
  </w:style>
  <w:style w:type="paragraph" w:styleId="Seznamcitac">
    <w:name w:val="table of authorities"/>
    <w:basedOn w:val="Normln"/>
    <w:next w:val="Normln"/>
    <w:rsid w:val="00046F4C"/>
    <w:pPr>
      <w:tabs>
        <w:tab w:val="clear" w:pos="567"/>
      </w:tabs>
      <w:ind w:left="220" w:hanging="220"/>
    </w:pPr>
  </w:style>
  <w:style w:type="paragraph" w:styleId="Hlavikaobsahu">
    <w:name w:val="toa heading"/>
    <w:basedOn w:val="Normln"/>
    <w:next w:val="Normln"/>
    <w:rsid w:val="00046F4C"/>
    <w:pPr>
      <w:spacing w:before="120"/>
    </w:pPr>
    <w:rPr>
      <w:rFonts w:ascii="Cambria" w:hAnsi="Cambria"/>
      <w:b/>
      <w:bCs/>
      <w:sz w:val="24"/>
      <w:szCs w:val="24"/>
    </w:rPr>
  </w:style>
  <w:style w:type="paragraph" w:styleId="Normlnweb">
    <w:name w:val="Normal (Web)"/>
    <w:basedOn w:val="Normln"/>
    <w:uiPriority w:val="99"/>
    <w:rsid w:val="00046F4C"/>
    <w:rPr>
      <w:sz w:val="24"/>
      <w:szCs w:val="24"/>
    </w:rPr>
  </w:style>
  <w:style w:type="paragraph" w:styleId="Normlnodsazen">
    <w:name w:val="Normal Indent"/>
    <w:basedOn w:val="Normln"/>
    <w:rsid w:val="00046F4C"/>
    <w:pPr>
      <w:ind w:left="708"/>
    </w:pPr>
  </w:style>
  <w:style w:type="paragraph" w:styleId="Zkladntext">
    <w:name w:val="Body Text"/>
    <w:basedOn w:val="Normln"/>
    <w:link w:val="ZkladntextChar"/>
    <w:rsid w:val="00046F4C"/>
    <w:pPr>
      <w:spacing w:after="120"/>
    </w:pPr>
  </w:style>
  <w:style w:type="character" w:customStyle="1" w:styleId="ZkladntextChar">
    <w:name w:val="Základní text Char"/>
    <w:link w:val="Zkladntext"/>
    <w:rsid w:val="00046F4C"/>
    <w:rPr>
      <w:sz w:val="22"/>
      <w:lang w:val="en-GB" w:eastAsia="zh-TW"/>
    </w:rPr>
  </w:style>
  <w:style w:type="paragraph" w:styleId="Zkladntext2">
    <w:name w:val="Body Text 2"/>
    <w:basedOn w:val="Normln"/>
    <w:link w:val="Zkladntext2Char"/>
    <w:rsid w:val="00046F4C"/>
    <w:pPr>
      <w:spacing w:after="120" w:line="480" w:lineRule="auto"/>
    </w:pPr>
  </w:style>
  <w:style w:type="character" w:customStyle="1" w:styleId="Zkladntext2Char">
    <w:name w:val="Základní text 2 Char"/>
    <w:link w:val="Zkladntext2"/>
    <w:rsid w:val="00046F4C"/>
    <w:rPr>
      <w:sz w:val="22"/>
      <w:lang w:val="en-GB" w:eastAsia="zh-TW"/>
    </w:rPr>
  </w:style>
  <w:style w:type="paragraph" w:styleId="Zkladntext3">
    <w:name w:val="Body Text 3"/>
    <w:basedOn w:val="Normln"/>
    <w:link w:val="Zkladntext3Char"/>
    <w:rsid w:val="00046F4C"/>
    <w:pPr>
      <w:spacing w:after="120"/>
    </w:pPr>
    <w:rPr>
      <w:sz w:val="16"/>
      <w:szCs w:val="16"/>
    </w:rPr>
  </w:style>
  <w:style w:type="character" w:customStyle="1" w:styleId="Zkladntext3Char">
    <w:name w:val="Základní text 3 Char"/>
    <w:link w:val="Zkladntext3"/>
    <w:rsid w:val="00046F4C"/>
    <w:rPr>
      <w:sz w:val="16"/>
      <w:szCs w:val="16"/>
      <w:lang w:val="en-GB" w:eastAsia="zh-TW"/>
    </w:rPr>
  </w:style>
  <w:style w:type="paragraph" w:styleId="Zkladntextodsazen2">
    <w:name w:val="Body Text Indent 2"/>
    <w:basedOn w:val="Normln"/>
    <w:link w:val="Zkladntextodsazen2Char"/>
    <w:rsid w:val="00046F4C"/>
    <w:pPr>
      <w:spacing w:after="120" w:line="480" w:lineRule="auto"/>
      <w:ind w:left="283"/>
    </w:pPr>
  </w:style>
  <w:style w:type="character" w:customStyle="1" w:styleId="Zkladntextodsazen2Char">
    <w:name w:val="Základní text odsazený 2 Char"/>
    <w:link w:val="Zkladntextodsazen2"/>
    <w:rsid w:val="00046F4C"/>
    <w:rPr>
      <w:sz w:val="22"/>
      <w:lang w:val="en-GB" w:eastAsia="zh-TW"/>
    </w:rPr>
  </w:style>
  <w:style w:type="paragraph" w:styleId="Zkladntextodsazen3">
    <w:name w:val="Body Text Indent 3"/>
    <w:basedOn w:val="Normln"/>
    <w:link w:val="Zkladntextodsazen3Char"/>
    <w:rsid w:val="00046F4C"/>
    <w:pPr>
      <w:spacing w:after="120"/>
      <w:ind w:left="283"/>
    </w:pPr>
    <w:rPr>
      <w:sz w:val="16"/>
      <w:szCs w:val="16"/>
    </w:rPr>
  </w:style>
  <w:style w:type="character" w:customStyle="1" w:styleId="Zkladntextodsazen3Char">
    <w:name w:val="Základní text odsazený 3 Char"/>
    <w:link w:val="Zkladntextodsazen3"/>
    <w:rsid w:val="00046F4C"/>
    <w:rPr>
      <w:sz w:val="16"/>
      <w:szCs w:val="16"/>
      <w:lang w:val="en-GB" w:eastAsia="zh-TW"/>
    </w:rPr>
  </w:style>
  <w:style w:type="paragraph" w:styleId="Zkladntext-prvnodsazen">
    <w:name w:val="Body Text First Indent"/>
    <w:basedOn w:val="Zkladntext"/>
    <w:link w:val="Zkladntext-prvnodsazenChar"/>
    <w:rsid w:val="00046F4C"/>
    <w:pPr>
      <w:ind w:firstLine="210"/>
    </w:pPr>
  </w:style>
  <w:style w:type="character" w:customStyle="1" w:styleId="Zkladntext-prvnodsazenChar">
    <w:name w:val="Základní text - první odsazený Char"/>
    <w:link w:val="Zkladntext-prvnodsazen"/>
    <w:rsid w:val="00046F4C"/>
    <w:rPr>
      <w:sz w:val="22"/>
      <w:lang w:val="en-GB" w:eastAsia="zh-TW"/>
    </w:rPr>
  </w:style>
  <w:style w:type="paragraph" w:styleId="Zkladntextodsazen">
    <w:name w:val="Body Text Indent"/>
    <w:basedOn w:val="Normln"/>
    <w:link w:val="ZkladntextodsazenChar"/>
    <w:rsid w:val="00046F4C"/>
    <w:pPr>
      <w:spacing w:after="120"/>
      <w:ind w:left="283"/>
    </w:pPr>
  </w:style>
  <w:style w:type="character" w:customStyle="1" w:styleId="ZkladntextodsazenChar">
    <w:name w:val="Základní text odsazený Char"/>
    <w:link w:val="Zkladntextodsazen"/>
    <w:rsid w:val="00046F4C"/>
    <w:rPr>
      <w:sz w:val="22"/>
      <w:lang w:val="en-GB" w:eastAsia="zh-TW"/>
    </w:rPr>
  </w:style>
  <w:style w:type="paragraph" w:styleId="Zkladntext-prvnodsazen2">
    <w:name w:val="Body Text First Indent 2"/>
    <w:basedOn w:val="Zkladntextodsazen"/>
    <w:link w:val="Zkladntext-prvnodsazen2Char"/>
    <w:rsid w:val="00046F4C"/>
    <w:pPr>
      <w:ind w:firstLine="210"/>
    </w:pPr>
  </w:style>
  <w:style w:type="character" w:customStyle="1" w:styleId="Zkladntext-prvnodsazen2Char">
    <w:name w:val="Základní text - první odsazený 2 Char"/>
    <w:link w:val="Zkladntext-prvnodsazen2"/>
    <w:rsid w:val="00046F4C"/>
    <w:rPr>
      <w:sz w:val="22"/>
      <w:lang w:val="en-GB" w:eastAsia="zh-TW"/>
    </w:rPr>
  </w:style>
  <w:style w:type="paragraph" w:styleId="Nzev">
    <w:name w:val="Title"/>
    <w:basedOn w:val="Normln"/>
    <w:next w:val="Normln"/>
    <w:link w:val="NzevChar"/>
    <w:qFormat/>
    <w:rsid w:val="00046F4C"/>
    <w:pPr>
      <w:spacing w:before="240" w:after="60"/>
      <w:jc w:val="center"/>
      <w:outlineLvl w:val="0"/>
    </w:pPr>
    <w:rPr>
      <w:rFonts w:ascii="Cambria" w:hAnsi="Cambria"/>
      <w:b/>
      <w:bCs/>
      <w:kern w:val="28"/>
      <w:sz w:val="32"/>
      <w:szCs w:val="32"/>
    </w:rPr>
  </w:style>
  <w:style w:type="character" w:customStyle="1" w:styleId="NzevChar">
    <w:name w:val="Název Char"/>
    <w:link w:val="Nzev"/>
    <w:rsid w:val="00046F4C"/>
    <w:rPr>
      <w:rFonts w:ascii="Cambria" w:eastAsia="Times New Roman" w:hAnsi="Cambria" w:cs="Times New Roman"/>
      <w:b/>
      <w:bCs/>
      <w:kern w:val="28"/>
      <w:sz w:val="32"/>
      <w:szCs w:val="32"/>
      <w:lang w:val="en-GB" w:eastAsia="zh-TW"/>
    </w:rPr>
  </w:style>
  <w:style w:type="paragraph" w:styleId="Zptenadresanaoblku">
    <w:name w:val="envelope return"/>
    <w:basedOn w:val="Normln"/>
    <w:rsid w:val="00046F4C"/>
    <w:rPr>
      <w:rFonts w:ascii="Cambria" w:hAnsi="Cambria"/>
      <w:sz w:val="20"/>
    </w:rPr>
  </w:style>
  <w:style w:type="paragraph" w:styleId="Adresanaoblku">
    <w:name w:val="envelope address"/>
    <w:basedOn w:val="Normln"/>
    <w:rsid w:val="00046F4C"/>
    <w:pPr>
      <w:framePr w:w="4320" w:h="2160" w:hRule="exact" w:hSpace="141" w:wrap="auto" w:hAnchor="page" w:xAlign="center" w:yAlign="bottom"/>
      <w:ind w:left="1"/>
    </w:pPr>
    <w:rPr>
      <w:rFonts w:ascii="Cambria" w:hAnsi="Cambria"/>
      <w:sz w:val="24"/>
      <w:szCs w:val="24"/>
    </w:rPr>
  </w:style>
  <w:style w:type="paragraph" w:styleId="Podpis">
    <w:name w:val="Signature"/>
    <w:basedOn w:val="Normln"/>
    <w:link w:val="PodpisChar"/>
    <w:rsid w:val="00046F4C"/>
    <w:pPr>
      <w:ind w:left="4252"/>
    </w:pPr>
  </w:style>
  <w:style w:type="character" w:customStyle="1" w:styleId="PodpisChar">
    <w:name w:val="Podpis Char"/>
    <w:link w:val="Podpis"/>
    <w:rsid w:val="00046F4C"/>
    <w:rPr>
      <w:sz w:val="22"/>
      <w:lang w:val="en-GB" w:eastAsia="zh-TW"/>
    </w:rPr>
  </w:style>
  <w:style w:type="paragraph" w:styleId="Podnadpis">
    <w:name w:val="Subtitle"/>
    <w:basedOn w:val="Normln"/>
    <w:next w:val="Normln"/>
    <w:link w:val="PodnadpisChar"/>
    <w:qFormat/>
    <w:rsid w:val="00046F4C"/>
    <w:pPr>
      <w:spacing w:after="60"/>
      <w:jc w:val="center"/>
      <w:outlineLvl w:val="1"/>
    </w:pPr>
    <w:rPr>
      <w:rFonts w:ascii="Cambria" w:hAnsi="Cambria"/>
      <w:sz w:val="24"/>
      <w:szCs w:val="24"/>
    </w:rPr>
  </w:style>
  <w:style w:type="character" w:customStyle="1" w:styleId="PodnadpisChar">
    <w:name w:val="Podnadpis Char"/>
    <w:link w:val="Podnadpis"/>
    <w:rsid w:val="00046F4C"/>
    <w:rPr>
      <w:rFonts w:ascii="Cambria" w:eastAsia="Times New Roman" w:hAnsi="Cambria" w:cs="Times New Roman"/>
      <w:sz w:val="24"/>
      <w:szCs w:val="24"/>
      <w:lang w:val="en-GB" w:eastAsia="zh-TW"/>
    </w:rPr>
  </w:style>
  <w:style w:type="paragraph" w:styleId="Obsah1">
    <w:name w:val="toc 1"/>
    <w:basedOn w:val="Normln"/>
    <w:next w:val="Normln"/>
    <w:autoRedefine/>
    <w:rsid w:val="00046F4C"/>
    <w:pPr>
      <w:tabs>
        <w:tab w:val="clear" w:pos="567"/>
      </w:tabs>
    </w:pPr>
  </w:style>
  <w:style w:type="paragraph" w:styleId="Obsah2">
    <w:name w:val="toc 2"/>
    <w:basedOn w:val="Normln"/>
    <w:next w:val="Normln"/>
    <w:autoRedefine/>
    <w:rsid w:val="00046F4C"/>
    <w:pPr>
      <w:tabs>
        <w:tab w:val="clear" w:pos="567"/>
      </w:tabs>
      <w:ind w:left="220"/>
    </w:pPr>
  </w:style>
  <w:style w:type="paragraph" w:styleId="Obsah3">
    <w:name w:val="toc 3"/>
    <w:basedOn w:val="Normln"/>
    <w:next w:val="Normln"/>
    <w:autoRedefine/>
    <w:rsid w:val="00046F4C"/>
    <w:pPr>
      <w:tabs>
        <w:tab w:val="clear" w:pos="567"/>
      </w:tabs>
      <w:ind w:left="440"/>
    </w:pPr>
  </w:style>
  <w:style w:type="paragraph" w:styleId="Obsah4">
    <w:name w:val="toc 4"/>
    <w:basedOn w:val="Normln"/>
    <w:next w:val="Normln"/>
    <w:autoRedefine/>
    <w:rsid w:val="00046F4C"/>
    <w:pPr>
      <w:tabs>
        <w:tab w:val="clear" w:pos="567"/>
      </w:tabs>
      <w:ind w:left="660"/>
    </w:pPr>
  </w:style>
  <w:style w:type="paragraph" w:styleId="Obsah5">
    <w:name w:val="toc 5"/>
    <w:basedOn w:val="Normln"/>
    <w:next w:val="Normln"/>
    <w:autoRedefine/>
    <w:rsid w:val="00046F4C"/>
    <w:pPr>
      <w:tabs>
        <w:tab w:val="clear" w:pos="567"/>
      </w:tabs>
      <w:ind w:left="880"/>
    </w:pPr>
  </w:style>
  <w:style w:type="paragraph" w:styleId="Obsah6">
    <w:name w:val="toc 6"/>
    <w:basedOn w:val="Normln"/>
    <w:next w:val="Normln"/>
    <w:autoRedefine/>
    <w:rsid w:val="00046F4C"/>
    <w:pPr>
      <w:tabs>
        <w:tab w:val="clear" w:pos="567"/>
      </w:tabs>
      <w:ind w:left="1100"/>
    </w:pPr>
  </w:style>
  <w:style w:type="paragraph" w:styleId="Obsah7">
    <w:name w:val="toc 7"/>
    <w:basedOn w:val="Normln"/>
    <w:next w:val="Normln"/>
    <w:autoRedefine/>
    <w:rsid w:val="00046F4C"/>
    <w:pPr>
      <w:tabs>
        <w:tab w:val="clear" w:pos="567"/>
      </w:tabs>
      <w:ind w:left="1320"/>
    </w:pPr>
  </w:style>
  <w:style w:type="paragraph" w:styleId="Obsah8">
    <w:name w:val="toc 8"/>
    <w:basedOn w:val="Normln"/>
    <w:next w:val="Normln"/>
    <w:autoRedefine/>
    <w:rsid w:val="00046F4C"/>
    <w:pPr>
      <w:tabs>
        <w:tab w:val="clear" w:pos="567"/>
      </w:tabs>
      <w:ind w:left="1540"/>
    </w:pPr>
  </w:style>
  <w:style w:type="paragraph" w:styleId="Obsah9">
    <w:name w:val="toc 9"/>
    <w:basedOn w:val="Normln"/>
    <w:next w:val="Normln"/>
    <w:autoRedefine/>
    <w:rsid w:val="00046F4C"/>
    <w:pPr>
      <w:tabs>
        <w:tab w:val="clear" w:pos="567"/>
      </w:tabs>
      <w:ind w:left="1760"/>
    </w:pPr>
  </w:style>
  <w:style w:type="paragraph" w:styleId="Citt">
    <w:name w:val="Quote"/>
    <w:basedOn w:val="Normln"/>
    <w:next w:val="Normln"/>
    <w:link w:val="CittChar"/>
    <w:uiPriority w:val="29"/>
    <w:qFormat/>
    <w:rsid w:val="00046F4C"/>
    <w:rPr>
      <w:i/>
      <w:iCs/>
      <w:color w:val="000000"/>
    </w:rPr>
  </w:style>
  <w:style w:type="character" w:customStyle="1" w:styleId="CittChar">
    <w:name w:val="Citát Char"/>
    <w:link w:val="Citt"/>
    <w:uiPriority w:val="29"/>
    <w:rsid w:val="00046F4C"/>
    <w:rPr>
      <w:i/>
      <w:iCs/>
      <w:color w:val="000000"/>
      <w:sz w:val="22"/>
      <w:lang w:val="en-GB" w:eastAsia="zh-TW"/>
    </w:rPr>
  </w:style>
  <w:style w:type="character" w:styleId="Hypertextovodkaz">
    <w:name w:val="Hyperlink"/>
    <w:rsid w:val="00DD6503"/>
    <w:rPr>
      <w:color w:val="0000FF"/>
      <w:u w:val="single"/>
    </w:rPr>
  </w:style>
  <w:style w:type="paragraph" w:customStyle="1" w:styleId="Lemm1">
    <w:name w:val="Lemm1"/>
    <w:basedOn w:val="Normln"/>
    <w:rsid w:val="00DD6503"/>
    <w:pPr>
      <w:tabs>
        <w:tab w:val="clear" w:pos="567"/>
      </w:tabs>
    </w:pPr>
    <w:rPr>
      <w:rFonts w:ascii="Arial" w:hAnsi="Arial"/>
      <w:lang w:val="en-US" w:eastAsia="ja-JP"/>
    </w:rPr>
  </w:style>
  <w:style w:type="paragraph" w:customStyle="1" w:styleId="Default">
    <w:name w:val="Default"/>
    <w:rsid w:val="00DD6503"/>
    <w:pPr>
      <w:autoSpaceDE w:val="0"/>
      <w:autoSpaceDN w:val="0"/>
      <w:adjustRightInd w:val="0"/>
    </w:pPr>
    <w:rPr>
      <w:color w:val="000000"/>
      <w:sz w:val="24"/>
      <w:szCs w:val="24"/>
      <w:lang w:val="en-US" w:eastAsia="en-US"/>
    </w:rPr>
  </w:style>
  <w:style w:type="paragraph" w:customStyle="1" w:styleId="BayerBodyTextFull">
    <w:name w:val="Bayer Body Text Full"/>
    <w:basedOn w:val="Normln"/>
    <w:link w:val="BayerBodyTextFullChar"/>
    <w:qFormat/>
    <w:rsid w:val="00DD6503"/>
    <w:pPr>
      <w:tabs>
        <w:tab w:val="clear" w:pos="567"/>
      </w:tabs>
      <w:spacing w:before="120" w:after="120"/>
    </w:pPr>
    <w:rPr>
      <w:sz w:val="24"/>
      <w:lang w:val="en-US" w:eastAsia="en-US"/>
    </w:rPr>
  </w:style>
  <w:style w:type="paragraph" w:customStyle="1" w:styleId="BayerTableStyleCentered">
    <w:name w:val="Bayer TableStyle Centered"/>
    <w:basedOn w:val="Normln"/>
    <w:qFormat/>
    <w:rsid w:val="00DD6503"/>
    <w:pPr>
      <w:widowControl w:val="0"/>
      <w:tabs>
        <w:tab w:val="clear" w:pos="567"/>
      </w:tabs>
      <w:spacing w:before="120" w:after="120"/>
      <w:jc w:val="center"/>
    </w:pPr>
    <w:rPr>
      <w:lang w:val="en-US" w:eastAsia="en-US"/>
    </w:rPr>
  </w:style>
  <w:style w:type="character" w:customStyle="1" w:styleId="BayerBodyTextFullChar">
    <w:name w:val="Bayer Body Text Full Char"/>
    <w:link w:val="BayerBodyTextFull"/>
    <w:locked/>
    <w:rsid w:val="00DD6503"/>
    <w:rPr>
      <w:sz w:val="24"/>
      <w:lang w:val="en-US" w:eastAsia="en-US"/>
    </w:rPr>
  </w:style>
  <w:style w:type="character" w:customStyle="1" w:styleId="TitulekChar">
    <w:name w:val="Titulek Char"/>
    <w:aliases w:val="Bayer Caption Char,Bayer Normal Zchn Zchn Char,NDA Char,IB Caption Char,Medical Caption Char,Tab/Fig Char,Tab Char,Bayer Normal Char Char,12+ Char,Caption 12pt+ Char,12 Char,Caption 12pt Char,Figure A. Char Char,Caption-FUSA Char,table Char"/>
    <w:link w:val="Titulek"/>
    <w:locked/>
    <w:rsid w:val="00DD6503"/>
    <w:rPr>
      <w:b/>
      <w:bCs/>
      <w:lang w:val="en-GB" w:eastAsia="zh-TW"/>
    </w:rPr>
  </w:style>
  <w:style w:type="paragraph" w:customStyle="1" w:styleId="BayerTableRowHeadings">
    <w:name w:val="Bayer Table Row Headings"/>
    <w:basedOn w:val="Normln"/>
    <w:qFormat/>
    <w:rsid w:val="00DD6503"/>
    <w:pPr>
      <w:keepNext/>
      <w:widowControl w:val="0"/>
      <w:tabs>
        <w:tab w:val="clear" w:pos="567"/>
      </w:tabs>
    </w:pPr>
    <w:rPr>
      <w:rFonts w:ascii="Arial" w:hAnsi="Arial"/>
      <w:sz w:val="20"/>
      <w:lang w:val="en-US" w:eastAsia="de-DE"/>
    </w:rPr>
  </w:style>
  <w:style w:type="paragraph" w:customStyle="1" w:styleId="BayerTableColumnHeadings">
    <w:name w:val="Bayer Table Column Headings"/>
    <w:basedOn w:val="BayerTableStyleCentered"/>
    <w:link w:val="BayerTableColumnHeadingsZchn"/>
    <w:qFormat/>
    <w:rsid w:val="00DD6503"/>
    <w:pPr>
      <w:keepNext/>
      <w:adjustRightInd w:val="0"/>
      <w:spacing w:before="0" w:after="0"/>
      <w:textAlignment w:val="baseline"/>
    </w:pPr>
    <w:rPr>
      <w:rFonts w:ascii="Arial" w:hAnsi="Arial"/>
      <w:b/>
      <w:sz w:val="20"/>
      <w:lang w:eastAsia="de-DE"/>
    </w:rPr>
  </w:style>
  <w:style w:type="paragraph" w:customStyle="1" w:styleId="BayerTableStyleLeftJustified">
    <w:name w:val="Bayer TableStyle Left Justified"/>
    <w:basedOn w:val="Normln"/>
    <w:link w:val="BayerTableStyleLeftJustifiedZchn"/>
    <w:qFormat/>
    <w:rsid w:val="00DD6503"/>
    <w:pPr>
      <w:keepNext/>
      <w:widowControl w:val="0"/>
      <w:tabs>
        <w:tab w:val="clear" w:pos="567"/>
      </w:tabs>
    </w:pPr>
    <w:rPr>
      <w:rFonts w:ascii="Arial" w:hAnsi="Arial"/>
      <w:sz w:val="20"/>
      <w:lang w:val="en-US" w:eastAsia="de-DE"/>
    </w:rPr>
  </w:style>
  <w:style w:type="character" w:customStyle="1" w:styleId="BayerTableStyleLeftJustifiedZchn">
    <w:name w:val="Bayer TableStyle Left Justified Zchn"/>
    <w:link w:val="BayerTableStyleLeftJustified"/>
    <w:rsid w:val="00DD6503"/>
    <w:rPr>
      <w:rFonts w:ascii="Arial" w:hAnsi="Arial"/>
      <w:lang w:val="en-US"/>
    </w:rPr>
  </w:style>
  <w:style w:type="paragraph" w:customStyle="1" w:styleId="BayerFootnote">
    <w:name w:val="Bayer Footnote"/>
    <w:basedOn w:val="Normln"/>
    <w:link w:val="BayerFootnoteChar"/>
    <w:rsid w:val="00DD6503"/>
    <w:pPr>
      <w:tabs>
        <w:tab w:val="clear" w:pos="567"/>
        <w:tab w:val="left" w:pos="907"/>
      </w:tabs>
      <w:spacing w:after="60"/>
      <w:ind w:left="907"/>
    </w:pPr>
    <w:rPr>
      <w:sz w:val="20"/>
      <w:lang w:val="en-US" w:eastAsia="en-US"/>
    </w:rPr>
  </w:style>
  <w:style w:type="character" w:customStyle="1" w:styleId="BayerFootnoteChar">
    <w:name w:val="Bayer Footnote Char"/>
    <w:link w:val="BayerFootnote"/>
    <w:rsid w:val="00DD6503"/>
    <w:rPr>
      <w:lang w:val="en-US" w:eastAsia="en-US"/>
    </w:rPr>
  </w:style>
  <w:style w:type="character" w:styleId="Odkaznakoment">
    <w:name w:val="annotation reference"/>
    <w:aliases w:val="-H18,Annotationmark,CommentReference"/>
    <w:qFormat/>
    <w:rsid w:val="00DD6503"/>
    <w:rPr>
      <w:sz w:val="16"/>
    </w:rPr>
  </w:style>
  <w:style w:type="paragraph" w:customStyle="1" w:styleId="BulletBayerBodyText">
    <w:name w:val="Bullet Bayer Body Text"/>
    <w:basedOn w:val="Normln"/>
    <w:qFormat/>
    <w:rsid w:val="00DD6503"/>
    <w:pPr>
      <w:numPr>
        <w:numId w:val="21"/>
      </w:numPr>
      <w:tabs>
        <w:tab w:val="clear" w:pos="567"/>
        <w:tab w:val="left" w:pos="1264"/>
      </w:tabs>
      <w:spacing w:after="120"/>
    </w:pPr>
    <w:rPr>
      <w:sz w:val="24"/>
      <w:lang w:val="en-US" w:eastAsia="en-US"/>
    </w:rPr>
  </w:style>
  <w:style w:type="paragraph" w:customStyle="1" w:styleId="BodytextAgency">
    <w:name w:val="Body text (Agency)"/>
    <w:basedOn w:val="Normln"/>
    <w:rsid w:val="005E0B6A"/>
    <w:pPr>
      <w:tabs>
        <w:tab w:val="clear" w:pos="567"/>
      </w:tabs>
      <w:spacing w:after="140" w:line="280" w:lineRule="atLeast"/>
    </w:pPr>
    <w:rPr>
      <w:rFonts w:ascii="Verdana" w:eastAsia="Verdana" w:hAnsi="Verdana" w:cs="Verdana"/>
      <w:sz w:val="18"/>
      <w:szCs w:val="18"/>
      <w:lang w:eastAsia="en-GB"/>
    </w:rPr>
  </w:style>
  <w:style w:type="paragraph" w:customStyle="1" w:styleId="TRDReference">
    <w:name w:val="TRD Reference"/>
    <w:basedOn w:val="Normln"/>
    <w:next w:val="Normln"/>
    <w:rsid w:val="00C75FD6"/>
    <w:pPr>
      <w:tabs>
        <w:tab w:val="clear" w:pos="567"/>
      </w:tabs>
      <w:spacing w:after="120"/>
      <w:ind w:left="2325" w:hanging="1418"/>
    </w:pPr>
    <w:rPr>
      <w:i/>
      <w:sz w:val="24"/>
      <w:lang w:val="en-US" w:eastAsia="de-DE"/>
    </w:rPr>
  </w:style>
  <w:style w:type="table" w:styleId="Mkatabulky">
    <w:name w:val="Table Grid"/>
    <w:basedOn w:val="Normlntabulka"/>
    <w:uiPriority w:val="59"/>
    <w:rsid w:val="0033585B"/>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yerTableStyle">
    <w:name w:val="Bayer Table Style"/>
    <w:basedOn w:val="Normlntabulka"/>
    <w:rsid w:val="00045A9D"/>
    <w:rPr>
      <w:rFonts w:ascii="Arial" w:hAnsi="Arial"/>
    </w:rPr>
    <w:tblPr>
      <w:tblInd w:w="0" w:type="nil"/>
      <w:tblBorders>
        <w:top w:val="single" w:sz="12" w:space="0" w:color="auto"/>
        <w:bottom w:val="single" w:sz="12" w:space="0" w:color="auto"/>
      </w:tblBorders>
      <w:tblCellMar>
        <w:left w:w="0" w:type="dxa"/>
        <w:right w:w="0" w:type="dxa"/>
      </w:tblCellMar>
    </w:tblPr>
    <w:tblStylePr w:type="firstRow">
      <w:rPr>
        <w:rFonts w:ascii="Arial" w:hAnsi="Arial" w:cs="Arial" w:hint="default"/>
        <w:sz w:val="20"/>
        <w:szCs w:val="20"/>
      </w:rPr>
      <w:tblPr/>
      <w:tcPr>
        <w:tcBorders>
          <w:top w:val="single" w:sz="12" w:space="0" w:color="auto"/>
          <w:left w:val="nil"/>
          <w:bottom w:val="single" w:sz="6" w:space="0" w:color="auto"/>
          <w:right w:val="nil"/>
          <w:insideH w:val="nil"/>
          <w:insideV w:val="nil"/>
          <w:tl2br w:val="nil"/>
          <w:tr2bl w:val="nil"/>
        </w:tcBorders>
      </w:tcPr>
    </w:tblStylePr>
    <w:tblStylePr w:type="firstCol">
      <w:pPr>
        <w:jc w:val="left"/>
      </w:pPr>
      <w:rPr>
        <w:rFonts w:ascii="Arial" w:hAnsi="Arial" w:cs="Arial" w:hint="default"/>
        <w:sz w:val="20"/>
        <w:szCs w:val="20"/>
      </w:rPr>
    </w:tblStylePr>
  </w:style>
  <w:style w:type="paragraph" w:styleId="Revize">
    <w:name w:val="Revision"/>
    <w:hidden/>
    <w:uiPriority w:val="99"/>
    <w:semiHidden/>
    <w:rsid w:val="00745E7B"/>
    <w:rPr>
      <w:sz w:val="22"/>
      <w:lang w:val="en-GB" w:eastAsia="zh-TW"/>
    </w:rPr>
  </w:style>
  <w:style w:type="character" w:styleId="Znakapoznpodarou">
    <w:name w:val="footnote reference"/>
    <w:rsid w:val="00E74FDB"/>
    <w:rPr>
      <w:vertAlign w:val="superscript"/>
    </w:rPr>
  </w:style>
  <w:style w:type="character" w:customStyle="1" w:styleId="OdstavecseseznamemChar">
    <w:name w:val="Odstavec se seznamem Char"/>
    <w:link w:val="Odstavecseseznamem"/>
    <w:uiPriority w:val="34"/>
    <w:rsid w:val="00E74FDB"/>
    <w:rPr>
      <w:sz w:val="22"/>
      <w:lang w:val="en-GB" w:eastAsia="zh-TW"/>
    </w:rPr>
  </w:style>
  <w:style w:type="character" w:customStyle="1" w:styleId="BayerTableColumnHeadingsZchn">
    <w:name w:val="Bayer Table Column Headings Zchn"/>
    <w:link w:val="BayerTableColumnHeadings"/>
    <w:rsid w:val="00244CEF"/>
    <w:rPr>
      <w:rFonts w:ascii="Arial" w:hAnsi="Arial"/>
      <w:b/>
      <w:lang w:val="en-US"/>
    </w:rPr>
  </w:style>
  <w:style w:type="paragraph" w:customStyle="1" w:styleId="SOPOMTextStandard">
    <w:name w:val="SOP/OM Text Standard"/>
    <w:rsid w:val="00244CEF"/>
    <w:pPr>
      <w:spacing w:before="60" w:after="60"/>
      <w:jc w:val="both"/>
    </w:pPr>
    <w:rPr>
      <w:rFonts w:ascii="Arial" w:hAnsi="Arial"/>
      <w:lang w:val="en-US" w:eastAsia="en-US"/>
    </w:rPr>
  </w:style>
  <w:style w:type="paragraph" w:customStyle="1" w:styleId="BayerBibliography">
    <w:name w:val="Bayer Bibliography"/>
    <w:basedOn w:val="Normln"/>
    <w:rsid w:val="000D1F23"/>
    <w:pPr>
      <w:shd w:val="clear" w:color="auto" w:fill="BFBFBF"/>
      <w:tabs>
        <w:tab w:val="clear" w:pos="567"/>
      </w:tabs>
      <w:spacing w:after="120"/>
      <w:ind w:left="1627" w:hanging="720"/>
    </w:pPr>
    <w:rPr>
      <w:sz w:val="24"/>
      <w:lang w:val="en-US" w:eastAsia="en-US"/>
    </w:rPr>
  </w:style>
  <w:style w:type="character" w:styleId="Odkaznavysvtlivky">
    <w:name w:val="endnote reference"/>
    <w:rsid w:val="000D1F23"/>
    <w:rPr>
      <w:bdr w:val="none" w:sz="0" w:space="0" w:color="auto"/>
      <w:shd w:val="clear" w:color="auto" w:fill="BFBFBF"/>
      <w:vertAlign w:val="superscript"/>
    </w:rPr>
  </w:style>
  <w:style w:type="table" w:customStyle="1" w:styleId="BayerTableStyle1">
    <w:name w:val="Bayer Table Style1"/>
    <w:basedOn w:val="Normlntabulka"/>
    <w:rsid w:val="00124902"/>
    <w:rPr>
      <w:sz w:val="22"/>
      <w:lang w:val="en-US" w:eastAsia="en-US"/>
    </w:rPr>
    <w:tblPr>
      <w:tblBorders>
        <w:top w:val="single" w:sz="12" w:space="0" w:color="auto"/>
        <w:bottom w:val="single" w:sz="12" w:space="0" w:color="auto"/>
      </w:tblBorders>
    </w:tblPr>
    <w:tblStylePr w:type="firstRow">
      <w:rPr>
        <w:rFonts w:ascii="Arial" w:hAnsi="Arial"/>
        <w:sz w:val="20"/>
      </w:rPr>
      <w:tblPr/>
      <w:tcPr>
        <w:tcBorders>
          <w:top w:val="single" w:sz="12" w:space="0" w:color="auto"/>
          <w:left w:val="nil"/>
          <w:bottom w:val="single" w:sz="6" w:space="0" w:color="auto"/>
          <w:right w:val="nil"/>
          <w:insideH w:val="nil"/>
          <w:insideV w:val="nil"/>
          <w:tl2br w:val="nil"/>
          <w:tr2bl w:val="nil"/>
        </w:tcBorders>
      </w:tcPr>
    </w:tblStylePr>
    <w:tblStylePr w:type="firstCol">
      <w:pPr>
        <w:jc w:val="left"/>
      </w:pPr>
      <w:rPr>
        <w:rFonts w:ascii="Arial" w:hAnsi="Arial"/>
        <w:sz w:val="20"/>
      </w:rPr>
    </w:tblStylePr>
  </w:style>
  <w:style w:type="character" w:customStyle="1" w:styleId="highlight">
    <w:name w:val="highlight"/>
    <w:rsid w:val="000E5D8D"/>
  </w:style>
  <w:style w:type="character" w:customStyle="1" w:styleId="Smalltext120Zchn">
    <w:name w:val="Smalltext12:0 Zchn"/>
    <w:link w:val="Smalltext120"/>
    <w:uiPriority w:val="99"/>
    <w:locked/>
    <w:rsid w:val="00A608CF"/>
    <w:rPr>
      <w:sz w:val="24"/>
      <w:szCs w:val="24"/>
      <w:lang w:val="en-US" w:eastAsia="de-DE"/>
    </w:rPr>
  </w:style>
  <w:style w:type="paragraph" w:customStyle="1" w:styleId="Smalltext120">
    <w:name w:val="Smalltext12:0"/>
    <w:basedOn w:val="Normln"/>
    <w:link w:val="Smalltext120Zchn"/>
    <w:uiPriority w:val="99"/>
    <w:rsid w:val="00A608CF"/>
    <w:pPr>
      <w:tabs>
        <w:tab w:val="clear" w:pos="567"/>
      </w:tabs>
    </w:pPr>
    <w:rPr>
      <w:sz w:val="24"/>
      <w:szCs w:val="24"/>
      <w:lang w:val="en-US" w:eastAsia="de-DE"/>
    </w:rPr>
  </w:style>
  <w:style w:type="character" w:styleId="Sledovanodkaz">
    <w:name w:val="FollowedHyperlink"/>
    <w:basedOn w:val="Standardnpsmoodstavce"/>
    <w:rsid w:val="00724098"/>
    <w:rPr>
      <w:color w:val="954F72" w:themeColor="followedHyperlink"/>
      <w:u w:val="single"/>
    </w:rPr>
  </w:style>
  <w:style w:type="character" w:customStyle="1" w:styleId="KommentartextZchn1">
    <w:name w:val="Kommentartext Zchn1"/>
    <w:uiPriority w:val="99"/>
    <w:rsid w:val="009E0B5B"/>
    <w:rPr>
      <w:lang w:val="en-GB" w:eastAsia="zh-TW"/>
    </w:rPr>
  </w:style>
  <w:style w:type="character" w:styleId="Nevyeenzmnka">
    <w:name w:val="Unresolved Mention"/>
    <w:basedOn w:val="Standardnpsmoodstavce"/>
    <w:uiPriority w:val="99"/>
    <w:semiHidden/>
    <w:unhideWhenUsed/>
    <w:rsid w:val="001D3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96303">
      <w:bodyDiv w:val="1"/>
      <w:marLeft w:val="0"/>
      <w:marRight w:val="0"/>
      <w:marTop w:val="0"/>
      <w:marBottom w:val="0"/>
      <w:divBdr>
        <w:top w:val="none" w:sz="0" w:space="0" w:color="auto"/>
        <w:left w:val="none" w:sz="0" w:space="0" w:color="auto"/>
        <w:bottom w:val="none" w:sz="0" w:space="0" w:color="auto"/>
        <w:right w:val="none" w:sz="0" w:space="0" w:color="auto"/>
      </w:divBdr>
    </w:div>
    <w:div w:id="128331179">
      <w:bodyDiv w:val="1"/>
      <w:marLeft w:val="0"/>
      <w:marRight w:val="0"/>
      <w:marTop w:val="0"/>
      <w:marBottom w:val="0"/>
      <w:divBdr>
        <w:top w:val="none" w:sz="0" w:space="0" w:color="auto"/>
        <w:left w:val="none" w:sz="0" w:space="0" w:color="auto"/>
        <w:bottom w:val="none" w:sz="0" w:space="0" w:color="auto"/>
        <w:right w:val="none" w:sz="0" w:space="0" w:color="auto"/>
      </w:divBdr>
    </w:div>
    <w:div w:id="192226984">
      <w:bodyDiv w:val="1"/>
      <w:marLeft w:val="0"/>
      <w:marRight w:val="0"/>
      <w:marTop w:val="0"/>
      <w:marBottom w:val="0"/>
      <w:divBdr>
        <w:top w:val="none" w:sz="0" w:space="0" w:color="auto"/>
        <w:left w:val="none" w:sz="0" w:space="0" w:color="auto"/>
        <w:bottom w:val="none" w:sz="0" w:space="0" w:color="auto"/>
        <w:right w:val="none" w:sz="0" w:space="0" w:color="auto"/>
      </w:divBdr>
    </w:div>
    <w:div w:id="208997424">
      <w:bodyDiv w:val="1"/>
      <w:marLeft w:val="0"/>
      <w:marRight w:val="0"/>
      <w:marTop w:val="0"/>
      <w:marBottom w:val="0"/>
      <w:divBdr>
        <w:top w:val="none" w:sz="0" w:space="0" w:color="auto"/>
        <w:left w:val="none" w:sz="0" w:space="0" w:color="auto"/>
        <w:bottom w:val="none" w:sz="0" w:space="0" w:color="auto"/>
        <w:right w:val="none" w:sz="0" w:space="0" w:color="auto"/>
      </w:divBdr>
    </w:div>
    <w:div w:id="386533362">
      <w:bodyDiv w:val="1"/>
      <w:marLeft w:val="0"/>
      <w:marRight w:val="0"/>
      <w:marTop w:val="0"/>
      <w:marBottom w:val="0"/>
      <w:divBdr>
        <w:top w:val="none" w:sz="0" w:space="0" w:color="auto"/>
        <w:left w:val="none" w:sz="0" w:space="0" w:color="auto"/>
        <w:bottom w:val="none" w:sz="0" w:space="0" w:color="auto"/>
        <w:right w:val="none" w:sz="0" w:space="0" w:color="auto"/>
      </w:divBdr>
    </w:div>
    <w:div w:id="401948046">
      <w:bodyDiv w:val="1"/>
      <w:marLeft w:val="0"/>
      <w:marRight w:val="0"/>
      <w:marTop w:val="0"/>
      <w:marBottom w:val="0"/>
      <w:divBdr>
        <w:top w:val="none" w:sz="0" w:space="0" w:color="auto"/>
        <w:left w:val="none" w:sz="0" w:space="0" w:color="auto"/>
        <w:bottom w:val="none" w:sz="0" w:space="0" w:color="auto"/>
        <w:right w:val="none" w:sz="0" w:space="0" w:color="auto"/>
      </w:divBdr>
    </w:div>
    <w:div w:id="906770061">
      <w:bodyDiv w:val="1"/>
      <w:marLeft w:val="0"/>
      <w:marRight w:val="0"/>
      <w:marTop w:val="0"/>
      <w:marBottom w:val="0"/>
      <w:divBdr>
        <w:top w:val="none" w:sz="0" w:space="0" w:color="auto"/>
        <w:left w:val="none" w:sz="0" w:space="0" w:color="auto"/>
        <w:bottom w:val="none" w:sz="0" w:space="0" w:color="auto"/>
        <w:right w:val="none" w:sz="0" w:space="0" w:color="auto"/>
      </w:divBdr>
    </w:div>
    <w:div w:id="1141800344">
      <w:bodyDiv w:val="1"/>
      <w:marLeft w:val="0"/>
      <w:marRight w:val="0"/>
      <w:marTop w:val="0"/>
      <w:marBottom w:val="0"/>
      <w:divBdr>
        <w:top w:val="none" w:sz="0" w:space="0" w:color="auto"/>
        <w:left w:val="none" w:sz="0" w:space="0" w:color="auto"/>
        <w:bottom w:val="none" w:sz="0" w:space="0" w:color="auto"/>
        <w:right w:val="none" w:sz="0" w:space="0" w:color="auto"/>
      </w:divBdr>
    </w:div>
    <w:div w:id="1227496063">
      <w:bodyDiv w:val="1"/>
      <w:marLeft w:val="0"/>
      <w:marRight w:val="0"/>
      <w:marTop w:val="0"/>
      <w:marBottom w:val="0"/>
      <w:divBdr>
        <w:top w:val="none" w:sz="0" w:space="0" w:color="auto"/>
        <w:left w:val="none" w:sz="0" w:space="0" w:color="auto"/>
        <w:bottom w:val="none" w:sz="0" w:space="0" w:color="auto"/>
        <w:right w:val="none" w:sz="0" w:space="0" w:color="auto"/>
      </w:divBdr>
    </w:div>
    <w:div w:id="1510295773">
      <w:bodyDiv w:val="1"/>
      <w:marLeft w:val="0"/>
      <w:marRight w:val="0"/>
      <w:marTop w:val="0"/>
      <w:marBottom w:val="0"/>
      <w:divBdr>
        <w:top w:val="none" w:sz="0" w:space="0" w:color="auto"/>
        <w:left w:val="none" w:sz="0" w:space="0" w:color="auto"/>
        <w:bottom w:val="none" w:sz="0" w:space="0" w:color="auto"/>
        <w:right w:val="none" w:sz="0" w:space="0" w:color="auto"/>
      </w:divBdr>
    </w:div>
    <w:div w:id="1570850295">
      <w:bodyDiv w:val="1"/>
      <w:marLeft w:val="0"/>
      <w:marRight w:val="0"/>
      <w:marTop w:val="0"/>
      <w:marBottom w:val="0"/>
      <w:divBdr>
        <w:top w:val="none" w:sz="0" w:space="0" w:color="auto"/>
        <w:left w:val="none" w:sz="0" w:space="0" w:color="auto"/>
        <w:bottom w:val="none" w:sz="0" w:space="0" w:color="auto"/>
        <w:right w:val="none" w:sz="0" w:space="0" w:color="auto"/>
      </w:divBdr>
    </w:div>
    <w:div w:id="1692416412">
      <w:bodyDiv w:val="1"/>
      <w:marLeft w:val="0"/>
      <w:marRight w:val="0"/>
      <w:marTop w:val="0"/>
      <w:marBottom w:val="0"/>
      <w:divBdr>
        <w:top w:val="none" w:sz="0" w:space="0" w:color="auto"/>
        <w:left w:val="none" w:sz="0" w:space="0" w:color="auto"/>
        <w:bottom w:val="none" w:sz="0" w:space="0" w:color="auto"/>
        <w:right w:val="none" w:sz="0" w:space="0" w:color="auto"/>
      </w:divBdr>
      <w:divsChild>
        <w:div w:id="210264518">
          <w:marLeft w:val="0"/>
          <w:marRight w:val="0"/>
          <w:marTop w:val="0"/>
          <w:marBottom w:val="0"/>
          <w:divBdr>
            <w:top w:val="none" w:sz="0" w:space="0" w:color="auto"/>
            <w:left w:val="none" w:sz="0" w:space="0" w:color="auto"/>
            <w:bottom w:val="none" w:sz="0" w:space="0" w:color="auto"/>
            <w:right w:val="none" w:sz="0" w:space="0" w:color="auto"/>
          </w:divBdr>
        </w:div>
        <w:div w:id="317266609">
          <w:marLeft w:val="0"/>
          <w:marRight w:val="0"/>
          <w:marTop w:val="0"/>
          <w:marBottom w:val="0"/>
          <w:divBdr>
            <w:top w:val="none" w:sz="0" w:space="0" w:color="auto"/>
            <w:left w:val="none" w:sz="0" w:space="0" w:color="auto"/>
            <w:bottom w:val="none" w:sz="0" w:space="0" w:color="auto"/>
            <w:right w:val="none" w:sz="0" w:space="0" w:color="auto"/>
          </w:divBdr>
        </w:div>
        <w:div w:id="328404912">
          <w:marLeft w:val="0"/>
          <w:marRight w:val="0"/>
          <w:marTop w:val="0"/>
          <w:marBottom w:val="0"/>
          <w:divBdr>
            <w:top w:val="none" w:sz="0" w:space="0" w:color="auto"/>
            <w:left w:val="none" w:sz="0" w:space="0" w:color="auto"/>
            <w:bottom w:val="none" w:sz="0" w:space="0" w:color="auto"/>
            <w:right w:val="none" w:sz="0" w:space="0" w:color="auto"/>
          </w:divBdr>
        </w:div>
        <w:div w:id="1022702136">
          <w:marLeft w:val="0"/>
          <w:marRight w:val="0"/>
          <w:marTop w:val="0"/>
          <w:marBottom w:val="0"/>
          <w:divBdr>
            <w:top w:val="none" w:sz="0" w:space="0" w:color="auto"/>
            <w:left w:val="none" w:sz="0" w:space="0" w:color="auto"/>
            <w:bottom w:val="none" w:sz="0" w:space="0" w:color="auto"/>
            <w:right w:val="none" w:sz="0" w:space="0" w:color="auto"/>
          </w:divBdr>
        </w:div>
        <w:div w:id="1545408182">
          <w:marLeft w:val="0"/>
          <w:marRight w:val="0"/>
          <w:marTop w:val="0"/>
          <w:marBottom w:val="0"/>
          <w:divBdr>
            <w:top w:val="none" w:sz="0" w:space="0" w:color="auto"/>
            <w:left w:val="none" w:sz="0" w:space="0" w:color="auto"/>
            <w:bottom w:val="none" w:sz="0" w:space="0" w:color="auto"/>
            <w:right w:val="none" w:sz="0" w:space="0" w:color="auto"/>
          </w:divBdr>
        </w:div>
        <w:div w:id="1852648847">
          <w:marLeft w:val="0"/>
          <w:marRight w:val="0"/>
          <w:marTop w:val="0"/>
          <w:marBottom w:val="0"/>
          <w:divBdr>
            <w:top w:val="none" w:sz="0" w:space="0" w:color="auto"/>
            <w:left w:val="none" w:sz="0" w:space="0" w:color="auto"/>
            <w:bottom w:val="none" w:sz="0" w:space="0" w:color="auto"/>
            <w:right w:val="none" w:sz="0" w:space="0" w:color="auto"/>
          </w:divBdr>
        </w:div>
      </w:divsChild>
    </w:div>
    <w:div w:id="1975330478">
      <w:bodyDiv w:val="1"/>
      <w:marLeft w:val="0"/>
      <w:marRight w:val="0"/>
      <w:marTop w:val="0"/>
      <w:marBottom w:val="0"/>
      <w:divBdr>
        <w:top w:val="none" w:sz="0" w:space="0" w:color="auto"/>
        <w:left w:val="none" w:sz="0" w:space="0" w:color="auto"/>
        <w:bottom w:val="none" w:sz="0" w:space="0" w:color="auto"/>
        <w:right w:val="none" w:sz="0" w:space="0" w:color="auto"/>
      </w:divBdr>
    </w:div>
    <w:div w:id="210988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ukl.gov.cz/nezadouciucinky" TargetMode="Externa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hyperlink" Target="https://www.ema.europa.eu"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png"/><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farmakovigilance@sukl.gov.cz" TargetMode="External"/><Relationship Id="rId22" Type="http://schemas.openxmlformats.org/officeDocument/2006/relationships/image" Target="media/image8.png"/><Relationship Id="rId27"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bc43322-b630-4bac-8b27-31def233d1d0"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89459B861532924F95FBAC4CA1BB490F" ma:contentTypeVersion="35" ma:contentTypeDescription="Create a new document." ma:contentTypeScope="" ma:versionID="d36bc03b7fc3aa688783350f54b4212c">
  <xsd:schema xmlns:xsd="http://www.w3.org/2001/XMLSchema" xmlns:xs="http://www.w3.org/2001/XMLSchema" xmlns:p="http://schemas.microsoft.com/office/2006/metadata/properties" xmlns:ns1="http://schemas.microsoft.com/sharepoint/v3" xmlns:ns2="1a4d292e-883c-434b-96e3-060cfff16c86" xmlns:ns3="dab10b47-f661-4cf6-bd71-43c4417799c8" xmlns:ns4="16ac7527-5747-41db-a748-536f163c1ba2" targetNamespace="http://schemas.microsoft.com/office/2006/metadata/properties" ma:root="true" ma:fieldsID="cc64ec31998fda0c61b7b552373cbf32" ns1:_="" ns2:_="" ns3:_="" ns4:_="">
    <xsd:import namespace="http://schemas.microsoft.com/sharepoint/v3"/>
    <xsd:import namespace="1a4d292e-883c-434b-96e3-060cfff16c86"/>
    <xsd:import namespace="dab10b47-f661-4cf6-bd71-43c4417799c8"/>
    <xsd:import namespace="16ac7527-5747-41db-a748-536f163c1ba2"/>
    <xsd:element name="properties">
      <xsd:complexType>
        <xsd:sequence>
          <xsd:element name="documentManagement">
            <xsd:complexType>
              <xsd:all>
                <xsd:element ref="ns2:TaxCatchAll" minOccurs="0"/>
                <xsd:element ref="ns2:TaxCatchAllLabel" minOccurs="0"/>
                <xsd:element ref="ns1:_dlc_Exempt" minOccurs="0"/>
                <xsd:element ref="ns1:_dlc_ExpireDateSaved" minOccurs="0"/>
                <xsd:element ref="ns1:_dlc_ExpireDate" minOccurs="0"/>
                <xsd:element ref="ns3:_dlc_DocId" minOccurs="0"/>
                <xsd:element ref="ns3:_dlc_DocIdUrl" minOccurs="0"/>
                <xsd:element ref="ns3:_dlc_DocIdPersistId"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0" nillable="true" ma:displayName="Exempt from Policy" ma:hidden="true" ma:internalName="_dlc_Exempt" ma:readOnly="false">
      <xsd:simpleType>
        <xsd:restriction base="dms:Unknown"/>
      </xsd:simpleType>
    </xsd:element>
    <xsd:element name="_dlc_ExpireDateSaved" ma:index="11" nillable="true" ma:displayName="Original Expiration Date" ma:hidden="true" ma:internalName="_dlc_ExpireDateSaved" ma:readOnly="false">
      <xsd:simpleType>
        <xsd:restriction base="dms:DateTime"/>
      </xsd:simpleType>
    </xsd:element>
    <xsd:element name="_dlc_ExpireDate" ma:index="12" nillable="true" ma:displayName="Expiration Date" ma:hidden="true" ma:internalName="_dlc_Expir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a4d292e-883c-434b-96e3-060cfff16c86"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60d2820-3228-4a20-b0fe-6f2be7e891ed}" ma:internalName="TaxCatchAll" ma:showField="CatchAllData" ma:web="dab10b47-f661-4cf6-bd71-43c4417799c8">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60d2820-3228-4a20-b0fe-6f2be7e891ed}" ma:internalName="TaxCatchAllLabel" ma:readOnly="true" ma:showField="CatchAllDataLabel" ma:web="dab10b47-f661-4cf6-bd71-43c4417799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b10b47-f661-4cf6-bd71-43c4417799c8"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ac7527-5747-41db-a748-536f163c1ba2"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bc43322-b630-4bac-8b27-31def233d1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TaxCatchAll xmlns="1a4d292e-883c-434b-96e3-060cfff16c86" xsi:nil="true"/>
    <_dlc_ExpireDateSaved xmlns="http://schemas.microsoft.com/sharepoint/v3" xsi:nil="true"/>
    <_dlc_ExpireDate xmlns="http://schemas.microsoft.com/sharepoint/v3" xsi:nil="true"/>
    <_dlc_Exempt xmlns="http://schemas.microsoft.com/sharepoint/v3" xsi:nil="true"/>
    <lcf76f155ced4ddcb4097134ff3c332f xmlns="16ac7527-5747-41db-a748-536f163c1b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5F3EBF-7513-432A-BCB0-B2AEBD4379F8}">
  <ds:schemaRefs>
    <ds:schemaRef ds:uri="Microsoft.SharePoint.Taxonomy.ContentTypeSync"/>
  </ds:schemaRefs>
</ds:datastoreItem>
</file>

<file path=customXml/itemProps2.xml><?xml version="1.0" encoding="utf-8"?>
<ds:datastoreItem xmlns:ds="http://schemas.openxmlformats.org/officeDocument/2006/customXml" ds:itemID="{E52D1B0D-C881-403C-BD7A-DE1C49DAC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4d292e-883c-434b-96e3-060cfff16c86"/>
    <ds:schemaRef ds:uri="dab10b47-f661-4cf6-bd71-43c4417799c8"/>
    <ds:schemaRef ds:uri="16ac7527-5747-41db-a748-536f163c1b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3B6D6-80B8-4356-935B-0180E6EA1A6B}">
  <ds:schemaRefs>
    <ds:schemaRef ds:uri="http://schemas.openxmlformats.org/officeDocument/2006/bibliography"/>
  </ds:schemaRefs>
</ds:datastoreItem>
</file>

<file path=customXml/itemProps4.xml><?xml version="1.0" encoding="utf-8"?>
<ds:datastoreItem xmlns:ds="http://schemas.openxmlformats.org/officeDocument/2006/customXml" ds:itemID="{04A2E96D-7F8B-4ACF-B550-830475B12D90}">
  <ds:schemaRefs>
    <ds:schemaRef ds:uri="http://schemas.microsoft.com/sharepoint/v3/contenttype/forms"/>
  </ds:schemaRefs>
</ds:datastoreItem>
</file>

<file path=customXml/itemProps5.xml><?xml version="1.0" encoding="utf-8"?>
<ds:datastoreItem xmlns:ds="http://schemas.openxmlformats.org/officeDocument/2006/customXml" ds:itemID="{56ED6D67-7B4D-4BE0-A424-25A2221E0E94}">
  <ds:schemaRefs>
    <ds:schemaRef ds:uri="http://schemas.microsoft.com/sharepoint/events"/>
  </ds:schemaRefs>
</ds:datastoreItem>
</file>

<file path=customXml/itemProps6.xml><?xml version="1.0" encoding="utf-8"?>
<ds:datastoreItem xmlns:ds="http://schemas.openxmlformats.org/officeDocument/2006/customXml" ds:itemID="{8834CCF9-68E7-4B43-BEA6-C17A6B02F07F}">
  <ds:schemaRefs>
    <ds:schemaRef ds:uri="http://schemas.microsoft.com/office/2006/metadata/properties"/>
    <ds:schemaRef ds:uri="http://schemas.microsoft.com/office/infopath/2007/PartnerControls"/>
    <ds:schemaRef ds:uri="1a4d292e-883c-434b-96e3-060cfff16c86"/>
    <ds:schemaRef ds:uri="http://schemas.microsoft.com/sharepoint/v3"/>
    <ds:schemaRef ds:uri="ce9d27f0-f59e-401d-85b7-d3c7254a6bf7"/>
    <ds:schemaRef ds:uri="26519e30-97d2-4589-a9d0-bbc0bc3a351d"/>
    <ds:schemaRef ds:uri="16ac7527-5747-41db-a748-536f163c1ba2"/>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6270</Words>
  <Characters>36485</Characters>
  <Application>Microsoft Office Word</Application>
  <DocSecurity>0</DocSecurity>
  <Lines>304</Lines>
  <Paragraphs>85</Paragraphs>
  <ScaleCrop>false</ScaleCrop>
  <Manager/>
  <Company>Bayer</Company>
  <LinksUpToDate>false</LinksUpToDate>
  <CharactersWithSpaces>42670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Jivi: EPAR - Product information - tracked changes</dc:title>
  <dc:subject>EPAR</dc:subject>
  <dc:creator>CHMP</dc:creator>
  <cp:keywords>Jivi, INN- damoctocog alfa pegol</cp:keywords>
  <cp:lastModifiedBy>Barbora Slatinska</cp:lastModifiedBy>
  <cp:revision>5</cp:revision>
  <cp:lastPrinted>2018-09-11T16:15:00Z</cp:lastPrinted>
  <dcterms:created xsi:type="dcterms:W3CDTF">2025-07-10T11:57:00Z</dcterms:created>
  <dcterms:modified xsi:type="dcterms:W3CDTF">2025-07-10T12:15:00Z</dcterms:modified>
  <cp:category>Jivi, INN- damoctocog alfa pegol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0x01010089459B861532924F95FBAC4CA1BB490F</vt:lpwstr>
  </property>
  <property fmtid="{D5CDD505-2E9C-101B-9397-08002B2CF9AE}" pid="3" name="MSIP_Label_7f850223-87a8-40c3-9eb2-432606efca2a_Enabled">
    <vt:lpwstr>True</vt:lpwstr>
  </property>
  <property fmtid="{D5CDD505-2E9C-101B-9397-08002B2CF9AE}" pid="4" name="MSIP_Label_7f850223-87a8-40c3-9eb2-432606efca2a_SiteId">
    <vt:lpwstr>fcb2b37b-5da0-466b-9b83-0014b67a7c78</vt:lpwstr>
  </property>
  <property fmtid="{D5CDD505-2E9C-101B-9397-08002B2CF9AE}" pid="5" name="MSIP_Label_7f850223-87a8-40c3-9eb2-432606efca2a_Owner">
    <vt:lpwstr/>
  </property>
  <property fmtid="{D5CDD505-2E9C-101B-9397-08002B2CF9AE}" pid="6" name="MSIP_Label_7f850223-87a8-40c3-9eb2-432606efca2a_SetDate">
    <vt:lpwstr>2020-02-20T10:58:04.5418143Z</vt:lpwstr>
  </property>
  <property fmtid="{D5CDD505-2E9C-101B-9397-08002B2CF9AE}" pid="7" name="MSIP_Label_7f850223-87a8-40c3-9eb2-432606efca2a_Name">
    <vt:lpwstr>NO CLASSIFICATION</vt:lpwstr>
  </property>
  <property fmtid="{D5CDD505-2E9C-101B-9397-08002B2CF9AE}" pid="8" name="MSIP_Label_7f850223-87a8-40c3-9eb2-432606efca2a_Application">
    <vt:lpwstr>Microsoft Azure Information Protection</vt:lpwstr>
  </property>
  <property fmtid="{D5CDD505-2E9C-101B-9397-08002B2CF9AE}" pid="9" name="MSIP_Label_7f850223-87a8-40c3-9eb2-432606efca2a_Extended_MSFT_Method">
    <vt:lpwstr>Automatic</vt:lpwstr>
  </property>
  <property fmtid="{D5CDD505-2E9C-101B-9397-08002B2CF9AE}" pid="10" name="Sensitivity">
    <vt:lpwstr>NO CLASSIFICATION</vt:lpwstr>
  </property>
  <property fmtid="{D5CDD505-2E9C-101B-9397-08002B2CF9AE}" pid="11" name="GrammarlyDocumentId">
    <vt:lpwstr>7a252f280dfa7aaaa32760415f2d1c15f380176eeb019d85c3b97e6811e68404</vt:lpwstr>
  </property>
  <property fmtid="{D5CDD505-2E9C-101B-9397-08002B2CF9AE}" pid="12" name="DataClassBayerRetention">
    <vt:lpwstr>20;#Document|23a3945f-5282-4687-9adb-97901b60c78e</vt:lpwstr>
  </property>
  <property fmtid="{D5CDD505-2E9C-101B-9397-08002B2CF9AE}" pid="13" name="MediaServiceImageTags">
    <vt:lpwstr/>
  </property>
</Properties>
</file>