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7451" w14:textId="77777777" w:rsidR="00356F6E" w:rsidRPr="00C12A79" w:rsidRDefault="00356F6E" w:rsidP="001C40B8">
      <w:pPr>
        <w:spacing w:after="0"/>
        <w:jc w:val="center"/>
        <w:rPr>
          <w:szCs w:val="22"/>
          <w:lang w:val="cs-CZ"/>
        </w:rPr>
      </w:pPr>
    </w:p>
    <w:p w14:paraId="7D457452" w14:textId="77777777" w:rsidR="00356F6E" w:rsidRPr="00C12A79" w:rsidRDefault="00356F6E" w:rsidP="007320BE">
      <w:pPr>
        <w:spacing w:after="0"/>
        <w:jc w:val="center"/>
        <w:rPr>
          <w:szCs w:val="22"/>
          <w:lang w:val="cs-CZ"/>
        </w:rPr>
      </w:pPr>
    </w:p>
    <w:p w14:paraId="7D457453" w14:textId="77777777" w:rsidR="00356F6E" w:rsidRPr="00C12A79" w:rsidRDefault="00356F6E" w:rsidP="007320BE">
      <w:pPr>
        <w:spacing w:after="0"/>
        <w:jc w:val="center"/>
        <w:rPr>
          <w:szCs w:val="22"/>
          <w:lang w:val="cs-CZ"/>
        </w:rPr>
      </w:pPr>
    </w:p>
    <w:p w14:paraId="7D457454" w14:textId="77777777" w:rsidR="00356F6E" w:rsidRPr="00C12A79" w:rsidRDefault="00356F6E" w:rsidP="007320BE">
      <w:pPr>
        <w:pStyle w:val="DocumentHeading"/>
        <w:spacing w:after="0"/>
        <w:jc w:val="center"/>
        <w:rPr>
          <w:b w:val="0"/>
          <w:sz w:val="22"/>
          <w:szCs w:val="22"/>
          <w:lang w:val="cs-CZ"/>
        </w:rPr>
      </w:pPr>
    </w:p>
    <w:p w14:paraId="7D457455" w14:textId="77777777" w:rsidR="00356F6E" w:rsidRPr="00C12A79" w:rsidRDefault="00356F6E" w:rsidP="007320BE">
      <w:pPr>
        <w:pStyle w:val="DocumentHeading"/>
        <w:spacing w:after="0"/>
        <w:jc w:val="center"/>
        <w:rPr>
          <w:b w:val="0"/>
          <w:sz w:val="22"/>
          <w:szCs w:val="22"/>
          <w:lang w:val="cs-CZ"/>
        </w:rPr>
      </w:pPr>
    </w:p>
    <w:p w14:paraId="7D457456" w14:textId="77777777" w:rsidR="00356F6E" w:rsidRPr="00C12A79" w:rsidRDefault="00356F6E" w:rsidP="007320BE">
      <w:pPr>
        <w:pStyle w:val="DocumentHeading"/>
        <w:spacing w:after="0"/>
        <w:jc w:val="center"/>
        <w:rPr>
          <w:b w:val="0"/>
          <w:sz w:val="22"/>
          <w:szCs w:val="22"/>
          <w:lang w:val="cs-CZ"/>
        </w:rPr>
      </w:pPr>
    </w:p>
    <w:p w14:paraId="7D457457" w14:textId="77777777" w:rsidR="00356F6E" w:rsidRPr="00C12A79" w:rsidRDefault="00356F6E" w:rsidP="007320BE">
      <w:pPr>
        <w:pStyle w:val="DocumentHeading"/>
        <w:spacing w:after="0"/>
        <w:jc w:val="center"/>
        <w:rPr>
          <w:b w:val="0"/>
          <w:sz w:val="22"/>
          <w:szCs w:val="22"/>
          <w:lang w:val="cs-CZ"/>
        </w:rPr>
      </w:pPr>
    </w:p>
    <w:p w14:paraId="7D457458" w14:textId="77777777" w:rsidR="00356F6E" w:rsidRPr="00C12A79" w:rsidRDefault="00356F6E" w:rsidP="007320BE">
      <w:pPr>
        <w:pStyle w:val="DocumentHeading"/>
        <w:spacing w:after="0"/>
        <w:jc w:val="center"/>
        <w:rPr>
          <w:b w:val="0"/>
          <w:sz w:val="22"/>
          <w:szCs w:val="22"/>
          <w:lang w:val="cs-CZ"/>
        </w:rPr>
      </w:pPr>
    </w:p>
    <w:p w14:paraId="7D457459" w14:textId="77777777" w:rsidR="00356F6E" w:rsidRPr="00C12A79" w:rsidRDefault="00356F6E" w:rsidP="007320BE">
      <w:pPr>
        <w:pStyle w:val="DocumentHeading"/>
        <w:spacing w:after="0"/>
        <w:jc w:val="center"/>
        <w:rPr>
          <w:b w:val="0"/>
          <w:sz w:val="22"/>
          <w:szCs w:val="22"/>
          <w:lang w:val="cs-CZ"/>
        </w:rPr>
      </w:pPr>
    </w:p>
    <w:p w14:paraId="7D45745A" w14:textId="77777777" w:rsidR="00356F6E" w:rsidRPr="00C12A79" w:rsidRDefault="00356F6E" w:rsidP="007320BE">
      <w:pPr>
        <w:pStyle w:val="DocumentHeading"/>
        <w:spacing w:after="0"/>
        <w:jc w:val="center"/>
        <w:rPr>
          <w:b w:val="0"/>
          <w:sz w:val="22"/>
          <w:szCs w:val="22"/>
          <w:lang w:val="cs-CZ"/>
        </w:rPr>
      </w:pPr>
    </w:p>
    <w:p w14:paraId="7D45745B" w14:textId="77777777" w:rsidR="00356F6E" w:rsidRPr="00C12A79" w:rsidRDefault="00356F6E" w:rsidP="007320BE">
      <w:pPr>
        <w:pStyle w:val="DocumentHeading"/>
        <w:spacing w:after="0"/>
        <w:jc w:val="center"/>
        <w:rPr>
          <w:b w:val="0"/>
          <w:sz w:val="22"/>
          <w:szCs w:val="22"/>
          <w:lang w:val="cs-CZ"/>
        </w:rPr>
      </w:pPr>
    </w:p>
    <w:p w14:paraId="7D45745C" w14:textId="77777777" w:rsidR="00356F6E" w:rsidRPr="00C12A79" w:rsidRDefault="00356F6E" w:rsidP="007320BE">
      <w:pPr>
        <w:spacing w:after="0"/>
        <w:jc w:val="center"/>
        <w:rPr>
          <w:szCs w:val="22"/>
          <w:lang w:val="cs-CZ"/>
        </w:rPr>
      </w:pPr>
    </w:p>
    <w:p w14:paraId="7D45745D" w14:textId="77777777" w:rsidR="00356F6E" w:rsidRPr="00C12A79" w:rsidRDefault="00356F6E" w:rsidP="007320BE">
      <w:pPr>
        <w:suppressLineNumbers/>
        <w:spacing w:after="0"/>
        <w:jc w:val="center"/>
        <w:rPr>
          <w:b/>
          <w:szCs w:val="22"/>
          <w:lang w:val="cs-CZ"/>
        </w:rPr>
      </w:pPr>
      <w:r w:rsidRPr="00C12A79">
        <w:rPr>
          <w:b/>
          <w:bCs/>
          <w:noProof/>
          <w:szCs w:val="22"/>
          <w:lang w:val="cs-CZ"/>
        </w:rPr>
        <w:t xml:space="preserve">PŘÍLOHA </w:t>
      </w:r>
      <w:r w:rsidR="00FD2A64" w:rsidRPr="00C12A79">
        <w:rPr>
          <w:b/>
          <w:bCs/>
          <w:noProof/>
          <w:szCs w:val="22"/>
          <w:lang w:val="cs-CZ"/>
        </w:rPr>
        <w:t>I</w:t>
      </w:r>
      <w:r w:rsidRPr="00C12A79">
        <w:rPr>
          <w:noProof/>
          <w:szCs w:val="22"/>
          <w:lang w:val="cs-CZ"/>
        </w:rPr>
        <w:br/>
      </w:r>
    </w:p>
    <w:p w14:paraId="7D45745E" w14:textId="77777777" w:rsidR="00356F6E" w:rsidRPr="00C32495" w:rsidRDefault="00356F6E" w:rsidP="001C40B8">
      <w:pPr>
        <w:pStyle w:val="TitleA"/>
        <w:rPr>
          <w:lang w:val="cs-CZ"/>
        </w:rPr>
      </w:pPr>
      <w:r w:rsidRPr="00C32495">
        <w:rPr>
          <w:lang w:val="cs-CZ"/>
        </w:rPr>
        <w:t>SOUHRN ÚDAJŮ O PŘÍPRAVKU</w:t>
      </w:r>
    </w:p>
    <w:p w14:paraId="7D45745F" w14:textId="77777777" w:rsidR="00356F6E" w:rsidRPr="00C12A79" w:rsidRDefault="00356F6E" w:rsidP="007320BE">
      <w:pPr>
        <w:spacing w:after="0"/>
        <w:rPr>
          <w:szCs w:val="22"/>
          <w:lang w:val="cs-CZ"/>
        </w:rPr>
      </w:pPr>
    </w:p>
    <w:p w14:paraId="7D457460" w14:textId="77777777" w:rsidR="00D707AB" w:rsidRPr="00D707AB" w:rsidRDefault="00356F6E" w:rsidP="001C40B8">
      <w:pPr>
        <w:spacing w:after="0"/>
        <w:outlineLvl w:val="1"/>
        <w:rPr>
          <w:b/>
          <w:szCs w:val="22"/>
          <w:lang w:val="cs-CZ"/>
        </w:rPr>
      </w:pPr>
      <w:r w:rsidRPr="00C12A79">
        <w:rPr>
          <w:bCs/>
          <w:szCs w:val="22"/>
          <w:lang w:val="cs-CZ"/>
        </w:rPr>
        <w:br w:type="page"/>
      </w:r>
      <w:r w:rsidR="00D707AB" w:rsidRPr="00D707AB">
        <w:rPr>
          <w:b/>
          <w:szCs w:val="22"/>
          <w:lang w:val="cs-CZ"/>
        </w:rPr>
        <w:lastRenderedPageBreak/>
        <w:t>1.</w:t>
      </w:r>
      <w:r w:rsidR="00D707AB" w:rsidRPr="00D707AB">
        <w:rPr>
          <w:b/>
          <w:szCs w:val="22"/>
          <w:lang w:val="cs-CZ"/>
        </w:rPr>
        <w:tab/>
        <w:t>NÁZEV PŘÍPRAVKU</w:t>
      </w:r>
    </w:p>
    <w:p w14:paraId="7D457461" w14:textId="77777777" w:rsidR="00356F6E" w:rsidRPr="00C12A79" w:rsidRDefault="00356F6E" w:rsidP="00D707AB">
      <w:pPr>
        <w:pStyle w:val="Normlnodsazen"/>
        <w:keepNext/>
        <w:keepLines/>
        <w:spacing w:after="0"/>
        <w:ind w:left="0"/>
        <w:rPr>
          <w:szCs w:val="22"/>
          <w:lang w:val="cs-CZ"/>
        </w:rPr>
      </w:pPr>
    </w:p>
    <w:p w14:paraId="7D457462" w14:textId="77777777" w:rsidR="00D707AB" w:rsidRDefault="00356F6E" w:rsidP="0001612B">
      <w:pPr>
        <w:autoSpaceDE w:val="0"/>
        <w:autoSpaceDN w:val="0"/>
        <w:adjustRightInd w:val="0"/>
        <w:spacing w:after="0"/>
        <w:outlineLvl w:val="5"/>
        <w:rPr>
          <w:szCs w:val="22"/>
          <w:lang w:val="cs-CZ" w:eastAsia="en-US"/>
        </w:rPr>
      </w:pPr>
      <w:proofErr w:type="spellStart"/>
      <w:r w:rsidRPr="00C12A79">
        <w:rPr>
          <w:szCs w:val="22"/>
          <w:lang w:val="cs-CZ" w:eastAsia="en-US"/>
        </w:rPr>
        <w:t>Stivarga</w:t>
      </w:r>
      <w:proofErr w:type="spellEnd"/>
      <w:r w:rsidRPr="00C12A79">
        <w:rPr>
          <w:szCs w:val="22"/>
          <w:lang w:val="cs-CZ" w:eastAsia="en-US"/>
        </w:rPr>
        <w:t xml:space="preserve"> 40 mg potahované tablety</w:t>
      </w:r>
      <w:r w:rsidR="003D678F" w:rsidRPr="00C12A79">
        <w:rPr>
          <w:szCs w:val="22"/>
          <w:lang w:val="cs-CZ" w:eastAsia="en-US"/>
        </w:rPr>
        <w:t>.</w:t>
      </w:r>
    </w:p>
    <w:p w14:paraId="7D457463" w14:textId="77777777" w:rsidR="00356F6E" w:rsidRPr="00C12A79" w:rsidRDefault="00356F6E" w:rsidP="00D707AB">
      <w:pPr>
        <w:autoSpaceDE w:val="0"/>
        <w:autoSpaceDN w:val="0"/>
        <w:adjustRightInd w:val="0"/>
        <w:spacing w:after="0"/>
        <w:rPr>
          <w:szCs w:val="22"/>
          <w:lang w:val="cs-CZ"/>
        </w:rPr>
      </w:pPr>
      <w:r w:rsidRPr="00C12A79">
        <w:rPr>
          <w:szCs w:val="22"/>
          <w:lang w:val="cs-CZ" w:eastAsia="en-US"/>
        </w:rPr>
        <w:t xml:space="preserve"> </w:t>
      </w:r>
    </w:p>
    <w:p w14:paraId="7D457464" w14:textId="77777777" w:rsidR="00D707AB" w:rsidRPr="00D707AB" w:rsidRDefault="00D707AB" w:rsidP="00D707AB">
      <w:pPr>
        <w:pStyle w:val="Normlnodsazen"/>
        <w:ind w:left="0"/>
        <w:rPr>
          <w:lang w:val="cs-CZ"/>
        </w:rPr>
      </w:pPr>
    </w:p>
    <w:p w14:paraId="7D457465" w14:textId="77777777" w:rsidR="00D707AB" w:rsidRPr="00D707AB" w:rsidRDefault="00D707AB" w:rsidP="001C40B8">
      <w:pPr>
        <w:pStyle w:val="Normlnodsazen"/>
        <w:spacing w:after="0"/>
        <w:ind w:left="0"/>
        <w:outlineLvl w:val="1"/>
        <w:rPr>
          <w:b/>
          <w:lang w:val="cs-CZ"/>
        </w:rPr>
      </w:pPr>
      <w:r w:rsidRPr="00D707AB">
        <w:rPr>
          <w:b/>
          <w:szCs w:val="22"/>
          <w:lang w:val="cs-CZ"/>
        </w:rPr>
        <w:t>2.</w:t>
      </w:r>
      <w:r w:rsidRPr="00D707AB">
        <w:rPr>
          <w:b/>
          <w:szCs w:val="22"/>
          <w:lang w:val="cs-CZ"/>
        </w:rPr>
        <w:tab/>
        <w:t>KVALITATIVNÍ A KVANTITATIVNÍ SLOŽENÍ</w:t>
      </w:r>
    </w:p>
    <w:p w14:paraId="7D457466" w14:textId="77777777" w:rsidR="00356F6E" w:rsidRPr="003D520D" w:rsidRDefault="00356F6E" w:rsidP="00D707AB">
      <w:pPr>
        <w:keepNext/>
        <w:keepLines/>
        <w:autoSpaceDE w:val="0"/>
        <w:autoSpaceDN w:val="0"/>
        <w:adjustRightInd w:val="0"/>
        <w:spacing w:after="0"/>
        <w:rPr>
          <w:iCs/>
          <w:szCs w:val="22"/>
          <w:lang w:val="cs-CZ"/>
        </w:rPr>
      </w:pPr>
    </w:p>
    <w:p w14:paraId="7D457467" w14:textId="77777777" w:rsidR="00356F6E" w:rsidRPr="003D520D" w:rsidRDefault="00356F6E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Jedna potahovaná tableta obsahuje </w:t>
      </w:r>
      <w:proofErr w:type="spellStart"/>
      <w:r w:rsidRPr="003D520D">
        <w:rPr>
          <w:szCs w:val="22"/>
          <w:lang w:val="cs-CZ"/>
        </w:rPr>
        <w:t>regorafenibum</w:t>
      </w:r>
      <w:proofErr w:type="spellEnd"/>
      <w:r w:rsidR="00881069">
        <w:rPr>
          <w:szCs w:val="22"/>
          <w:lang w:val="cs-CZ"/>
        </w:rPr>
        <w:t xml:space="preserve"> 40 mg</w:t>
      </w:r>
      <w:r w:rsidRPr="003D520D">
        <w:rPr>
          <w:szCs w:val="22"/>
          <w:lang w:val="cs-CZ"/>
        </w:rPr>
        <w:t>.</w:t>
      </w:r>
    </w:p>
    <w:p w14:paraId="7D457468" w14:textId="77777777" w:rsidR="00356F6E" w:rsidRPr="003D520D" w:rsidRDefault="00356F6E" w:rsidP="00D707AB">
      <w:pPr>
        <w:spacing w:after="0"/>
        <w:rPr>
          <w:szCs w:val="22"/>
          <w:lang w:val="cs-CZ"/>
        </w:rPr>
      </w:pPr>
    </w:p>
    <w:p w14:paraId="7D457469" w14:textId="77777777" w:rsidR="001A572F" w:rsidRPr="003D520D" w:rsidRDefault="001A572F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>Pomocné látky se známým účinkem</w:t>
      </w:r>
    </w:p>
    <w:p w14:paraId="7D45746A" w14:textId="08DFF13B" w:rsidR="001A572F" w:rsidRPr="003D520D" w:rsidRDefault="00EA0189" w:rsidP="00D707AB">
      <w:pPr>
        <w:spacing w:after="0"/>
        <w:rPr>
          <w:szCs w:val="22"/>
          <w:lang w:val="cs-CZ"/>
        </w:rPr>
      </w:pPr>
      <w:r>
        <w:rPr>
          <w:szCs w:val="22"/>
          <w:lang w:val="cs-CZ"/>
        </w:rPr>
        <w:t>D</w:t>
      </w:r>
      <w:r w:rsidR="003D678F" w:rsidRPr="003D520D">
        <w:rPr>
          <w:szCs w:val="22"/>
          <w:lang w:val="cs-CZ"/>
        </w:rPr>
        <w:t>enní dávka 160 </w:t>
      </w:r>
      <w:r w:rsidR="001A572F" w:rsidRPr="003D520D">
        <w:rPr>
          <w:szCs w:val="22"/>
          <w:lang w:val="cs-CZ"/>
        </w:rPr>
        <w:t xml:space="preserve">mg </w:t>
      </w:r>
      <w:r w:rsidR="00356F6E" w:rsidRPr="003D520D">
        <w:rPr>
          <w:szCs w:val="22"/>
          <w:lang w:val="cs-CZ"/>
        </w:rPr>
        <w:t xml:space="preserve">obsahuje </w:t>
      </w:r>
      <w:r w:rsidR="00EB1493">
        <w:rPr>
          <w:szCs w:val="22"/>
          <w:lang w:val="cs-CZ"/>
        </w:rPr>
        <w:t>2,438</w:t>
      </w:r>
      <w:r w:rsidR="00356F6E" w:rsidRPr="003D520D">
        <w:rPr>
          <w:szCs w:val="22"/>
          <w:lang w:val="cs-CZ"/>
        </w:rPr>
        <w:t> </w:t>
      </w:r>
      <w:proofErr w:type="spellStart"/>
      <w:r w:rsidR="00356F6E" w:rsidRPr="003D520D">
        <w:rPr>
          <w:szCs w:val="22"/>
          <w:lang w:val="cs-CZ"/>
        </w:rPr>
        <w:t>mmol</w:t>
      </w:r>
      <w:proofErr w:type="spellEnd"/>
      <w:r w:rsidR="00356F6E" w:rsidRPr="003D520D">
        <w:rPr>
          <w:szCs w:val="22"/>
          <w:lang w:val="cs-CZ"/>
        </w:rPr>
        <w:t xml:space="preserve"> (</w:t>
      </w:r>
      <w:r w:rsidR="001A572F" w:rsidRPr="003D520D">
        <w:rPr>
          <w:szCs w:val="22"/>
          <w:lang w:val="cs-CZ"/>
        </w:rPr>
        <w:t xml:space="preserve">nebo </w:t>
      </w:r>
      <w:r w:rsidR="00EB1493">
        <w:rPr>
          <w:szCs w:val="22"/>
          <w:lang w:val="cs-CZ"/>
        </w:rPr>
        <w:t>56,06</w:t>
      </w:r>
      <w:r w:rsidR="00356F6E" w:rsidRPr="003D520D">
        <w:rPr>
          <w:szCs w:val="22"/>
          <w:lang w:val="cs-CZ"/>
        </w:rPr>
        <w:t> mg) sodíku</w:t>
      </w:r>
      <w:r w:rsidR="003D678F" w:rsidRPr="003D520D">
        <w:rPr>
          <w:szCs w:val="22"/>
          <w:lang w:val="cs-CZ"/>
        </w:rPr>
        <w:t xml:space="preserve"> (viz bod </w:t>
      </w:r>
      <w:r w:rsidR="001A572F" w:rsidRPr="003D520D">
        <w:rPr>
          <w:szCs w:val="22"/>
          <w:lang w:val="cs-CZ"/>
        </w:rPr>
        <w:t>4.4).</w:t>
      </w:r>
    </w:p>
    <w:p w14:paraId="7D45746B" w14:textId="77777777" w:rsidR="00356F6E" w:rsidRPr="003D520D" w:rsidRDefault="00EA0189" w:rsidP="00D707AB">
      <w:pPr>
        <w:spacing w:after="0"/>
        <w:rPr>
          <w:szCs w:val="22"/>
          <w:lang w:val="cs-CZ"/>
        </w:rPr>
      </w:pPr>
      <w:r>
        <w:rPr>
          <w:szCs w:val="22"/>
          <w:lang w:val="cs-CZ"/>
        </w:rPr>
        <w:t>D</w:t>
      </w:r>
      <w:r w:rsidR="001A572F" w:rsidRPr="003D520D">
        <w:rPr>
          <w:szCs w:val="22"/>
          <w:lang w:val="cs-CZ"/>
        </w:rPr>
        <w:t>enní</w:t>
      </w:r>
      <w:r w:rsidR="00356F6E" w:rsidRPr="003D520D">
        <w:rPr>
          <w:szCs w:val="22"/>
          <w:lang w:val="cs-CZ"/>
        </w:rPr>
        <w:t xml:space="preserve"> dávk</w:t>
      </w:r>
      <w:r w:rsidR="001A572F" w:rsidRPr="003D520D">
        <w:rPr>
          <w:szCs w:val="22"/>
          <w:lang w:val="cs-CZ"/>
        </w:rPr>
        <w:t>a</w:t>
      </w:r>
      <w:r w:rsidR="00356F6E" w:rsidRPr="003D520D">
        <w:rPr>
          <w:szCs w:val="22"/>
          <w:lang w:val="cs-CZ"/>
        </w:rPr>
        <w:t xml:space="preserve"> 160 mg</w:t>
      </w:r>
      <w:r w:rsidR="001A572F" w:rsidRPr="003D520D">
        <w:rPr>
          <w:szCs w:val="22"/>
          <w:lang w:val="cs-CZ"/>
        </w:rPr>
        <w:t xml:space="preserve"> obsahuje 1,68 mg </w:t>
      </w:r>
      <w:r w:rsidR="00D5250D" w:rsidRPr="003D520D">
        <w:rPr>
          <w:szCs w:val="22"/>
          <w:lang w:val="cs-CZ"/>
        </w:rPr>
        <w:t xml:space="preserve">sójového </w:t>
      </w:r>
      <w:proofErr w:type="spellStart"/>
      <w:r w:rsidR="001A572F" w:rsidRPr="003D520D">
        <w:rPr>
          <w:szCs w:val="22"/>
          <w:lang w:val="cs-CZ"/>
        </w:rPr>
        <w:t>lecit</w:t>
      </w:r>
      <w:r w:rsidR="00D5250D" w:rsidRPr="003D520D">
        <w:rPr>
          <w:szCs w:val="22"/>
          <w:lang w:val="cs-CZ"/>
        </w:rPr>
        <w:t>h</w:t>
      </w:r>
      <w:r w:rsidR="001A572F" w:rsidRPr="003D520D">
        <w:rPr>
          <w:szCs w:val="22"/>
          <w:lang w:val="cs-CZ"/>
        </w:rPr>
        <w:t>inu</w:t>
      </w:r>
      <w:proofErr w:type="spellEnd"/>
      <w:r w:rsidR="001A572F" w:rsidRPr="003D520D">
        <w:rPr>
          <w:szCs w:val="22"/>
          <w:lang w:val="cs-CZ"/>
        </w:rPr>
        <w:t xml:space="preserve"> </w:t>
      </w:r>
      <w:r w:rsidR="00356F6E" w:rsidRPr="003D520D">
        <w:rPr>
          <w:szCs w:val="22"/>
          <w:lang w:val="cs-CZ"/>
        </w:rPr>
        <w:t>(viz bod</w:t>
      </w:r>
      <w:r w:rsidR="00B55C46" w:rsidRPr="003D520D">
        <w:rPr>
          <w:szCs w:val="22"/>
          <w:lang w:val="cs-CZ"/>
        </w:rPr>
        <w:t> </w:t>
      </w:r>
      <w:r w:rsidR="00356F6E" w:rsidRPr="003D520D">
        <w:rPr>
          <w:szCs w:val="22"/>
          <w:lang w:val="cs-CZ"/>
        </w:rPr>
        <w:t>4.4).</w:t>
      </w:r>
    </w:p>
    <w:p w14:paraId="7D45746C" w14:textId="77777777" w:rsidR="00356F6E" w:rsidRPr="003D520D" w:rsidRDefault="00356F6E" w:rsidP="00D707AB">
      <w:pPr>
        <w:spacing w:after="0"/>
        <w:rPr>
          <w:szCs w:val="22"/>
          <w:lang w:val="cs-CZ"/>
        </w:rPr>
      </w:pPr>
    </w:p>
    <w:p w14:paraId="7D45746D" w14:textId="77777777" w:rsidR="00356F6E" w:rsidRPr="003D520D" w:rsidRDefault="00356F6E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>Úplný seznam pomocných látek viz bod</w:t>
      </w:r>
      <w:r w:rsidR="00B55C46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6.1.</w:t>
      </w:r>
    </w:p>
    <w:p w14:paraId="7D45746E" w14:textId="77777777" w:rsidR="00356F6E" w:rsidRPr="003D520D" w:rsidRDefault="00356F6E" w:rsidP="00D707AB">
      <w:pPr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46F" w14:textId="77777777" w:rsidR="00356F6E" w:rsidRPr="003D520D" w:rsidRDefault="00356F6E" w:rsidP="00D707AB">
      <w:pPr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470" w14:textId="77777777" w:rsidR="00561308" w:rsidRPr="00561308" w:rsidRDefault="00561308" w:rsidP="001C40B8">
      <w:pPr>
        <w:pStyle w:val="Normlnodsazen"/>
        <w:ind w:left="0"/>
        <w:outlineLvl w:val="1"/>
        <w:rPr>
          <w:b/>
          <w:lang w:val="cs-CZ"/>
        </w:rPr>
      </w:pPr>
      <w:r w:rsidRPr="00561308">
        <w:rPr>
          <w:b/>
          <w:szCs w:val="22"/>
          <w:lang w:val="cs-CZ"/>
        </w:rPr>
        <w:t>3.</w:t>
      </w:r>
      <w:r w:rsidRPr="00561308">
        <w:rPr>
          <w:b/>
          <w:szCs w:val="22"/>
          <w:lang w:val="cs-CZ"/>
        </w:rPr>
        <w:tab/>
        <w:t>LÉKOVÁ FORMA</w:t>
      </w:r>
    </w:p>
    <w:p w14:paraId="7D457471" w14:textId="77777777" w:rsidR="00356F6E" w:rsidRPr="003D520D" w:rsidRDefault="00356F6E" w:rsidP="00D707AB">
      <w:pPr>
        <w:keepNext/>
        <w:keepLines/>
        <w:autoSpaceDE w:val="0"/>
        <w:autoSpaceDN w:val="0"/>
        <w:adjustRightInd w:val="0"/>
        <w:spacing w:after="0"/>
        <w:rPr>
          <w:i/>
          <w:iCs/>
          <w:szCs w:val="22"/>
          <w:lang w:val="cs-CZ"/>
        </w:rPr>
      </w:pPr>
    </w:p>
    <w:p w14:paraId="7D457472" w14:textId="77777777" w:rsidR="00356F6E" w:rsidRPr="003D520D" w:rsidRDefault="00356F6E" w:rsidP="00D707AB">
      <w:pPr>
        <w:adjustRightInd w:val="0"/>
        <w:snapToGrid w:val="0"/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>Potahovaná tableta.</w:t>
      </w:r>
    </w:p>
    <w:p w14:paraId="7D457473" w14:textId="77777777" w:rsidR="00356F6E" w:rsidRPr="003D520D" w:rsidRDefault="00356F6E" w:rsidP="00D707AB">
      <w:pPr>
        <w:adjustRightInd w:val="0"/>
        <w:snapToGrid w:val="0"/>
        <w:spacing w:after="0"/>
        <w:rPr>
          <w:szCs w:val="22"/>
          <w:lang w:val="cs-CZ"/>
        </w:rPr>
      </w:pPr>
    </w:p>
    <w:p w14:paraId="7D457474" w14:textId="77777777" w:rsidR="00561308" w:rsidRDefault="00356F6E" w:rsidP="00561308">
      <w:pPr>
        <w:adjustRightInd w:val="0"/>
        <w:snapToGrid w:val="0"/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>Světle růžové potahované tablety oválného tvaru o délce 16</w:t>
      </w:r>
      <w:r w:rsidR="00B55C46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mm a šířce 7</w:t>
      </w:r>
      <w:r w:rsidR="003D678F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mm</w:t>
      </w:r>
      <w:r w:rsidR="003F7E7D" w:rsidRPr="003D520D">
        <w:rPr>
          <w:szCs w:val="22"/>
          <w:lang w:val="cs-CZ"/>
        </w:rPr>
        <w:t xml:space="preserve">, na jedné straně </w:t>
      </w:r>
      <w:r w:rsidR="00B17ED7" w:rsidRPr="003D520D">
        <w:rPr>
          <w:szCs w:val="22"/>
          <w:lang w:val="cs-CZ"/>
        </w:rPr>
        <w:t>s označením</w:t>
      </w:r>
      <w:r w:rsidR="00997D8C" w:rsidRPr="003D520D">
        <w:rPr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>"BAYER"</w:t>
      </w:r>
      <w:r w:rsidR="003F7E7D" w:rsidRPr="003D520D">
        <w:rPr>
          <w:szCs w:val="22"/>
          <w:lang w:val="cs-CZ"/>
        </w:rPr>
        <w:t xml:space="preserve">, </w:t>
      </w:r>
      <w:r w:rsidRPr="003D520D">
        <w:rPr>
          <w:szCs w:val="22"/>
          <w:lang w:val="cs-CZ"/>
        </w:rPr>
        <w:t>na druhé straně</w:t>
      </w:r>
      <w:r w:rsidR="003F7E7D" w:rsidRPr="003D520D">
        <w:rPr>
          <w:szCs w:val="22"/>
          <w:lang w:val="cs-CZ"/>
        </w:rPr>
        <w:t xml:space="preserve"> „40“</w:t>
      </w:r>
      <w:r w:rsidRPr="003D520D">
        <w:rPr>
          <w:szCs w:val="22"/>
          <w:lang w:val="cs-CZ"/>
        </w:rPr>
        <w:t>.</w:t>
      </w:r>
    </w:p>
    <w:p w14:paraId="7D457475" w14:textId="77777777" w:rsidR="00561308" w:rsidRDefault="00561308" w:rsidP="00561308">
      <w:pPr>
        <w:adjustRightInd w:val="0"/>
        <w:snapToGrid w:val="0"/>
        <w:spacing w:after="0"/>
        <w:rPr>
          <w:szCs w:val="22"/>
          <w:lang w:val="cs-CZ"/>
        </w:rPr>
      </w:pPr>
    </w:p>
    <w:p w14:paraId="7D457476" w14:textId="77777777" w:rsidR="00561308" w:rsidRPr="00561308" w:rsidRDefault="00561308" w:rsidP="00561308">
      <w:pPr>
        <w:adjustRightInd w:val="0"/>
        <w:snapToGrid w:val="0"/>
        <w:spacing w:after="0"/>
        <w:rPr>
          <w:szCs w:val="22"/>
          <w:lang w:val="cs-CZ"/>
        </w:rPr>
      </w:pPr>
    </w:p>
    <w:p w14:paraId="7D457477" w14:textId="77777777" w:rsidR="00561308" w:rsidRDefault="00561308" w:rsidP="001C40B8">
      <w:pPr>
        <w:pStyle w:val="Normlnodsazen"/>
        <w:spacing w:after="0"/>
        <w:ind w:left="0"/>
        <w:outlineLvl w:val="1"/>
        <w:rPr>
          <w:b/>
          <w:szCs w:val="22"/>
          <w:lang w:val="cs-CZ"/>
        </w:rPr>
      </w:pPr>
      <w:r w:rsidRPr="00561308">
        <w:rPr>
          <w:b/>
          <w:szCs w:val="22"/>
          <w:lang w:val="cs-CZ"/>
        </w:rPr>
        <w:t>4.</w:t>
      </w:r>
      <w:r w:rsidRPr="00561308">
        <w:rPr>
          <w:b/>
          <w:szCs w:val="22"/>
          <w:lang w:val="cs-CZ"/>
        </w:rPr>
        <w:tab/>
        <w:t>KLINICKÉ ÚDAJE</w:t>
      </w:r>
    </w:p>
    <w:p w14:paraId="7D457478" w14:textId="77777777" w:rsidR="00561308" w:rsidRPr="00561308" w:rsidRDefault="00561308" w:rsidP="00561308">
      <w:pPr>
        <w:pStyle w:val="Normlnodsazen"/>
        <w:spacing w:after="0"/>
        <w:ind w:left="0"/>
        <w:rPr>
          <w:b/>
          <w:lang w:val="cs-CZ"/>
        </w:rPr>
      </w:pPr>
    </w:p>
    <w:p w14:paraId="7D457479" w14:textId="77777777" w:rsidR="00561308" w:rsidRPr="00561308" w:rsidRDefault="00561308" w:rsidP="0001612B">
      <w:pPr>
        <w:pStyle w:val="Normlnodsazen"/>
        <w:spacing w:after="0"/>
        <w:ind w:left="0"/>
        <w:outlineLvl w:val="2"/>
        <w:rPr>
          <w:lang w:val="cs-CZ"/>
        </w:rPr>
      </w:pPr>
      <w:r>
        <w:rPr>
          <w:b/>
          <w:szCs w:val="22"/>
          <w:lang w:val="cs-CZ"/>
        </w:rPr>
        <w:t>4.1</w:t>
      </w:r>
      <w:r>
        <w:rPr>
          <w:b/>
          <w:szCs w:val="22"/>
          <w:lang w:val="cs-CZ"/>
        </w:rPr>
        <w:tab/>
      </w:r>
      <w:r w:rsidRPr="00561308">
        <w:rPr>
          <w:b/>
          <w:szCs w:val="22"/>
          <w:lang w:val="cs-CZ"/>
        </w:rPr>
        <w:t>Terapeutické indikace</w:t>
      </w:r>
    </w:p>
    <w:p w14:paraId="7D45747A" w14:textId="77777777" w:rsidR="00561308" w:rsidRPr="00561308" w:rsidRDefault="00561308" w:rsidP="00D707AB">
      <w:pPr>
        <w:keepNext/>
        <w:keepLines/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47B" w14:textId="77777777" w:rsidR="008C26B4" w:rsidRPr="003D520D" w:rsidRDefault="00356F6E" w:rsidP="00D707AB">
      <w:pPr>
        <w:pStyle w:val="Normlnodsazen"/>
        <w:spacing w:after="0"/>
        <w:ind w:left="0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Přípravek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="004D199E">
        <w:rPr>
          <w:szCs w:val="22"/>
          <w:lang w:val="cs-CZ"/>
        </w:rPr>
        <w:t xml:space="preserve"> jako </w:t>
      </w:r>
      <w:proofErr w:type="spellStart"/>
      <w:r w:rsidR="004D199E">
        <w:rPr>
          <w:szCs w:val="22"/>
          <w:lang w:val="cs-CZ"/>
        </w:rPr>
        <w:t>monoterapie</w:t>
      </w:r>
      <w:proofErr w:type="spellEnd"/>
      <w:r w:rsidRPr="003D520D">
        <w:rPr>
          <w:szCs w:val="22"/>
          <w:lang w:val="cs-CZ"/>
        </w:rPr>
        <w:t xml:space="preserve"> je indikov</w:t>
      </w:r>
      <w:r w:rsidR="008E2AC4" w:rsidRPr="003D520D">
        <w:rPr>
          <w:szCs w:val="22"/>
          <w:lang w:val="cs-CZ"/>
        </w:rPr>
        <w:t>án</w:t>
      </w:r>
      <w:r w:rsidRPr="003D520D">
        <w:rPr>
          <w:szCs w:val="22"/>
          <w:lang w:val="cs-CZ"/>
        </w:rPr>
        <w:t xml:space="preserve"> k léčbě </w:t>
      </w:r>
      <w:r w:rsidR="00785A33" w:rsidRPr="003D520D">
        <w:rPr>
          <w:szCs w:val="22"/>
          <w:lang w:val="cs-CZ"/>
        </w:rPr>
        <w:t xml:space="preserve">dospělých </w:t>
      </w:r>
      <w:r w:rsidRPr="003D520D">
        <w:rPr>
          <w:szCs w:val="22"/>
          <w:lang w:val="cs-CZ"/>
        </w:rPr>
        <w:t>pacientů s</w:t>
      </w:r>
      <w:r w:rsidR="008C26B4" w:rsidRPr="003D520D">
        <w:rPr>
          <w:szCs w:val="22"/>
          <w:lang w:val="cs-CZ"/>
        </w:rPr>
        <w:t>:</w:t>
      </w:r>
    </w:p>
    <w:p w14:paraId="7D45747C" w14:textId="77777777" w:rsidR="00705921" w:rsidRPr="003D520D" w:rsidRDefault="00705921" w:rsidP="00D707AB">
      <w:pPr>
        <w:pStyle w:val="Normlnodsazen"/>
        <w:spacing w:after="0"/>
        <w:ind w:left="0"/>
        <w:rPr>
          <w:szCs w:val="22"/>
          <w:lang w:val="cs-CZ"/>
        </w:rPr>
      </w:pPr>
    </w:p>
    <w:p w14:paraId="7D45747D" w14:textId="77777777" w:rsidR="00705921" w:rsidRPr="003D520D" w:rsidRDefault="00E42554" w:rsidP="00D707AB">
      <w:pPr>
        <w:pStyle w:val="Normlnodsazen"/>
        <w:spacing w:after="0"/>
        <w:ind w:left="142" w:hanging="142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- </w:t>
      </w:r>
      <w:r w:rsidR="00356F6E" w:rsidRPr="003D520D">
        <w:rPr>
          <w:szCs w:val="22"/>
          <w:lang w:val="cs-CZ"/>
        </w:rPr>
        <w:t xml:space="preserve">metastazujícím kolorektálním karcinomem (CRC), kteří byli dříve léčeni </w:t>
      </w:r>
      <w:r w:rsidR="007B23CA" w:rsidRPr="003D520D">
        <w:rPr>
          <w:szCs w:val="22"/>
          <w:lang w:val="cs-CZ"/>
        </w:rPr>
        <w:t xml:space="preserve">dostupnými typy léčby </w:t>
      </w:r>
      <w:r w:rsidR="00356F6E" w:rsidRPr="003D520D">
        <w:rPr>
          <w:szCs w:val="22"/>
          <w:lang w:val="cs-CZ"/>
        </w:rPr>
        <w:t xml:space="preserve">nebo kteří nejsou </w:t>
      </w:r>
      <w:r w:rsidR="008E2AC4" w:rsidRPr="003D520D">
        <w:rPr>
          <w:szCs w:val="22"/>
          <w:lang w:val="cs-CZ"/>
        </w:rPr>
        <w:t xml:space="preserve">vhodnými </w:t>
      </w:r>
      <w:r w:rsidR="00037914">
        <w:rPr>
          <w:szCs w:val="22"/>
          <w:lang w:val="cs-CZ"/>
        </w:rPr>
        <w:t xml:space="preserve">kandidáty </w:t>
      </w:r>
      <w:r w:rsidR="00250392" w:rsidRPr="003D520D">
        <w:rPr>
          <w:szCs w:val="22"/>
          <w:lang w:val="cs-CZ"/>
        </w:rPr>
        <w:t xml:space="preserve">pro </w:t>
      </w:r>
      <w:r w:rsidR="00785A33" w:rsidRPr="003D520D">
        <w:rPr>
          <w:szCs w:val="22"/>
          <w:lang w:val="cs-CZ"/>
        </w:rPr>
        <w:t xml:space="preserve">dostupné typy léčby. Tyto typy léčby zahrnují </w:t>
      </w:r>
      <w:r w:rsidR="00356F6E" w:rsidRPr="003D520D">
        <w:rPr>
          <w:szCs w:val="22"/>
          <w:lang w:val="cs-CZ"/>
        </w:rPr>
        <w:t>chemoterapi</w:t>
      </w:r>
      <w:r w:rsidR="008D7A00" w:rsidRPr="003D520D">
        <w:rPr>
          <w:szCs w:val="22"/>
          <w:lang w:val="cs-CZ"/>
        </w:rPr>
        <w:t>i</w:t>
      </w:r>
      <w:r w:rsidR="00356F6E" w:rsidRPr="003D520D">
        <w:rPr>
          <w:szCs w:val="22"/>
          <w:lang w:val="cs-CZ"/>
        </w:rPr>
        <w:t xml:space="preserve"> na bázi </w:t>
      </w:r>
      <w:proofErr w:type="spellStart"/>
      <w:r w:rsidR="00356F6E" w:rsidRPr="003D520D">
        <w:rPr>
          <w:szCs w:val="22"/>
          <w:lang w:val="cs-CZ"/>
        </w:rPr>
        <w:t>fluoropyrimidinů</w:t>
      </w:r>
      <w:proofErr w:type="spellEnd"/>
      <w:r w:rsidR="00356F6E" w:rsidRPr="003D520D">
        <w:rPr>
          <w:szCs w:val="22"/>
          <w:lang w:val="cs-CZ"/>
        </w:rPr>
        <w:t>, anti</w:t>
      </w:r>
      <w:r w:rsidR="000641A3" w:rsidRPr="003D520D">
        <w:rPr>
          <w:szCs w:val="22"/>
          <w:lang w:val="cs-CZ"/>
        </w:rPr>
        <w:noBreakHyphen/>
      </w:r>
      <w:r w:rsidR="00356F6E" w:rsidRPr="003D520D">
        <w:rPr>
          <w:szCs w:val="22"/>
          <w:lang w:val="cs-CZ"/>
        </w:rPr>
        <w:t>VEGF léčb</w:t>
      </w:r>
      <w:r w:rsidR="00250392" w:rsidRPr="003D520D">
        <w:rPr>
          <w:szCs w:val="22"/>
          <w:lang w:val="cs-CZ"/>
        </w:rPr>
        <w:t>u</w:t>
      </w:r>
      <w:r w:rsidR="00356F6E" w:rsidRPr="003D520D">
        <w:rPr>
          <w:szCs w:val="22"/>
          <w:lang w:val="cs-CZ"/>
        </w:rPr>
        <w:t xml:space="preserve"> a</w:t>
      </w:r>
      <w:r w:rsidR="00250392" w:rsidRPr="003D520D">
        <w:rPr>
          <w:szCs w:val="22"/>
          <w:lang w:val="cs-CZ"/>
        </w:rPr>
        <w:t xml:space="preserve"> anti</w:t>
      </w:r>
      <w:r w:rsidR="000641A3" w:rsidRPr="003D520D">
        <w:rPr>
          <w:szCs w:val="22"/>
          <w:lang w:val="cs-CZ"/>
        </w:rPr>
        <w:noBreakHyphen/>
      </w:r>
      <w:r w:rsidR="00250392" w:rsidRPr="003D520D">
        <w:rPr>
          <w:szCs w:val="22"/>
          <w:lang w:val="cs-CZ"/>
        </w:rPr>
        <w:t>EGFR léčbu</w:t>
      </w:r>
      <w:r w:rsidR="008D7A00" w:rsidRPr="003D520D">
        <w:rPr>
          <w:szCs w:val="22"/>
          <w:lang w:val="cs-CZ"/>
        </w:rPr>
        <w:t xml:space="preserve"> (viz bod</w:t>
      </w:r>
      <w:r w:rsidR="00D0351E" w:rsidRPr="003D520D">
        <w:rPr>
          <w:szCs w:val="22"/>
          <w:lang w:val="cs-CZ"/>
        </w:rPr>
        <w:t> </w:t>
      </w:r>
      <w:r w:rsidR="008D7A00" w:rsidRPr="003D520D">
        <w:rPr>
          <w:szCs w:val="22"/>
          <w:lang w:val="cs-CZ"/>
        </w:rPr>
        <w:t>5.1)</w:t>
      </w:r>
      <w:r w:rsidR="00377D25" w:rsidRPr="003D520D">
        <w:rPr>
          <w:szCs w:val="22"/>
          <w:lang w:val="cs-CZ"/>
        </w:rPr>
        <w:t>.</w:t>
      </w:r>
    </w:p>
    <w:p w14:paraId="7D45747E" w14:textId="77777777" w:rsidR="008C26B4" w:rsidRPr="003D520D" w:rsidRDefault="008C26B4" w:rsidP="00D707AB">
      <w:pPr>
        <w:pStyle w:val="Normlnodsazen"/>
        <w:spacing w:after="0"/>
        <w:ind w:left="0"/>
        <w:rPr>
          <w:szCs w:val="22"/>
          <w:lang w:val="cs-CZ"/>
        </w:rPr>
      </w:pPr>
    </w:p>
    <w:p w14:paraId="7D45747F" w14:textId="77777777" w:rsidR="00356F6E" w:rsidRDefault="00E42554" w:rsidP="00D707AB">
      <w:pPr>
        <w:pStyle w:val="Normlnodsazen"/>
        <w:spacing w:after="0"/>
        <w:ind w:left="142" w:hanging="142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- </w:t>
      </w:r>
      <w:proofErr w:type="spellStart"/>
      <w:r w:rsidR="00705921" w:rsidRPr="003D520D">
        <w:rPr>
          <w:szCs w:val="22"/>
          <w:lang w:val="cs-CZ"/>
        </w:rPr>
        <w:t>neresekovatelnými</w:t>
      </w:r>
      <w:proofErr w:type="spellEnd"/>
      <w:r w:rsidR="00705921" w:rsidRPr="003D520D">
        <w:rPr>
          <w:szCs w:val="22"/>
          <w:lang w:val="cs-CZ"/>
        </w:rPr>
        <w:t xml:space="preserve"> nebo metastazujícími gastrointestinálními </w:t>
      </w:r>
      <w:proofErr w:type="spellStart"/>
      <w:r w:rsidR="00705921" w:rsidRPr="003D520D">
        <w:rPr>
          <w:szCs w:val="22"/>
          <w:lang w:val="cs-CZ"/>
        </w:rPr>
        <w:t>stromálními</w:t>
      </w:r>
      <w:proofErr w:type="spellEnd"/>
      <w:r w:rsidR="00705921" w:rsidRPr="003D520D">
        <w:rPr>
          <w:szCs w:val="22"/>
          <w:lang w:val="cs-CZ"/>
        </w:rPr>
        <w:t xml:space="preserve"> nádory (GIST), u kterých došlo k progresi </w:t>
      </w:r>
      <w:r w:rsidR="00F9596F" w:rsidRPr="003D520D">
        <w:rPr>
          <w:szCs w:val="22"/>
          <w:lang w:val="cs-CZ"/>
        </w:rPr>
        <w:t>na předchozí léčbě</w:t>
      </w:r>
      <w:r w:rsidR="00705921" w:rsidRPr="003D520D">
        <w:rPr>
          <w:szCs w:val="22"/>
          <w:lang w:val="cs-CZ"/>
        </w:rPr>
        <w:t xml:space="preserve"> </w:t>
      </w:r>
      <w:proofErr w:type="spellStart"/>
      <w:r w:rsidR="00705921" w:rsidRPr="003D520D">
        <w:rPr>
          <w:szCs w:val="22"/>
          <w:lang w:val="cs-CZ"/>
        </w:rPr>
        <w:t>imatinibem</w:t>
      </w:r>
      <w:proofErr w:type="spellEnd"/>
      <w:r w:rsidR="00705921" w:rsidRPr="003D520D">
        <w:rPr>
          <w:szCs w:val="22"/>
          <w:lang w:val="cs-CZ"/>
        </w:rPr>
        <w:t xml:space="preserve"> a </w:t>
      </w:r>
      <w:proofErr w:type="spellStart"/>
      <w:r w:rsidR="00705921" w:rsidRPr="003D520D">
        <w:rPr>
          <w:szCs w:val="22"/>
          <w:lang w:val="cs-CZ"/>
        </w:rPr>
        <w:t>sunitinibem</w:t>
      </w:r>
      <w:proofErr w:type="spellEnd"/>
      <w:r w:rsidR="00037914">
        <w:rPr>
          <w:szCs w:val="22"/>
          <w:lang w:val="cs-CZ"/>
        </w:rPr>
        <w:t>,</w:t>
      </w:r>
      <w:r w:rsidR="00705921" w:rsidRPr="003D520D">
        <w:rPr>
          <w:szCs w:val="22"/>
          <w:lang w:val="cs-CZ"/>
        </w:rPr>
        <w:t xml:space="preserve"> nebo kteří tuto léčbu netolerovali</w:t>
      </w:r>
      <w:r w:rsidR="008071E1" w:rsidRPr="003D520D">
        <w:rPr>
          <w:szCs w:val="22"/>
          <w:lang w:val="cs-CZ"/>
        </w:rPr>
        <w:t>.</w:t>
      </w:r>
    </w:p>
    <w:p w14:paraId="7D457480" w14:textId="77777777" w:rsidR="004D199E" w:rsidRDefault="004D199E" w:rsidP="00D707AB">
      <w:pPr>
        <w:pStyle w:val="Normlnodsazen"/>
        <w:spacing w:after="0"/>
        <w:ind w:left="142" w:hanging="142"/>
        <w:rPr>
          <w:szCs w:val="22"/>
          <w:lang w:val="cs-CZ"/>
        </w:rPr>
      </w:pPr>
    </w:p>
    <w:p w14:paraId="7D457481" w14:textId="77777777" w:rsidR="00561308" w:rsidRDefault="004D199E" w:rsidP="00561308">
      <w:pPr>
        <w:pStyle w:val="Normlnodsazen"/>
        <w:spacing w:after="0"/>
        <w:ind w:left="0"/>
        <w:rPr>
          <w:szCs w:val="22"/>
          <w:lang w:val="cs-CZ"/>
        </w:rPr>
      </w:pPr>
      <w:r>
        <w:rPr>
          <w:szCs w:val="22"/>
          <w:lang w:val="cs-CZ"/>
        </w:rPr>
        <w:t xml:space="preserve">- hepatocelulárním karcinomem (HCC), kteří byli předtím léčeni </w:t>
      </w:r>
      <w:proofErr w:type="spellStart"/>
      <w:r>
        <w:rPr>
          <w:szCs w:val="22"/>
          <w:lang w:val="cs-CZ"/>
        </w:rPr>
        <w:t>sorafenibem</w:t>
      </w:r>
      <w:proofErr w:type="spellEnd"/>
      <w:r>
        <w:rPr>
          <w:szCs w:val="22"/>
          <w:lang w:val="cs-CZ"/>
        </w:rPr>
        <w:t xml:space="preserve">. </w:t>
      </w:r>
    </w:p>
    <w:p w14:paraId="7D457482" w14:textId="77777777" w:rsidR="00561308" w:rsidRDefault="00561308" w:rsidP="0001612B">
      <w:pPr>
        <w:pStyle w:val="Normlnodsazen"/>
        <w:spacing w:after="0"/>
        <w:ind w:left="0"/>
        <w:outlineLvl w:val="2"/>
        <w:rPr>
          <w:b/>
          <w:szCs w:val="22"/>
          <w:lang w:val="cs-CZ"/>
        </w:rPr>
      </w:pPr>
      <w:r>
        <w:rPr>
          <w:b/>
          <w:szCs w:val="22"/>
          <w:lang w:val="cs-CZ"/>
        </w:rPr>
        <w:br/>
        <w:t>4.2</w:t>
      </w:r>
      <w:r>
        <w:rPr>
          <w:b/>
          <w:szCs w:val="22"/>
          <w:lang w:val="cs-CZ"/>
        </w:rPr>
        <w:tab/>
      </w:r>
      <w:r w:rsidR="00356F6E" w:rsidRPr="00561308">
        <w:rPr>
          <w:b/>
          <w:szCs w:val="22"/>
          <w:lang w:val="cs-CZ"/>
        </w:rPr>
        <w:t>Dávkování a způsob podání</w:t>
      </w:r>
    </w:p>
    <w:p w14:paraId="7D457483" w14:textId="77777777" w:rsidR="00561308" w:rsidRDefault="00561308" w:rsidP="00561308">
      <w:pPr>
        <w:pStyle w:val="Normlnodsazen"/>
        <w:spacing w:after="0"/>
        <w:ind w:left="0"/>
        <w:rPr>
          <w:b/>
          <w:szCs w:val="22"/>
          <w:lang w:val="cs-CZ"/>
        </w:rPr>
      </w:pPr>
    </w:p>
    <w:p w14:paraId="7D457484" w14:textId="77777777" w:rsidR="001C6734" w:rsidRDefault="00523E92" w:rsidP="001C6734">
      <w:pPr>
        <w:pStyle w:val="Normlnodsazen"/>
        <w:spacing w:after="0"/>
        <w:ind w:left="0"/>
        <w:rPr>
          <w:iCs/>
          <w:szCs w:val="22"/>
          <w:lang w:val="cs-CZ"/>
        </w:rPr>
      </w:pPr>
      <w:r w:rsidRPr="00561308">
        <w:rPr>
          <w:iCs/>
          <w:szCs w:val="22"/>
          <w:lang w:val="cs-CZ"/>
        </w:rPr>
        <w:t xml:space="preserve">Přípravek </w:t>
      </w:r>
      <w:proofErr w:type="spellStart"/>
      <w:r w:rsidRPr="00561308">
        <w:rPr>
          <w:iCs/>
          <w:szCs w:val="22"/>
          <w:lang w:val="cs-CZ"/>
        </w:rPr>
        <w:t>Stivarga</w:t>
      </w:r>
      <w:proofErr w:type="spellEnd"/>
      <w:r w:rsidRPr="00561308">
        <w:rPr>
          <w:iCs/>
          <w:szCs w:val="22"/>
          <w:lang w:val="cs-CZ"/>
        </w:rPr>
        <w:t xml:space="preserve"> </w:t>
      </w:r>
      <w:r w:rsidR="00037914" w:rsidRPr="00561308">
        <w:rPr>
          <w:iCs/>
          <w:szCs w:val="22"/>
          <w:lang w:val="cs-CZ"/>
        </w:rPr>
        <w:t>mají</w:t>
      </w:r>
      <w:r w:rsidRPr="00561308">
        <w:rPr>
          <w:iCs/>
          <w:szCs w:val="22"/>
          <w:lang w:val="cs-CZ"/>
        </w:rPr>
        <w:t xml:space="preserve"> předepisov</w:t>
      </w:r>
      <w:r w:rsidR="00037914" w:rsidRPr="00561308">
        <w:rPr>
          <w:iCs/>
          <w:szCs w:val="22"/>
          <w:lang w:val="cs-CZ"/>
        </w:rPr>
        <w:t>at</w:t>
      </w:r>
      <w:r w:rsidRPr="00561308">
        <w:rPr>
          <w:iCs/>
          <w:szCs w:val="22"/>
          <w:lang w:val="cs-CZ"/>
        </w:rPr>
        <w:t xml:space="preserve"> lékaři, kteří mají zkušenosti s podáváním protinádorové léčby.</w:t>
      </w:r>
    </w:p>
    <w:p w14:paraId="7D457485" w14:textId="77777777" w:rsidR="001C6734" w:rsidRDefault="001C6734" w:rsidP="001C6734">
      <w:pPr>
        <w:pStyle w:val="Normlnodsazen"/>
        <w:spacing w:after="0"/>
        <w:ind w:left="0"/>
        <w:rPr>
          <w:iCs/>
          <w:szCs w:val="22"/>
          <w:lang w:val="cs-CZ"/>
        </w:rPr>
      </w:pPr>
    </w:p>
    <w:p w14:paraId="7D457486" w14:textId="77777777" w:rsidR="00356F6E" w:rsidRPr="001C6734" w:rsidRDefault="00356F6E" w:rsidP="001C6734">
      <w:pPr>
        <w:pStyle w:val="Normlnodsazen"/>
        <w:spacing w:after="0"/>
        <w:ind w:left="0"/>
        <w:rPr>
          <w:b/>
          <w:iCs/>
          <w:szCs w:val="22"/>
          <w:lang w:val="cs-CZ"/>
        </w:rPr>
      </w:pPr>
      <w:r w:rsidRPr="001C6734">
        <w:rPr>
          <w:iCs/>
          <w:szCs w:val="22"/>
          <w:u w:val="single"/>
          <w:lang w:val="cs-CZ"/>
        </w:rPr>
        <w:t>Dávkování</w:t>
      </w:r>
    </w:p>
    <w:p w14:paraId="7D457487" w14:textId="77777777" w:rsidR="00356F6E" w:rsidRPr="003D520D" w:rsidRDefault="00356F6E" w:rsidP="00D707AB">
      <w:pPr>
        <w:adjustRightInd w:val="0"/>
        <w:snapToGrid w:val="0"/>
        <w:spacing w:after="0"/>
        <w:rPr>
          <w:snapToGrid w:val="0"/>
          <w:szCs w:val="22"/>
          <w:lang w:val="cs-CZ"/>
        </w:rPr>
      </w:pPr>
      <w:r w:rsidRPr="003D520D">
        <w:rPr>
          <w:snapToGrid w:val="0"/>
          <w:szCs w:val="22"/>
          <w:lang w:val="cs-CZ"/>
        </w:rPr>
        <w:t>Doporučená dávka</w:t>
      </w:r>
      <w:r w:rsidR="00523E92" w:rsidRPr="003D520D">
        <w:rPr>
          <w:snapToGrid w:val="0"/>
          <w:szCs w:val="22"/>
          <w:lang w:val="cs-CZ"/>
        </w:rPr>
        <w:t xml:space="preserve"> </w:t>
      </w:r>
      <w:proofErr w:type="spellStart"/>
      <w:r w:rsidR="00523E92" w:rsidRPr="003D520D">
        <w:rPr>
          <w:snapToGrid w:val="0"/>
          <w:szCs w:val="22"/>
          <w:lang w:val="cs-CZ"/>
        </w:rPr>
        <w:t>regorafenibu</w:t>
      </w:r>
      <w:proofErr w:type="spellEnd"/>
      <w:r w:rsidRPr="003D520D">
        <w:rPr>
          <w:snapToGrid w:val="0"/>
          <w:szCs w:val="22"/>
          <w:lang w:val="cs-CZ"/>
        </w:rPr>
        <w:t xml:space="preserve"> je 160</w:t>
      </w:r>
      <w:r w:rsidR="00B55C46" w:rsidRPr="003D520D">
        <w:rPr>
          <w:snapToGrid w:val="0"/>
          <w:szCs w:val="22"/>
          <w:lang w:val="cs-CZ"/>
        </w:rPr>
        <w:t> </w:t>
      </w:r>
      <w:r w:rsidRPr="003D520D">
        <w:rPr>
          <w:snapToGrid w:val="0"/>
          <w:szCs w:val="22"/>
          <w:lang w:val="cs-CZ"/>
        </w:rPr>
        <w:t>mg (4</w:t>
      </w:r>
      <w:r w:rsidR="00B55C46" w:rsidRPr="003D520D">
        <w:rPr>
          <w:snapToGrid w:val="0"/>
          <w:szCs w:val="22"/>
          <w:lang w:val="cs-CZ"/>
        </w:rPr>
        <w:t> </w:t>
      </w:r>
      <w:r w:rsidRPr="003D520D">
        <w:rPr>
          <w:snapToGrid w:val="0"/>
          <w:szCs w:val="22"/>
          <w:lang w:val="cs-CZ"/>
        </w:rPr>
        <w:t>tablety obsahující 40</w:t>
      </w:r>
      <w:r w:rsidR="00B55C46" w:rsidRPr="003D520D">
        <w:rPr>
          <w:snapToGrid w:val="0"/>
          <w:szCs w:val="22"/>
          <w:lang w:val="cs-CZ"/>
        </w:rPr>
        <w:t> </w:t>
      </w:r>
      <w:r w:rsidRPr="003D520D">
        <w:rPr>
          <w:snapToGrid w:val="0"/>
          <w:szCs w:val="22"/>
          <w:lang w:val="cs-CZ"/>
        </w:rPr>
        <w:t>mg) užívaná jednou denně po dobu 3</w:t>
      </w:r>
      <w:r w:rsidR="003D678F" w:rsidRPr="003D520D">
        <w:rPr>
          <w:snapToGrid w:val="0"/>
          <w:szCs w:val="22"/>
          <w:lang w:val="cs-CZ"/>
        </w:rPr>
        <w:t> </w:t>
      </w:r>
      <w:r w:rsidRPr="003D520D">
        <w:rPr>
          <w:snapToGrid w:val="0"/>
          <w:szCs w:val="22"/>
          <w:lang w:val="cs-CZ"/>
        </w:rPr>
        <w:t>týdnů s následujícím 1týdenním obdobím bez léčby</w:t>
      </w:r>
      <w:r w:rsidR="004C2F1D" w:rsidRPr="003D520D">
        <w:rPr>
          <w:snapToGrid w:val="0"/>
          <w:szCs w:val="22"/>
          <w:lang w:val="cs-CZ"/>
        </w:rPr>
        <w:t xml:space="preserve">. Toto 4týdenní období je považováno za léčebný </w:t>
      </w:r>
      <w:r w:rsidRPr="003D520D">
        <w:rPr>
          <w:snapToGrid w:val="0"/>
          <w:szCs w:val="22"/>
          <w:lang w:val="cs-CZ"/>
        </w:rPr>
        <w:t>cyklu</w:t>
      </w:r>
      <w:r w:rsidR="00F766AA" w:rsidRPr="003D520D">
        <w:rPr>
          <w:snapToGrid w:val="0"/>
          <w:szCs w:val="22"/>
          <w:lang w:val="cs-CZ"/>
        </w:rPr>
        <w:t>s</w:t>
      </w:r>
      <w:r w:rsidRPr="003D520D">
        <w:rPr>
          <w:snapToGrid w:val="0"/>
          <w:szCs w:val="22"/>
          <w:lang w:val="cs-CZ"/>
        </w:rPr>
        <w:t>.</w:t>
      </w:r>
    </w:p>
    <w:p w14:paraId="7D457488" w14:textId="77777777" w:rsidR="00356F6E" w:rsidRPr="003D520D" w:rsidRDefault="00356F6E" w:rsidP="00D707AB">
      <w:pPr>
        <w:adjustRightInd w:val="0"/>
        <w:snapToGrid w:val="0"/>
        <w:spacing w:after="0"/>
        <w:rPr>
          <w:i/>
          <w:snapToGrid w:val="0"/>
          <w:szCs w:val="22"/>
          <w:lang w:val="cs-CZ"/>
        </w:rPr>
      </w:pPr>
    </w:p>
    <w:p w14:paraId="7D457489" w14:textId="77777777" w:rsidR="00356F6E" w:rsidRPr="003D520D" w:rsidRDefault="00356F6E" w:rsidP="00D707AB">
      <w:pPr>
        <w:adjustRightInd w:val="0"/>
        <w:snapToGrid w:val="0"/>
        <w:spacing w:after="0"/>
        <w:rPr>
          <w:snapToGrid w:val="0"/>
          <w:szCs w:val="22"/>
          <w:lang w:val="cs-CZ"/>
        </w:rPr>
      </w:pPr>
      <w:r w:rsidRPr="003D520D">
        <w:rPr>
          <w:szCs w:val="22"/>
          <w:lang w:val="cs-CZ" w:eastAsia="en-US"/>
        </w:rPr>
        <w:t>Pokud je dávka přípravku vynechána, m</w:t>
      </w:r>
      <w:r w:rsidR="00037914">
        <w:rPr>
          <w:szCs w:val="22"/>
          <w:lang w:val="cs-CZ" w:eastAsia="en-US"/>
        </w:rPr>
        <w:t>á</w:t>
      </w:r>
      <w:r w:rsidRPr="003D520D">
        <w:rPr>
          <w:szCs w:val="22"/>
          <w:lang w:val="cs-CZ" w:eastAsia="en-US"/>
        </w:rPr>
        <w:t xml:space="preserve"> se užít ve stejný den</w:t>
      </w:r>
      <w:r w:rsidR="008E2AC4" w:rsidRPr="003D520D">
        <w:rPr>
          <w:szCs w:val="22"/>
          <w:lang w:val="cs-CZ" w:eastAsia="en-US"/>
        </w:rPr>
        <w:t>,</w:t>
      </w:r>
      <w:r w:rsidRPr="003D520D">
        <w:rPr>
          <w:szCs w:val="22"/>
          <w:lang w:val="cs-CZ" w:eastAsia="en-US"/>
        </w:rPr>
        <w:t xml:space="preserve"> co nejdříve si pacient vzpomene. Pacient nem</w:t>
      </w:r>
      <w:r w:rsidR="00037914">
        <w:rPr>
          <w:szCs w:val="22"/>
          <w:lang w:val="cs-CZ" w:eastAsia="en-US"/>
        </w:rPr>
        <w:t>á</w:t>
      </w:r>
      <w:r w:rsidRPr="003D520D">
        <w:rPr>
          <w:szCs w:val="22"/>
          <w:lang w:val="cs-CZ" w:eastAsia="en-US"/>
        </w:rPr>
        <w:t xml:space="preserve"> užít dvě dávky ve stejný den, aby nahradil vynechanou dávku.</w:t>
      </w:r>
      <w:r w:rsidR="005629B7" w:rsidRPr="003D520D">
        <w:rPr>
          <w:szCs w:val="22"/>
          <w:lang w:val="cs-CZ" w:eastAsia="en-US"/>
        </w:rPr>
        <w:t xml:space="preserve"> V případě zvracení po podání </w:t>
      </w:r>
      <w:proofErr w:type="spellStart"/>
      <w:r w:rsidR="005629B7" w:rsidRPr="003D520D">
        <w:rPr>
          <w:szCs w:val="22"/>
          <w:lang w:val="cs-CZ" w:eastAsia="en-US"/>
        </w:rPr>
        <w:t>regorafenibu</w:t>
      </w:r>
      <w:proofErr w:type="spellEnd"/>
      <w:r w:rsidR="005629B7" w:rsidRPr="003D520D">
        <w:rPr>
          <w:szCs w:val="22"/>
          <w:lang w:val="cs-CZ" w:eastAsia="en-US"/>
        </w:rPr>
        <w:t xml:space="preserve"> pacient nem</w:t>
      </w:r>
      <w:r w:rsidR="00037914">
        <w:rPr>
          <w:szCs w:val="22"/>
          <w:lang w:val="cs-CZ" w:eastAsia="en-US"/>
        </w:rPr>
        <w:t>á</w:t>
      </w:r>
      <w:r w:rsidR="005629B7" w:rsidRPr="003D520D">
        <w:rPr>
          <w:szCs w:val="22"/>
          <w:lang w:val="cs-CZ" w:eastAsia="en-US"/>
        </w:rPr>
        <w:t xml:space="preserve"> užívat další tablety.</w:t>
      </w:r>
    </w:p>
    <w:p w14:paraId="7D45748A" w14:textId="77777777" w:rsidR="00356F6E" w:rsidRPr="003D520D" w:rsidRDefault="00356F6E" w:rsidP="00D707AB">
      <w:pPr>
        <w:adjustRightInd w:val="0"/>
        <w:snapToGrid w:val="0"/>
        <w:spacing w:after="0"/>
        <w:rPr>
          <w:i/>
          <w:snapToGrid w:val="0"/>
          <w:szCs w:val="22"/>
          <w:lang w:val="cs-CZ"/>
        </w:rPr>
      </w:pPr>
    </w:p>
    <w:p w14:paraId="7D45748B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lastRenderedPageBreak/>
        <w:t>Léčba by měla pokračovat tak dlouho, dokud j</w:t>
      </w:r>
      <w:r w:rsidR="00F766AA" w:rsidRPr="003D520D">
        <w:rPr>
          <w:sz w:val="22"/>
          <w:szCs w:val="22"/>
          <w:lang w:val="cs-CZ"/>
        </w:rPr>
        <w:t>e</w:t>
      </w:r>
      <w:r w:rsidRPr="003D520D">
        <w:rPr>
          <w:sz w:val="22"/>
          <w:szCs w:val="22"/>
          <w:lang w:val="cs-CZ"/>
        </w:rPr>
        <w:t xml:space="preserve"> pozorován přínos nebo dokud se neobjeví nepřijatelná toxicita (viz bod</w:t>
      </w:r>
      <w:r w:rsidR="00B55C46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4.4).</w:t>
      </w:r>
    </w:p>
    <w:p w14:paraId="7D45748C" w14:textId="77777777" w:rsidR="009A4B49" w:rsidRPr="003D520D" w:rsidRDefault="009A4B49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48D" w14:textId="77777777" w:rsidR="001C6734" w:rsidRDefault="009A4B49" w:rsidP="001C6734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Pacienti s výkonnostním stavem (</w:t>
      </w:r>
      <w:r w:rsidR="006240E5" w:rsidRPr="003D520D">
        <w:rPr>
          <w:sz w:val="22"/>
          <w:szCs w:val="22"/>
          <w:lang w:val="cs-CZ"/>
        </w:rPr>
        <w:t>P</w:t>
      </w:r>
      <w:r w:rsidRPr="003D520D">
        <w:rPr>
          <w:sz w:val="22"/>
          <w:szCs w:val="22"/>
          <w:lang w:val="cs-CZ"/>
        </w:rPr>
        <w:t>S) 2 nebo vyšším byli vyřazeni z klinických studií. U pacientů s</w:t>
      </w:r>
      <w:r w:rsidR="003D678F" w:rsidRPr="003D520D">
        <w:rPr>
          <w:sz w:val="22"/>
          <w:szCs w:val="22"/>
          <w:lang w:val="cs-CZ"/>
        </w:rPr>
        <w:t> </w:t>
      </w:r>
      <w:r w:rsidR="006240E5" w:rsidRPr="003D520D">
        <w:rPr>
          <w:sz w:val="22"/>
          <w:szCs w:val="22"/>
          <w:lang w:val="cs-CZ"/>
        </w:rPr>
        <w:t>P</w:t>
      </w:r>
      <w:r w:rsidR="003D678F" w:rsidRPr="003D520D">
        <w:rPr>
          <w:sz w:val="22"/>
          <w:szCs w:val="22"/>
          <w:lang w:val="cs-CZ"/>
        </w:rPr>
        <w:t>S </w:t>
      </w:r>
      <w:r w:rsidRPr="003D520D">
        <w:rPr>
          <w:sz w:val="22"/>
          <w:szCs w:val="22"/>
          <w:lang w:val="cs-CZ"/>
        </w:rPr>
        <w:t>≥</w:t>
      </w:r>
      <w:r w:rsidR="000641A3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2 jsou k dispozici omezené údaje.</w:t>
      </w:r>
    </w:p>
    <w:p w14:paraId="7D45748E" w14:textId="77777777" w:rsidR="001C6734" w:rsidRDefault="001C6734" w:rsidP="001C6734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48F" w14:textId="77777777" w:rsidR="00356F6E" w:rsidRPr="001C6734" w:rsidRDefault="00356F6E" w:rsidP="001C6734">
      <w:pPr>
        <w:pStyle w:val="BayerBodyTextFull"/>
        <w:spacing w:before="0" w:after="0"/>
        <w:rPr>
          <w:i/>
          <w:iCs/>
          <w:sz w:val="22"/>
          <w:szCs w:val="22"/>
          <w:lang w:val="cs-CZ"/>
        </w:rPr>
      </w:pPr>
      <w:r w:rsidRPr="001C6734">
        <w:rPr>
          <w:i/>
          <w:iCs/>
          <w:szCs w:val="22"/>
          <w:lang w:val="cs-CZ"/>
        </w:rPr>
        <w:t>Úpravy dávkování</w:t>
      </w:r>
    </w:p>
    <w:p w14:paraId="7D457490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Přerušení </w:t>
      </w:r>
      <w:r w:rsidR="0095236D" w:rsidRPr="003D520D">
        <w:rPr>
          <w:sz w:val="22"/>
          <w:szCs w:val="22"/>
          <w:lang w:val="cs-CZ"/>
        </w:rPr>
        <w:t xml:space="preserve">léčby </w:t>
      </w:r>
      <w:r w:rsidRPr="003D520D">
        <w:rPr>
          <w:sz w:val="22"/>
          <w:szCs w:val="22"/>
          <w:lang w:val="cs-CZ"/>
        </w:rPr>
        <w:t xml:space="preserve">a/nebo snížení dávky </w:t>
      </w:r>
      <w:r w:rsidR="008F60AD" w:rsidRPr="003D520D">
        <w:rPr>
          <w:sz w:val="22"/>
          <w:szCs w:val="22"/>
          <w:lang w:val="cs-CZ"/>
        </w:rPr>
        <w:t>může</w:t>
      </w:r>
      <w:r w:rsidRPr="003D520D">
        <w:rPr>
          <w:sz w:val="22"/>
          <w:szCs w:val="22"/>
          <w:lang w:val="cs-CZ"/>
        </w:rPr>
        <w:t xml:space="preserve"> být nutné podle individuální bezpečnosti a tolerance. Úpravy dávky se mají provádět </w:t>
      </w:r>
      <w:r w:rsidR="00012473" w:rsidRPr="003D520D">
        <w:rPr>
          <w:sz w:val="22"/>
          <w:szCs w:val="22"/>
          <w:lang w:val="cs-CZ"/>
        </w:rPr>
        <w:t>v</w:t>
      </w:r>
      <w:r w:rsidR="00F913B5" w:rsidRPr="003D520D">
        <w:rPr>
          <w:sz w:val="22"/>
          <w:szCs w:val="22"/>
          <w:lang w:val="cs-CZ"/>
        </w:rPr>
        <w:t> </w:t>
      </w:r>
      <w:r w:rsidR="00012473" w:rsidRPr="003D520D">
        <w:rPr>
          <w:sz w:val="22"/>
          <w:szCs w:val="22"/>
          <w:lang w:val="cs-CZ"/>
        </w:rPr>
        <w:t>krocích</w:t>
      </w:r>
      <w:r w:rsidR="00F913B5" w:rsidRPr="003D520D">
        <w:rPr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>po 40</w:t>
      </w:r>
      <w:r w:rsidR="00B55C46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mg (jedna tableta). Nejnižší doporučená denní dávka je 80</w:t>
      </w:r>
      <w:r w:rsidR="00B55C46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mg. Maximální denní dávka je 160</w:t>
      </w:r>
      <w:r w:rsidR="00B55C46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mg.</w:t>
      </w:r>
    </w:p>
    <w:p w14:paraId="7D457491" w14:textId="77777777" w:rsidR="009A4B49" w:rsidRPr="003D520D" w:rsidRDefault="009A4B49" w:rsidP="00D707AB">
      <w:pPr>
        <w:spacing w:after="0"/>
        <w:rPr>
          <w:szCs w:val="22"/>
          <w:lang w:val="cs-CZ" w:eastAsia="en-US"/>
        </w:rPr>
      </w:pPr>
    </w:p>
    <w:p w14:paraId="7D457492" w14:textId="77777777" w:rsidR="00356F6E" w:rsidRPr="003D520D" w:rsidRDefault="00356F6E" w:rsidP="00D707AB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>Pro</w:t>
      </w:r>
      <w:r w:rsidR="009A4B49" w:rsidRPr="003D520D">
        <w:rPr>
          <w:szCs w:val="22"/>
          <w:lang w:val="cs-CZ" w:eastAsia="en-US"/>
        </w:rPr>
        <w:t xml:space="preserve"> doporučené</w:t>
      </w:r>
      <w:r w:rsidRPr="003D520D">
        <w:rPr>
          <w:szCs w:val="22"/>
          <w:lang w:val="cs-CZ" w:eastAsia="en-US"/>
        </w:rPr>
        <w:t xml:space="preserve"> úpravy dávky a opatření v případě </w:t>
      </w:r>
      <w:r w:rsidR="0060761B" w:rsidRPr="003D520D">
        <w:rPr>
          <w:szCs w:val="22"/>
          <w:lang w:val="cs-CZ" w:eastAsia="en-US"/>
        </w:rPr>
        <w:t xml:space="preserve">kožních </w:t>
      </w:r>
      <w:r w:rsidRPr="003D520D">
        <w:rPr>
          <w:szCs w:val="22"/>
          <w:lang w:val="cs-CZ" w:eastAsia="en-US"/>
        </w:rPr>
        <w:t>reakcí ruka-noha (</w:t>
      </w:r>
      <w:r w:rsidR="009A4B49" w:rsidRPr="003D520D">
        <w:rPr>
          <w:szCs w:val="22"/>
          <w:lang w:val="cs-CZ" w:eastAsia="en-US"/>
        </w:rPr>
        <w:t>hand-</w:t>
      </w:r>
      <w:proofErr w:type="spellStart"/>
      <w:r w:rsidR="009A4B49" w:rsidRPr="003D520D">
        <w:rPr>
          <w:szCs w:val="22"/>
          <w:lang w:val="cs-CZ" w:eastAsia="en-US"/>
        </w:rPr>
        <w:t>foot</w:t>
      </w:r>
      <w:proofErr w:type="spellEnd"/>
      <w:r w:rsidR="009A4B49" w:rsidRPr="003D520D">
        <w:rPr>
          <w:szCs w:val="22"/>
          <w:lang w:val="cs-CZ" w:eastAsia="en-US"/>
        </w:rPr>
        <w:t xml:space="preserve"> skin </w:t>
      </w:r>
      <w:proofErr w:type="spellStart"/>
      <w:r w:rsidR="009A4B49" w:rsidRPr="003D520D">
        <w:rPr>
          <w:szCs w:val="22"/>
          <w:lang w:val="cs-CZ" w:eastAsia="en-US"/>
        </w:rPr>
        <w:t>reaction</w:t>
      </w:r>
      <w:proofErr w:type="spellEnd"/>
      <w:r w:rsidR="009A4B49" w:rsidRPr="003D520D">
        <w:rPr>
          <w:szCs w:val="22"/>
          <w:lang w:val="cs-CZ" w:eastAsia="en-US"/>
        </w:rPr>
        <w:t xml:space="preserve">, </w:t>
      </w:r>
      <w:r w:rsidRPr="003D520D">
        <w:rPr>
          <w:szCs w:val="22"/>
          <w:lang w:val="cs-CZ" w:eastAsia="en-US"/>
        </w:rPr>
        <w:t>HFSR</w:t>
      </w:r>
      <w:r w:rsidR="009A4B49" w:rsidRPr="003D520D">
        <w:rPr>
          <w:szCs w:val="22"/>
          <w:lang w:val="cs-CZ" w:eastAsia="en-US"/>
        </w:rPr>
        <w:t xml:space="preserve">) / syndrom </w:t>
      </w:r>
      <w:proofErr w:type="spellStart"/>
      <w:r w:rsidRPr="003D520D">
        <w:rPr>
          <w:szCs w:val="22"/>
          <w:lang w:val="cs-CZ" w:eastAsia="en-US"/>
        </w:rPr>
        <w:t>palmoplantární</w:t>
      </w:r>
      <w:proofErr w:type="spellEnd"/>
      <w:r w:rsidRPr="003D520D">
        <w:rPr>
          <w:szCs w:val="22"/>
          <w:lang w:val="cs-CZ" w:eastAsia="en-US"/>
        </w:rPr>
        <w:t xml:space="preserve"> </w:t>
      </w:r>
      <w:proofErr w:type="spellStart"/>
      <w:r w:rsidRPr="003D520D">
        <w:rPr>
          <w:szCs w:val="22"/>
          <w:lang w:val="cs-CZ" w:eastAsia="en-US"/>
        </w:rPr>
        <w:t>erytrodysestézie</w:t>
      </w:r>
      <w:proofErr w:type="spellEnd"/>
      <w:r w:rsidR="008B40B5">
        <w:rPr>
          <w:szCs w:val="22"/>
          <w:lang w:val="cs-CZ" w:eastAsia="en-US"/>
        </w:rPr>
        <w:t>,</w:t>
      </w:r>
      <w:r w:rsidRPr="003D520D">
        <w:rPr>
          <w:szCs w:val="22"/>
          <w:lang w:val="cs-CZ" w:eastAsia="en-US"/>
        </w:rPr>
        <w:t xml:space="preserve"> viz </w:t>
      </w:r>
      <w:r w:rsidR="00DB3F49">
        <w:rPr>
          <w:szCs w:val="22"/>
          <w:lang w:val="cs-CZ" w:eastAsia="en-US"/>
        </w:rPr>
        <w:t>t</w:t>
      </w:r>
      <w:r w:rsidRPr="003D520D">
        <w:rPr>
          <w:szCs w:val="22"/>
          <w:lang w:val="cs-CZ" w:eastAsia="en-US"/>
        </w:rPr>
        <w:t>abulka</w:t>
      </w:r>
      <w:r w:rsidR="00B55C46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>1.</w:t>
      </w:r>
    </w:p>
    <w:p w14:paraId="7D457493" w14:textId="77777777" w:rsidR="00356F6E" w:rsidRPr="003D520D" w:rsidRDefault="00356F6E" w:rsidP="00D707AB">
      <w:pPr>
        <w:spacing w:after="0"/>
        <w:rPr>
          <w:szCs w:val="22"/>
          <w:lang w:val="cs-CZ" w:eastAsia="en-US"/>
        </w:rPr>
      </w:pPr>
    </w:p>
    <w:p w14:paraId="7D457494" w14:textId="77777777" w:rsidR="00356F6E" w:rsidRPr="003D520D" w:rsidRDefault="00356F6E" w:rsidP="00D707AB">
      <w:pPr>
        <w:keepNext/>
        <w:spacing w:after="0"/>
        <w:rPr>
          <w:b/>
          <w:bCs/>
          <w:szCs w:val="22"/>
          <w:lang w:val="cs-CZ" w:eastAsia="en-US"/>
        </w:rPr>
      </w:pPr>
      <w:r w:rsidRPr="003D520D">
        <w:rPr>
          <w:b/>
          <w:bCs/>
          <w:szCs w:val="22"/>
          <w:lang w:val="cs-CZ" w:eastAsia="en-US"/>
        </w:rPr>
        <w:t>Tabulka</w:t>
      </w:r>
      <w:r w:rsidR="003D678F" w:rsidRPr="003D520D">
        <w:rPr>
          <w:b/>
          <w:bCs/>
          <w:szCs w:val="22"/>
          <w:lang w:val="cs-CZ" w:eastAsia="en-US"/>
        </w:rPr>
        <w:t> </w:t>
      </w:r>
      <w:r w:rsidRPr="003D520D">
        <w:rPr>
          <w:b/>
          <w:bCs/>
          <w:szCs w:val="22"/>
          <w:lang w:val="cs-CZ" w:eastAsia="en-US"/>
        </w:rPr>
        <w:t>1: Doporučen</w:t>
      </w:r>
      <w:r w:rsidR="008F60AD" w:rsidRPr="003D520D">
        <w:rPr>
          <w:b/>
          <w:bCs/>
          <w:szCs w:val="22"/>
          <w:lang w:val="cs-CZ" w:eastAsia="en-US"/>
        </w:rPr>
        <w:t>é</w:t>
      </w:r>
      <w:r w:rsidRPr="003D520D">
        <w:rPr>
          <w:b/>
          <w:bCs/>
          <w:szCs w:val="22"/>
          <w:lang w:val="cs-CZ" w:eastAsia="en-US"/>
        </w:rPr>
        <w:t xml:space="preserve"> úprav</w:t>
      </w:r>
      <w:r w:rsidR="008F60AD" w:rsidRPr="003D520D">
        <w:rPr>
          <w:b/>
          <w:bCs/>
          <w:szCs w:val="22"/>
          <w:lang w:val="cs-CZ" w:eastAsia="en-US"/>
        </w:rPr>
        <w:t>y</w:t>
      </w:r>
      <w:r w:rsidRPr="003D520D">
        <w:rPr>
          <w:b/>
          <w:bCs/>
          <w:szCs w:val="22"/>
          <w:lang w:val="cs-CZ" w:eastAsia="en-US"/>
        </w:rPr>
        <w:t xml:space="preserve"> dávky a opatření pro HFSR</w:t>
      </w:r>
    </w:p>
    <w:p w14:paraId="7D457495" w14:textId="77777777" w:rsidR="00356F6E" w:rsidRPr="003D520D" w:rsidRDefault="00356F6E" w:rsidP="00D707AB">
      <w:pPr>
        <w:keepNext/>
        <w:spacing w:after="0"/>
        <w:rPr>
          <w:b/>
          <w:bCs/>
          <w:szCs w:val="22"/>
          <w:lang w:val="cs-CZ" w:eastAsia="en-US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843"/>
        <w:gridCol w:w="4252"/>
      </w:tblGrid>
      <w:tr w:rsidR="00356F6E" w:rsidRPr="003D520D" w14:paraId="7D45749A" w14:textId="77777777">
        <w:trPr>
          <w:cantSplit/>
          <w:tblHeader/>
        </w:trPr>
        <w:tc>
          <w:tcPr>
            <w:tcW w:w="2977" w:type="dxa"/>
            <w:vAlign w:val="center"/>
          </w:tcPr>
          <w:p w14:paraId="7D457496" w14:textId="77777777" w:rsidR="00356F6E" w:rsidRPr="003D520D" w:rsidRDefault="00356F6E" w:rsidP="00D707AB">
            <w:pPr>
              <w:keepNext/>
              <w:keepLines/>
              <w:widowControl w:val="0"/>
              <w:spacing w:after="0"/>
              <w:jc w:val="center"/>
              <w:rPr>
                <w:b/>
                <w:szCs w:val="22"/>
                <w:lang w:val="cs-CZ" w:eastAsia="en-US"/>
              </w:rPr>
            </w:pPr>
            <w:r w:rsidRPr="003D520D">
              <w:rPr>
                <w:b/>
                <w:bCs/>
                <w:szCs w:val="22"/>
                <w:lang w:val="cs-CZ" w:eastAsia="en-US"/>
              </w:rPr>
              <w:t>Stupeň kožní toxicity</w:t>
            </w:r>
          </w:p>
        </w:tc>
        <w:tc>
          <w:tcPr>
            <w:tcW w:w="1843" w:type="dxa"/>
            <w:vAlign w:val="center"/>
          </w:tcPr>
          <w:p w14:paraId="7D457497" w14:textId="77777777" w:rsidR="00356F6E" w:rsidRPr="003D520D" w:rsidRDefault="00356F6E" w:rsidP="00D707AB">
            <w:pPr>
              <w:keepNext/>
              <w:keepLines/>
              <w:widowControl w:val="0"/>
              <w:spacing w:after="0"/>
              <w:jc w:val="center"/>
              <w:rPr>
                <w:b/>
                <w:szCs w:val="22"/>
                <w:lang w:val="cs-CZ" w:eastAsia="en-US"/>
              </w:rPr>
            </w:pPr>
            <w:r w:rsidRPr="003D520D">
              <w:rPr>
                <w:b/>
                <w:bCs/>
                <w:szCs w:val="22"/>
                <w:lang w:val="cs-CZ" w:eastAsia="en-US"/>
              </w:rPr>
              <w:t>Výskyt</w:t>
            </w:r>
          </w:p>
        </w:tc>
        <w:tc>
          <w:tcPr>
            <w:tcW w:w="4252" w:type="dxa"/>
            <w:vAlign w:val="center"/>
          </w:tcPr>
          <w:p w14:paraId="7D457498" w14:textId="77777777" w:rsidR="00356F6E" w:rsidRPr="003D520D" w:rsidRDefault="00356F6E" w:rsidP="00D707AB">
            <w:pPr>
              <w:keepNext/>
              <w:keepLines/>
              <w:widowControl w:val="0"/>
              <w:spacing w:after="0"/>
              <w:jc w:val="center"/>
              <w:rPr>
                <w:b/>
                <w:szCs w:val="22"/>
                <w:lang w:val="cs-CZ" w:eastAsia="en-US"/>
              </w:rPr>
            </w:pPr>
            <w:r w:rsidRPr="003D520D">
              <w:rPr>
                <w:b/>
                <w:bCs/>
                <w:szCs w:val="22"/>
                <w:lang w:val="cs-CZ" w:eastAsia="en-US"/>
              </w:rPr>
              <w:t>Doporučená úprava dávky a opatření</w:t>
            </w:r>
          </w:p>
          <w:p w14:paraId="7D457499" w14:textId="77777777" w:rsidR="00356F6E" w:rsidRPr="003D520D" w:rsidRDefault="00356F6E" w:rsidP="00D707AB">
            <w:pPr>
              <w:keepNext/>
              <w:keepLines/>
              <w:widowControl w:val="0"/>
              <w:spacing w:after="0"/>
              <w:jc w:val="center"/>
              <w:rPr>
                <w:b/>
                <w:szCs w:val="22"/>
                <w:lang w:val="cs-CZ" w:eastAsia="en-US"/>
              </w:rPr>
            </w:pPr>
          </w:p>
        </w:tc>
      </w:tr>
      <w:tr w:rsidR="00356F6E" w:rsidRPr="002E5504" w14:paraId="7D45749E" w14:textId="77777777">
        <w:trPr>
          <w:cantSplit/>
        </w:trPr>
        <w:tc>
          <w:tcPr>
            <w:tcW w:w="2977" w:type="dxa"/>
            <w:vAlign w:val="center"/>
          </w:tcPr>
          <w:p w14:paraId="7D45749B" w14:textId="77777777" w:rsidR="00356F6E" w:rsidRPr="003D520D" w:rsidRDefault="00356F6E" w:rsidP="00D707AB">
            <w:pPr>
              <w:keepNext/>
              <w:keepLines/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Stupeň</w:t>
            </w:r>
            <w:r w:rsidR="003D678F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1</w:t>
            </w:r>
          </w:p>
        </w:tc>
        <w:tc>
          <w:tcPr>
            <w:tcW w:w="1843" w:type="dxa"/>
            <w:vAlign w:val="center"/>
          </w:tcPr>
          <w:p w14:paraId="7D45749C" w14:textId="77777777" w:rsidR="00356F6E" w:rsidRPr="003D520D" w:rsidRDefault="00356F6E" w:rsidP="00D707AB">
            <w:pPr>
              <w:keepNext/>
              <w:keepLines/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Jakýkoli</w:t>
            </w:r>
          </w:p>
        </w:tc>
        <w:tc>
          <w:tcPr>
            <w:tcW w:w="4252" w:type="dxa"/>
          </w:tcPr>
          <w:p w14:paraId="7D45749D" w14:textId="77777777" w:rsidR="00356F6E" w:rsidRPr="003D520D" w:rsidRDefault="00356F6E" w:rsidP="00D707AB">
            <w:pPr>
              <w:keepNext/>
              <w:keepLines/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 xml:space="preserve">Udržte hladinu dávky a okamžitě proveďte podpůrná opatření pro symptomatickou úlevu. </w:t>
            </w:r>
          </w:p>
        </w:tc>
      </w:tr>
      <w:tr w:rsidR="00356F6E" w:rsidRPr="002E5504" w14:paraId="7D4574A4" w14:textId="77777777">
        <w:trPr>
          <w:cantSplit/>
        </w:trPr>
        <w:tc>
          <w:tcPr>
            <w:tcW w:w="2977" w:type="dxa"/>
            <w:vMerge w:val="restart"/>
            <w:vAlign w:val="center"/>
          </w:tcPr>
          <w:p w14:paraId="7D45749F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Stupeň</w:t>
            </w:r>
            <w:r w:rsidR="003D678F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2</w:t>
            </w:r>
          </w:p>
        </w:tc>
        <w:tc>
          <w:tcPr>
            <w:tcW w:w="1843" w:type="dxa"/>
            <w:vAlign w:val="center"/>
          </w:tcPr>
          <w:p w14:paraId="7D4574A0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1.</w:t>
            </w:r>
            <w:r w:rsidR="003D678F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výskyt</w:t>
            </w:r>
          </w:p>
        </w:tc>
        <w:tc>
          <w:tcPr>
            <w:tcW w:w="4252" w:type="dxa"/>
          </w:tcPr>
          <w:p w14:paraId="7D4574A1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Snižte dávku o 40</w:t>
            </w:r>
            <w:r w:rsidR="00B55C46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 xml:space="preserve">mg (jedna tableta) a okamžitě </w:t>
            </w:r>
            <w:r w:rsidR="008F60AD" w:rsidRPr="003D520D">
              <w:rPr>
                <w:szCs w:val="22"/>
                <w:lang w:val="cs-CZ" w:eastAsia="en-US"/>
              </w:rPr>
              <w:t>p</w:t>
            </w:r>
            <w:r w:rsidRPr="003D520D">
              <w:rPr>
                <w:szCs w:val="22"/>
                <w:lang w:val="cs-CZ" w:eastAsia="en-US"/>
              </w:rPr>
              <w:t>roveďte podpůrná opatření.</w:t>
            </w:r>
          </w:p>
          <w:p w14:paraId="7D4574A2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Pokud nedojde ke zlepšení i přes snížení dávky, přerušte léčbu na dobu minimálně 7</w:t>
            </w:r>
            <w:r w:rsidR="00B55C46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dnů</w:t>
            </w:r>
            <w:r w:rsidR="004556BE" w:rsidRPr="003D520D">
              <w:rPr>
                <w:szCs w:val="22"/>
                <w:lang w:val="cs-CZ" w:eastAsia="en-US"/>
              </w:rPr>
              <w:t>, dokud toxicita nedosáhne stupně</w:t>
            </w:r>
            <w:r w:rsidR="003D678F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0</w:t>
            </w:r>
            <w:r w:rsidR="003D678F" w:rsidRPr="003D520D">
              <w:rPr>
                <w:szCs w:val="22"/>
                <w:lang w:val="cs-CZ" w:eastAsia="en-US"/>
              </w:rPr>
              <w:noBreakHyphen/>
            </w:r>
            <w:r w:rsidRPr="003D520D">
              <w:rPr>
                <w:szCs w:val="22"/>
                <w:lang w:val="cs-CZ" w:eastAsia="en-US"/>
              </w:rPr>
              <w:t xml:space="preserve">1. </w:t>
            </w:r>
          </w:p>
          <w:p w14:paraId="7D4574A3" w14:textId="77777777" w:rsidR="00356F6E" w:rsidRPr="003D520D" w:rsidRDefault="00D669A8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 xml:space="preserve">Opětovné zvýšení </w:t>
            </w:r>
            <w:r w:rsidR="00356F6E" w:rsidRPr="003D520D">
              <w:rPr>
                <w:szCs w:val="22"/>
                <w:lang w:val="cs-CZ" w:eastAsia="en-US"/>
              </w:rPr>
              <w:t>dávky je přípustn</w:t>
            </w:r>
            <w:r w:rsidRPr="003D520D">
              <w:rPr>
                <w:szCs w:val="22"/>
                <w:lang w:val="cs-CZ" w:eastAsia="en-US"/>
              </w:rPr>
              <w:t>é</w:t>
            </w:r>
            <w:r w:rsidR="00356F6E" w:rsidRPr="003D520D">
              <w:rPr>
                <w:szCs w:val="22"/>
                <w:lang w:val="cs-CZ" w:eastAsia="en-US"/>
              </w:rPr>
              <w:t xml:space="preserve"> </w:t>
            </w:r>
            <w:r w:rsidRPr="003D520D">
              <w:rPr>
                <w:szCs w:val="22"/>
                <w:lang w:val="cs-CZ" w:eastAsia="en-US"/>
              </w:rPr>
              <w:t>na základě</w:t>
            </w:r>
            <w:r w:rsidR="00356F6E" w:rsidRPr="003D520D">
              <w:rPr>
                <w:szCs w:val="22"/>
                <w:lang w:val="cs-CZ" w:eastAsia="en-US"/>
              </w:rPr>
              <w:t xml:space="preserve"> rozhodnutí lékaře.</w:t>
            </w:r>
          </w:p>
        </w:tc>
      </w:tr>
      <w:tr w:rsidR="00356F6E" w:rsidRPr="002E5504" w14:paraId="7D4574AA" w14:textId="77777777">
        <w:trPr>
          <w:cantSplit/>
        </w:trPr>
        <w:tc>
          <w:tcPr>
            <w:tcW w:w="2977" w:type="dxa"/>
            <w:vMerge/>
            <w:vAlign w:val="center"/>
          </w:tcPr>
          <w:p w14:paraId="7D4574A5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</w:p>
        </w:tc>
        <w:tc>
          <w:tcPr>
            <w:tcW w:w="1843" w:type="dxa"/>
            <w:vAlign w:val="center"/>
          </w:tcPr>
          <w:p w14:paraId="7D4574A6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Bez zlepšení během 7</w:t>
            </w:r>
            <w:r w:rsidR="00B55C46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dnů nebo 2.</w:t>
            </w:r>
            <w:r w:rsidR="003D678F" w:rsidRPr="003D520D">
              <w:rPr>
                <w:szCs w:val="22"/>
                <w:lang w:val="cs-CZ" w:eastAsia="en-US"/>
              </w:rPr>
              <w:t> </w:t>
            </w:r>
            <w:r w:rsidR="00037914">
              <w:rPr>
                <w:szCs w:val="22"/>
                <w:lang w:val="cs-CZ" w:eastAsia="en-US"/>
              </w:rPr>
              <w:t>v</w:t>
            </w:r>
            <w:r w:rsidRPr="003D520D">
              <w:rPr>
                <w:szCs w:val="22"/>
                <w:lang w:val="cs-CZ" w:eastAsia="en-US"/>
              </w:rPr>
              <w:t>ýskyt</w:t>
            </w:r>
          </w:p>
        </w:tc>
        <w:tc>
          <w:tcPr>
            <w:tcW w:w="4252" w:type="dxa"/>
          </w:tcPr>
          <w:p w14:paraId="7D4574A7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Přerušte léčbu</w:t>
            </w:r>
            <w:r w:rsidR="00F71B05" w:rsidRPr="003D520D">
              <w:rPr>
                <w:szCs w:val="22"/>
                <w:lang w:val="cs-CZ" w:eastAsia="en-US"/>
              </w:rPr>
              <w:t>,</w:t>
            </w:r>
            <w:r w:rsidRPr="003D520D">
              <w:rPr>
                <w:szCs w:val="22"/>
                <w:lang w:val="cs-CZ" w:eastAsia="en-US"/>
              </w:rPr>
              <w:t xml:space="preserve"> </w:t>
            </w:r>
            <w:r w:rsidR="00F71B05" w:rsidRPr="003D520D">
              <w:rPr>
                <w:szCs w:val="22"/>
                <w:lang w:val="cs-CZ" w:eastAsia="en-US"/>
              </w:rPr>
              <w:t>dokud toxicita nedosáhne stupně </w:t>
            </w:r>
            <w:r w:rsidRPr="003D520D">
              <w:rPr>
                <w:szCs w:val="22"/>
                <w:lang w:val="cs-CZ" w:eastAsia="en-US"/>
              </w:rPr>
              <w:t>0</w:t>
            </w:r>
            <w:r w:rsidR="003D678F" w:rsidRPr="003D520D">
              <w:rPr>
                <w:szCs w:val="22"/>
                <w:lang w:val="cs-CZ" w:eastAsia="en-US"/>
              </w:rPr>
              <w:noBreakHyphen/>
            </w:r>
            <w:r w:rsidRPr="003D520D">
              <w:rPr>
                <w:szCs w:val="22"/>
                <w:lang w:val="cs-CZ" w:eastAsia="en-US"/>
              </w:rPr>
              <w:t>1.</w:t>
            </w:r>
          </w:p>
          <w:p w14:paraId="7D4574A8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Při znovuzahájení léčby snižte dávku o 40</w:t>
            </w:r>
            <w:r w:rsidR="005148DC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 xml:space="preserve">mg (jedna tableta). </w:t>
            </w:r>
          </w:p>
          <w:p w14:paraId="7D4574A9" w14:textId="77777777" w:rsidR="00356F6E" w:rsidRPr="003D520D" w:rsidRDefault="00341D03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 xml:space="preserve">Opětovné zvýšení </w:t>
            </w:r>
            <w:r w:rsidR="00356F6E" w:rsidRPr="003D520D">
              <w:rPr>
                <w:szCs w:val="22"/>
                <w:lang w:val="cs-CZ" w:eastAsia="en-US"/>
              </w:rPr>
              <w:t>dávky je přípustn</w:t>
            </w:r>
            <w:r w:rsidR="00187EB0" w:rsidRPr="003D520D">
              <w:rPr>
                <w:szCs w:val="22"/>
                <w:lang w:val="cs-CZ" w:eastAsia="en-US"/>
              </w:rPr>
              <w:t>é</w:t>
            </w:r>
            <w:r w:rsidR="00356F6E" w:rsidRPr="003D520D">
              <w:rPr>
                <w:szCs w:val="22"/>
                <w:lang w:val="cs-CZ" w:eastAsia="en-US"/>
              </w:rPr>
              <w:t xml:space="preserve"> </w:t>
            </w:r>
            <w:r w:rsidR="00187EB0" w:rsidRPr="003D520D">
              <w:rPr>
                <w:szCs w:val="22"/>
                <w:lang w:val="cs-CZ" w:eastAsia="en-US"/>
              </w:rPr>
              <w:t>na základě</w:t>
            </w:r>
            <w:r w:rsidR="00356F6E" w:rsidRPr="003D520D">
              <w:rPr>
                <w:szCs w:val="22"/>
                <w:lang w:val="cs-CZ" w:eastAsia="en-US"/>
              </w:rPr>
              <w:t xml:space="preserve"> rozhodnutí lékaře.</w:t>
            </w:r>
          </w:p>
        </w:tc>
      </w:tr>
      <w:tr w:rsidR="00356F6E" w:rsidRPr="002E5504" w14:paraId="7D4574B0" w14:textId="77777777">
        <w:trPr>
          <w:cantSplit/>
        </w:trPr>
        <w:tc>
          <w:tcPr>
            <w:tcW w:w="2977" w:type="dxa"/>
            <w:vMerge/>
            <w:vAlign w:val="center"/>
          </w:tcPr>
          <w:p w14:paraId="7D4574AB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</w:p>
        </w:tc>
        <w:tc>
          <w:tcPr>
            <w:tcW w:w="1843" w:type="dxa"/>
            <w:vAlign w:val="center"/>
          </w:tcPr>
          <w:p w14:paraId="7D4574AC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3.</w:t>
            </w:r>
            <w:r w:rsidR="003D678F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výskyt</w:t>
            </w:r>
          </w:p>
        </w:tc>
        <w:tc>
          <w:tcPr>
            <w:tcW w:w="4252" w:type="dxa"/>
          </w:tcPr>
          <w:p w14:paraId="7D4574AD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Přerušte léčbu do toxicity na stupeň</w:t>
            </w:r>
            <w:r w:rsidR="003D678F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0</w:t>
            </w:r>
            <w:r w:rsidR="003D678F" w:rsidRPr="003D520D">
              <w:rPr>
                <w:szCs w:val="22"/>
                <w:lang w:val="cs-CZ" w:eastAsia="en-US"/>
              </w:rPr>
              <w:noBreakHyphen/>
            </w:r>
            <w:r w:rsidRPr="003D520D">
              <w:rPr>
                <w:szCs w:val="22"/>
                <w:lang w:val="cs-CZ" w:eastAsia="en-US"/>
              </w:rPr>
              <w:t>1.</w:t>
            </w:r>
          </w:p>
          <w:p w14:paraId="7D4574AE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Při znovuzahájení léčby snižte dávku o 40</w:t>
            </w:r>
            <w:r w:rsidR="005148DC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 xml:space="preserve">mg (jedna tableta). </w:t>
            </w:r>
          </w:p>
          <w:p w14:paraId="7D4574AF" w14:textId="77777777" w:rsidR="00356F6E" w:rsidRPr="003D520D" w:rsidRDefault="00F71B05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 xml:space="preserve">Opětovné zvýšení dávky je přípustné na základě </w:t>
            </w:r>
            <w:r w:rsidR="00356F6E" w:rsidRPr="003D520D">
              <w:rPr>
                <w:szCs w:val="22"/>
                <w:lang w:val="cs-CZ" w:eastAsia="en-US"/>
              </w:rPr>
              <w:t>rozhodnutí lékaře.</w:t>
            </w:r>
          </w:p>
        </w:tc>
      </w:tr>
      <w:tr w:rsidR="00356F6E" w:rsidRPr="002E5504" w14:paraId="7D4574B4" w14:textId="77777777">
        <w:trPr>
          <w:cantSplit/>
        </w:trPr>
        <w:tc>
          <w:tcPr>
            <w:tcW w:w="2977" w:type="dxa"/>
            <w:vMerge/>
            <w:vAlign w:val="center"/>
          </w:tcPr>
          <w:p w14:paraId="7D4574B1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</w:p>
        </w:tc>
        <w:tc>
          <w:tcPr>
            <w:tcW w:w="1843" w:type="dxa"/>
            <w:vAlign w:val="center"/>
          </w:tcPr>
          <w:p w14:paraId="7D4574B2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4.</w:t>
            </w:r>
            <w:r w:rsidR="003D678F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výskyt</w:t>
            </w:r>
          </w:p>
        </w:tc>
        <w:tc>
          <w:tcPr>
            <w:tcW w:w="4252" w:type="dxa"/>
          </w:tcPr>
          <w:p w14:paraId="7D4574B3" w14:textId="77777777" w:rsidR="00356F6E" w:rsidRPr="003D520D" w:rsidRDefault="007D65CB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/>
              </w:rPr>
              <w:t xml:space="preserve">Trvale ukončete léčbu přípravkem </w:t>
            </w:r>
            <w:proofErr w:type="spellStart"/>
            <w:r w:rsidRPr="003D520D">
              <w:rPr>
                <w:szCs w:val="22"/>
                <w:lang w:val="cs-CZ"/>
              </w:rPr>
              <w:t>Stivarga</w:t>
            </w:r>
            <w:proofErr w:type="spellEnd"/>
            <w:r w:rsidRPr="003D520D">
              <w:rPr>
                <w:szCs w:val="22"/>
                <w:lang w:val="cs-CZ"/>
              </w:rPr>
              <w:t>.</w:t>
            </w:r>
          </w:p>
        </w:tc>
      </w:tr>
      <w:tr w:rsidR="00356F6E" w:rsidRPr="002E5504" w14:paraId="7D4574BA" w14:textId="77777777">
        <w:trPr>
          <w:cantSplit/>
        </w:trPr>
        <w:tc>
          <w:tcPr>
            <w:tcW w:w="2977" w:type="dxa"/>
            <w:vMerge w:val="restart"/>
            <w:vAlign w:val="center"/>
          </w:tcPr>
          <w:p w14:paraId="7D4574B5" w14:textId="77777777" w:rsidR="00356F6E" w:rsidRPr="003D520D" w:rsidRDefault="00356F6E" w:rsidP="00D707AB">
            <w:pPr>
              <w:keepNext/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Stupeň</w:t>
            </w:r>
            <w:r w:rsidR="003D678F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3</w:t>
            </w:r>
          </w:p>
        </w:tc>
        <w:tc>
          <w:tcPr>
            <w:tcW w:w="1843" w:type="dxa"/>
            <w:vAlign w:val="center"/>
          </w:tcPr>
          <w:p w14:paraId="7D4574B6" w14:textId="77777777" w:rsidR="00356F6E" w:rsidRPr="003D520D" w:rsidRDefault="00356F6E" w:rsidP="00D707AB">
            <w:pPr>
              <w:keepNext/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1.</w:t>
            </w:r>
            <w:r w:rsidR="003D678F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výskyt</w:t>
            </w:r>
          </w:p>
        </w:tc>
        <w:tc>
          <w:tcPr>
            <w:tcW w:w="4252" w:type="dxa"/>
          </w:tcPr>
          <w:p w14:paraId="7D4574B7" w14:textId="77777777" w:rsidR="00356F6E" w:rsidRPr="003D520D" w:rsidRDefault="00356F6E" w:rsidP="00D707AB">
            <w:pPr>
              <w:keepNext/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Zahajte ihned podpůrná opatření. Přerušte léčbu na dobu minimálně 7</w:t>
            </w:r>
            <w:r w:rsidR="005148DC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dnů</w:t>
            </w:r>
            <w:r w:rsidR="00760016" w:rsidRPr="003D520D">
              <w:rPr>
                <w:szCs w:val="22"/>
                <w:lang w:val="cs-CZ" w:eastAsia="en-US"/>
              </w:rPr>
              <w:t>,</w:t>
            </w:r>
            <w:r w:rsidRPr="003D520D">
              <w:rPr>
                <w:szCs w:val="22"/>
                <w:lang w:val="cs-CZ" w:eastAsia="en-US"/>
              </w:rPr>
              <w:t xml:space="preserve"> </w:t>
            </w:r>
            <w:r w:rsidR="00760016" w:rsidRPr="003D520D">
              <w:rPr>
                <w:szCs w:val="22"/>
                <w:lang w:val="cs-CZ" w:eastAsia="en-US"/>
              </w:rPr>
              <w:t xml:space="preserve">dokud toxicita nedosáhne </w:t>
            </w:r>
            <w:proofErr w:type="gramStart"/>
            <w:r w:rsidR="00760016" w:rsidRPr="003D520D">
              <w:rPr>
                <w:szCs w:val="22"/>
                <w:lang w:val="cs-CZ" w:eastAsia="en-US"/>
              </w:rPr>
              <w:t>stupně </w:t>
            </w:r>
            <w:r w:rsidR="003D678F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0</w:t>
            </w:r>
            <w:proofErr w:type="gramEnd"/>
            <w:r w:rsidR="003D678F" w:rsidRPr="003D520D">
              <w:rPr>
                <w:szCs w:val="22"/>
                <w:lang w:val="cs-CZ" w:eastAsia="en-US"/>
              </w:rPr>
              <w:noBreakHyphen/>
            </w:r>
            <w:r w:rsidRPr="003D520D">
              <w:rPr>
                <w:szCs w:val="22"/>
                <w:lang w:val="cs-CZ" w:eastAsia="en-US"/>
              </w:rPr>
              <w:t xml:space="preserve">1. </w:t>
            </w:r>
          </w:p>
          <w:p w14:paraId="7D4574B8" w14:textId="77777777" w:rsidR="00356F6E" w:rsidRPr="003D520D" w:rsidRDefault="00356F6E" w:rsidP="00D707AB">
            <w:pPr>
              <w:keepNext/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Při znovuzahájení léčby snižte dávku o 40</w:t>
            </w:r>
            <w:r w:rsidR="005148DC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 xml:space="preserve">mg (jedna tableta). </w:t>
            </w:r>
          </w:p>
          <w:p w14:paraId="7D4574B9" w14:textId="77777777" w:rsidR="00356F6E" w:rsidRPr="003D520D" w:rsidRDefault="00760016" w:rsidP="00D707AB">
            <w:pPr>
              <w:keepNext/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 xml:space="preserve">Opětovné zvýšení dávky je přípustné na základě </w:t>
            </w:r>
            <w:r w:rsidR="00356F6E" w:rsidRPr="003D520D">
              <w:rPr>
                <w:szCs w:val="22"/>
                <w:lang w:val="cs-CZ" w:eastAsia="en-US"/>
              </w:rPr>
              <w:t xml:space="preserve">rozhodnutí lékaře. </w:t>
            </w:r>
          </w:p>
        </w:tc>
      </w:tr>
      <w:tr w:rsidR="00356F6E" w:rsidRPr="002E5504" w14:paraId="7D4574BF" w14:textId="77777777">
        <w:trPr>
          <w:cantSplit/>
        </w:trPr>
        <w:tc>
          <w:tcPr>
            <w:tcW w:w="2977" w:type="dxa"/>
            <w:vMerge/>
            <w:vAlign w:val="center"/>
          </w:tcPr>
          <w:p w14:paraId="7D4574BB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</w:p>
        </w:tc>
        <w:tc>
          <w:tcPr>
            <w:tcW w:w="1843" w:type="dxa"/>
            <w:vAlign w:val="center"/>
          </w:tcPr>
          <w:p w14:paraId="7D4574BC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2.</w:t>
            </w:r>
            <w:r w:rsidR="003D678F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výskyt</w:t>
            </w:r>
          </w:p>
        </w:tc>
        <w:tc>
          <w:tcPr>
            <w:tcW w:w="4252" w:type="dxa"/>
          </w:tcPr>
          <w:p w14:paraId="7D4574BD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Zahajte ihned podpůrná opatření. Přerušte léčbu na dobu minimálně 7</w:t>
            </w:r>
            <w:r w:rsidR="005148DC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dnů</w:t>
            </w:r>
            <w:r w:rsidR="00B53200" w:rsidRPr="003D520D">
              <w:rPr>
                <w:szCs w:val="22"/>
                <w:lang w:val="cs-CZ" w:eastAsia="en-US"/>
              </w:rPr>
              <w:t>,</w:t>
            </w:r>
            <w:r w:rsidRPr="003D520D">
              <w:rPr>
                <w:szCs w:val="22"/>
                <w:lang w:val="cs-CZ" w:eastAsia="en-US"/>
              </w:rPr>
              <w:t xml:space="preserve"> </w:t>
            </w:r>
            <w:r w:rsidR="00B53200" w:rsidRPr="003D520D">
              <w:rPr>
                <w:szCs w:val="22"/>
                <w:lang w:val="cs-CZ" w:eastAsia="en-US"/>
              </w:rPr>
              <w:t>dokud toxicita nedosáhne stupně</w:t>
            </w:r>
            <w:r w:rsidR="003D678F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0</w:t>
            </w:r>
            <w:r w:rsidR="003D678F" w:rsidRPr="003D520D">
              <w:rPr>
                <w:szCs w:val="22"/>
                <w:lang w:val="cs-CZ" w:eastAsia="en-US"/>
              </w:rPr>
              <w:noBreakHyphen/>
            </w:r>
            <w:r w:rsidRPr="003D520D">
              <w:rPr>
                <w:szCs w:val="22"/>
                <w:lang w:val="cs-CZ" w:eastAsia="en-US"/>
              </w:rPr>
              <w:t xml:space="preserve">1. </w:t>
            </w:r>
          </w:p>
          <w:p w14:paraId="7D4574BE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Při znovuzahájení léčby snižte dávku o 40</w:t>
            </w:r>
            <w:r w:rsidR="005148DC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mg (jedna tableta).</w:t>
            </w:r>
          </w:p>
        </w:tc>
      </w:tr>
      <w:tr w:rsidR="00356F6E" w:rsidRPr="002E5504" w14:paraId="7D4574C3" w14:textId="77777777">
        <w:trPr>
          <w:cantSplit/>
        </w:trPr>
        <w:tc>
          <w:tcPr>
            <w:tcW w:w="2977" w:type="dxa"/>
            <w:vMerge/>
            <w:vAlign w:val="center"/>
          </w:tcPr>
          <w:p w14:paraId="7D4574C0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</w:p>
        </w:tc>
        <w:tc>
          <w:tcPr>
            <w:tcW w:w="1843" w:type="dxa"/>
            <w:vAlign w:val="center"/>
          </w:tcPr>
          <w:p w14:paraId="7D4574C1" w14:textId="77777777" w:rsidR="00356F6E" w:rsidRPr="003D520D" w:rsidRDefault="00356F6E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 w:eastAsia="en-US"/>
              </w:rPr>
              <w:t>3.</w:t>
            </w:r>
            <w:r w:rsidR="003D678F" w:rsidRPr="003D520D">
              <w:rPr>
                <w:szCs w:val="22"/>
                <w:lang w:val="cs-CZ" w:eastAsia="en-US"/>
              </w:rPr>
              <w:t> </w:t>
            </w:r>
            <w:r w:rsidRPr="003D520D">
              <w:rPr>
                <w:szCs w:val="22"/>
                <w:lang w:val="cs-CZ" w:eastAsia="en-US"/>
              </w:rPr>
              <w:t>výskyt</w:t>
            </w:r>
          </w:p>
        </w:tc>
        <w:tc>
          <w:tcPr>
            <w:tcW w:w="4252" w:type="dxa"/>
          </w:tcPr>
          <w:p w14:paraId="7D4574C2" w14:textId="77777777" w:rsidR="00356F6E" w:rsidRPr="003D520D" w:rsidRDefault="007D65CB" w:rsidP="00D707AB">
            <w:pPr>
              <w:widowControl w:val="0"/>
              <w:spacing w:after="0"/>
              <w:rPr>
                <w:szCs w:val="22"/>
                <w:lang w:val="cs-CZ" w:eastAsia="en-US"/>
              </w:rPr>
            </w:pPr>
            <w:r w:rsidRPr="003D520D">
              <w:rPr>
                <w:szCs w:val="22"/>
                <w:lang w:val="cs-CZ"/>
              </w:rPr>
              <w:t xml:space="preserve">Trvale ukončete léčbu přípravkem </w:t>
            </w:r>
            <w:proofErr w:type="spellStart"/>
            <w:r w:rsidRPr="003D520D">
              <w:rPr>
                <w:szCs w:val="22"/>
                <w:lang w:val="cs-CZ"/>
              </w:rPr>
              <w:t>Stivarga</w:t>
            </w:r>
            <w:proofErr w:type="spellEnd"/>
            <w:r w:rsidRPr="003D520D">
              <w:rPr>
                <w:szCs w:val="22"/>
                <w:lang w:val="cs-CZ"/>
              </w:rPr>
              <w:t>.</w:t>
            </w:r>
          </w:p>
        </w:tc>
      </w:tr>
    </w:tbl>
    <w:p w14:paraId="7D4574C4" w14:textId="77777777" w:rsidR="00356F6E" w:rsidRPr="003D520D" w:rsidRDefault="00356F6E" w:rsidP="00D707AB">
      <w:pPr>
        <w:spacing w:after="0"/>
        <w:rPr>
          <w:szCs w:val="22"/>
          <w:lang w:val="cs-CZ"/>
        </w:rPr>
      </w:pPr>
    </w:p>
    <w:p w14:paraId="7D4574C5" w14:textId="77777777" w:rsidR="00356F6E" w:rsidRPr="003D520D" w:rsidRDefault="00356F6E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lastRenderedPageBreak/>
        <w:t xml:space="preserve">Pro doporučená opatření a změny dávek v případě zhoršení funkce jaterních testů, u kterých se předpokládá souvislost s přípravkem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="008F60AD" w:rsidRPr="003D520D">
        <w:rPr>
          <w:szCs w:val="22"/>
          <w:lang w:val="cs-CZ"/>
        </w:rPr>
        <w:t>,</w:t>
      </w:r>
      <w:r w:rsidRPr="003D520D">
        <w:rPr>
          <w:i/>
          <w:iCs/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 xml:space="preserve">viz </w:t>
      </w:r>
      <w:r w:rsidR="00DB3F49">
        <w:rPr>
          <w:szCs w:val="22"/>
          <w:lang w:val="cs-CZ"/>
        </w:rPr>
        <w:t>t</w:t>
      </w:r>
      <w:r w:rsidRPr="003D520D">
        <w:rPr>
          <w:szCs w:val="22"/>
          <w:lang w:val="cs-CZ"/>
        </w:rPr>
        <w:t>abulka</w:t>
      </w:r>
      <w:r w:rsidR="005148DC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2 (viz také bod</w:t>
      </w:r>
      <w:r w:rsidR="005148DC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4.4).</w:t>
      </w:r>
    </w:p>
    <w:p w14:paraId="7D4574C6" w14:textId="77777777" w:rsidR="00356F6E" w:rsidRPr="003D520D" w:rsidRDefault="00356F6E" w:rsidP="00D707AB">
      <w:pPr>
        <w:spacing w:after="0"/>
        <w:rPr>
          <w:szCs w:val="22"/>
          <w:lang w:val="cs-CZ"/>
        </w:rPr>
      </w:pPr>
    </w:p>
    <w:p w14:paraId="7D4574C7" w14:textId="77777777" w:rsidR="001C6734" w:rsidRDefault="00356F6E" w:rsidP="001C6734">
      <w:pPr>
        <w:pStyle w:val="Titulek"/>
        <w:keepNext/>
        <w:keepLines/>
        <w:spacing w:after="0"/>
        <w:jc w:val="left"/>
        <w:rPr>
          <w:b/>
          <w:i w:val="0"/>
          <w:sz w:val="22"/>
          <w:szCs w:val="22"/>
          <w:lang w:val="cs-CZ" w:eastAsia="en-US"/>
        </w:rPr>
      </w:pPr>
      <w:r w:rsidRPr="003D520D">
        <w:rPr>
          <w:b/>
          <w:i w:val="0"/>
          <w:sz w:val="22"/>
          <w:szCs w:val="22"/>
          <w:lang w:val="cs-CZ" w:eastAsia="en-US"/>
        </w:rPr>
        <w:t>Tabulka</w:t>
      </w:r>
      <w:r w:rsidR="005148DC" w:rsidRPr="003D520D">
        <w:rPr>
          <w:b/>
          <w:i w:val="0"/>
          <w:sz w:val="22"/>
          <w:szCs w:val="22"/>
          <w:lang w:val="cs-CZ" w:eastAsia="en-US"/>
        </w:rPr>
        <w:t> </w:t>
      </w:r>
      <w:r w:rsidRPr="003D520D">
        <w:rPr>
          <w:b/>
          <w:i w:val="0"/>
          <w:sz w:val="22"/>
          <w:szCs w:val="22"/>
          <w:lang w:val="cs-CZ" w:eastAsia="en-US"/>
        </w:rPr>
        <w:t>2: Doporučená opatření a úpravy dávky v případě abnormalit funkcí jaterních testů souvisejících s</w:t>
      </w:r>
      <w:r w:rsidR="001C6734">
        <w:rPr>
          <w:b/>
          <w:i w:val="0"/>
          <w:sz w:val="22"/>
          <w:szCs w:val="22"/>
          <w:lang w:val="cs-CZ" w:eastAsia="en-US"/>
        </w:rPr>
        <w:t> </w:t>
      </w:r>
      <w:r w:rsidR="008F60AD" w:rsidRPr="003D520D">
        <w:rPr>
          <w:b/>
          <w:i w:val="0"/>
          <w:sz w:val="22"/>
          <w:szCs w:val="22"/>
          <w:lang w:val="cs-CZ" w:eastAsia="en-US"/>
        </w:rPr>
        <w:t>lékem</w:t>
      </w:r>
    </w:p>
    <w:p w14:paraId="7D4574C8" w14:textId="77777777" w:rsidR="00356F6E" w:rsidRPr="003D520D" w:rsidRDefault="00356F6E" w:rsidP="00D707AB">
      <w:pPr>
        <w:keepNext/>
        <w:keepLines/>
        <w:spacing w:after="0"/>
        <w:rPr>
          <w:szCs w:val="22"/>
          <w:lang w:val="cs-CZ" w:eastAsia="en-US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985"/>
        <w:gridCol w:w="4819"/>
      </w:tblGrid>
      <w:tr w:rsidR="00356F6E" w:rsidRPr="002E5504" w14:paraId="7D4574CD" w14:textId="77777777">
        <w:trPr>
          <w:cantSplit/>
          <w:tblHeader/>
        </w:trPr>
        <w:tc>
          <w:tcPr>
            <w:tcW w:w="2268" w:type="dxa"/>
            <w:vAlign w:val="center"/>
          </w:tcPr>
          <w:p w14:paraId="7D4574C9" w14:textId="77777777" w:rsidR="00356F6E" w:rsidRPr="003D520D" w:rsidRDefault="00356F6E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Pozorovaná zvýšení</w:t>
            </w:r>
          </w:p>
          <w:p w14:paraId="7D4574CA" w14:textId="77777777" w:rsidR="00356F6E" w:rsidRPr="003D520D" w:rsidRDefault="00356F6E" w:rsidP="00D707AB">
            <w:pPr>
              <w:pStyle w:val="BayerTableColumnHeadings"/>
              <w:keepNext/>
              <w:keepLines/>
              <w:widowControl w:val="0"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ALT a/nebo AST</w:t>
            </w:r>
          </w:p>
        </w:tc>
        <w:tc>
          <w:tcPr>
            <w:tcW w:w="1985" w:type="dxa"/>
            <w:vAlign w:val="center"/>
          </w:tcPr>
          <w:p w14:paraId="7D4574CB" w14:textId="77777777" w:rsidR="00356F6E" w:rsidRPr="003D520D" w:rsidRDefault="00356F6E" w:rsidP="00D707AB">
            <w:pPr>
              <w:pStyle w:val="BayerTableColumnHeadings"/>
              <w:keepNext/>
              <w:keepLines/>
              <w:widowControl w:val="0"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Výskyt</w:t>
            </w:r>
          </w:p>
        </w:tc>
        <w:tc>
          <w:tcPr>
            <w:tcW w:w="4819" w:type="dxa"/>
            <w:vAlign w:val="center"/>
          </w:tcPr>
          <w:p w14:paraId="7D4574CC" w14:textId="77777777" w:rsidR="00356F6E" w:rsidRPr="003D520D" w:rsidRDefault="00356F6E" w:rsidP="00D707AB">
            <w:pPr>
              <w:pStyle w:val="BayerTableColumnHeadings"/>
              <w:keepNext/>
              <w:keepLines/>
              <w:widowControl w:val="0"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Doporučená opatření a úprava dávky</w:t>
            </w:r>
          </w:p>
        </w:tc>
      </w:tr>
      <w:tr w:rsidR="00356F6E" w:rsidRPr="002E5504" w14:paraId="7D4574D2" w14:textId="77777777">
        <w:trPr>
          <w:cantSplit/>
        </w:trPr>
        <w:tc>
          <w:tcPr>
            <w:tcW w:w="2268" w:type="dxa"/>
            <w:vAlign w:val="center"/>
          </w:tcPr>
          <w:p w14:paraId="7D4574CE" w14:textId="77777777" w:rsidR="00356F6E" w:rsidRPr="003D520D" w:rsidRDefault="00356F6E" w:rsidP="00D707AB">
            <w:pPr>
              <w:pStyle w:val="BayerTableRowHeadings"/>
              <w:keepLines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≤</w:t>
            </w:r>
            <w:r w:rsidR="003D678F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5násobek horní hranice normálních hodnot (ULN) </w:t>
            </w:r>
          </w:p>
          <w:p w14:paraId="7D4574CF" w14:textId="77777777" w:rsidR="00356F6E" w:rsidRPr="003D520D" w:rsidRDefault="00356F6E" w:rsidP="00D707AB">
            <w:pPr>
              <w:pStyle w:val="BayerTableStyleCentered"/>
              <w:keepLines/>
              <w:jc w:val="left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(maximálně stupeň</w:t>
            </w:r>
            <w:r w:rsidR="003D678F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2)</w:t>
            </w:r>
          </w:p>
        </w:tc>
        <w:tc>
          <w:tcPr>
            <w:tcW w:w="1985" w:type="dxa"/>
            <w:vAlign w:val="center"/>
          </w:tcPr>
          <w:p w14:paraId="7D4574D0" w14:textId="77777777" w:rsidR="00356F6E" w:rsidRPr="003D520D" w:rsidRDefault="00356F6E" w:rsidP="00D707AB">
            <w:pPr>
              <w:pStyle w:val="BayerTableStyleLeftJustified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Jakýkoli výskyt</w:t>
            </w:r>
          </w:p>
        </w:tc>
        <w:tc>
          <w:tcPr>
            <w:tcW w:w="4819" w:type="dxa"/>
            <w:vAlign w:val="center"/>
          </w:tcPr>
          <w:p w14:paraId="7D4574D1" w14:textId="77777777" w:rsidR="00356F6E" w:rsidRPr="003D520D" w:rsidRDefault="00356F6E" w:rsidP="00D707AB">
            <w:pPr>
              <w:pStyle w:val="BayerTableStyleLeftJustified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Pokračujte s léčbou přípravkem </w:t>
            </w:r>
            <w:proofErr w:type="spellStart"/>
            <w:r w:rsidRPr="003D520D">
              <w:rPr>
                <w:szCs w:val="22"/>
                <w:lang w:val="cs-CZ"/>
              </w:rPr>
              <w:t>Stivarga</w:t>
            </w:r>
            <w:proofErr w:type="spellEnd"/>
            <w:r w:rsidRPr="003D520D">
              <w:rPr>
                <w:szCs w:val="22"/>
                <w:lang w:val="cs-CZ"/>
              </w:rPr>
              <w:t xml:space="preserve">. </w:t>
            </w:r>
            <w:r w:rsidRPr="003D520D">
              <w:rPr>
                <w:szCs w:val="22"/>
                <w:lang w:val="cs-CZ"/>
              </w:rPr>
              <w:br/>
              <w:t xml:space="preserve">Sledujte </w:t>
            </w:r>
            <w:r w:rsidR="00963D9E" w:rsidRPr="003D520D">
              <w:rPr>
                <w:szCs w:val="22"/>
                <w:lang w:val="cs-CZ"/>
              </w:rPr>
              <w:t>jaterní funkce</w:t>
            </w:r>
            <w:r w:rsidRPr="003D520D">
              <w:rPr>
                <w:szCs w:val="22"/>
                <w:lang w:val="cs-CZ"/>
              </w:rPr>
              <w:t xml:space="preserve"> týdně až do doby, kdy se hladiny transamináz vrátí na </w:t>
            </w:r>
            <w:proofErr w:type="gramStart"/>
            <w:r w:rsidRPr="003D520D">
              <w:rPr>
                <w:szCs w:val="22"/>
                <w:lang w:val="cs-CZ"/>
              </w:rPr>
              <w:t>&lt;</w:t>
            </w:r>
            <w:r w:rsidR="003D678F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3</w:t>
            </w:r>
            <w:proofErr w:type="gramEnd"/>
            <w:r w:rsidRPr="003D520D">
              <w:rPr>
                <w:szCs w:val="22"/>
                <w:lang w:val="cs-CZ"/>
              </w:rPr>
              <w:t>násobek ULN (stupeň</w:t>
            </w:r>
            <w:r w:rsidR="003D678F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1) nebo na výchozí stav.</w:t>
            </w:r>
          </w:p>
        </w:tc>
      </w:tr>
      <w:tr w:rsidR="00356F6E" w:rsidRPr="002E5504" w14:paraId="7D4574D7" w14:textId="77777777">
        <w:trPr>
          <w:cantSplit/>
          <w:trHeight w:val="878"/>
        </w:trPr>
        <w:tc>
          <w:tcPr>
            <w:tcW w:w="2268" w:type="dxa"/>
            <w:tcBorders>
              <w:bottom w:val="nil"/>
            </w:tcBorders>
            <w:vAlign w:val="center"/>
          </w:tcPr>
          <w:p w14:paraId="7D4574D3" w14:textId="77777777" w:rsidR="005E235F" w:rsidRPr="003D520D" w:rsidRDefault="00356F6E" w:rsidP="00D707AB">
            <w:pPr>
              <w:pStyle w:val="BayerTableStyleCentered"/>
              <w:keepNext w:val="0"/>
              <w:jc w:val="left"/>
              <w:rPr>
                <w:rFonts w:eastAsia="Times New Roman"/>
                <w:szCs w:val="22"/>
                <w:lang w:val="cs-CZ"/>
              </w:rPr>
            </w:pPr>
            <w:r w:rsidRPr="003D520D">
              <w:rPr>
                <w:rFonts w:eastAsia="Times New Roman"/>
                <w:szCs w:val="22"/>
                <w:lang w:val="cs-CZ"/>
              </w:rPr>
              <w:t>&gt;</w:t>
            </w:r>
            <w:r w:rsidR="003D678F" w:rsidRPr="003D520D">
              <w:rPr>
                <w:rFonts w:eastAsia="Times New Roman"/>
                <w:szCs w:val="22"/>
                <w:lang w:val="cs-CZ"/>
              </w:rPr>
              <w:t> </w:t>
            </w:r>
            <w:r w:rsidRPr="003D520D">
              <w:rPr>
                <w:rFonts w:eastAsia="Times New Roman"/>
                <w:szCs w:val="22"/>
                <w:lang w:val="cs-CZ"/>
              </w:rPr>
              <w:t>5násobek</w:t>
            </w:r>
          </w:p>
          <w:p w14:paraId="7D4574D4" w14:textId="77777777" w:rsidR="00356F6E" w:rsidRPr="003D520D" w:rsidRDefault="00D060AC" w:rsidP="00D707AB">
            <w:pPr>
              <w:pStyle w:val="BayerTableStyleCentered"/>
              <w:keepNext w:val="0"/>
              <w:jc w:val="left"/>
              <w:rPr>
                <w:szCs w:val="22"/>
                <w:lang w:val="cs-CZ"/>
              </w:rPr>
            </w:pPr>
            <w:r w:rsidRPr="003D520D">
              <w:rPr>
                <w:rFonts w:eastAsia="Times New Roman"/>
                <w:szCs w:val="22"/>
                <w:lang w:val="cs-CZ"/>
              </w:rPr>
              <w:t xml:space="preserve"> </w:t>
            </w:r>
            <w:r w:rsidRPr="003D520D">
              <w:rPr>
                <w:szCs w:val="22"/>
                <w:lang w:val="cs-CZ"/>
              </w:rPr>
              <w:t>≤</w:t>
            </w:r>
            <w:r w:rsidR="003D678F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20násobek</w:t>
            </w:r>
            <w:r w:rsidR="00356F6E" w:rsidRPr="003D520D">
              <w:rPr>
                <w:szCs w:val="22"/>
                <w:lang w:val="cs-CZ"/>
              </w:rPr>
              <w:t xml:space="preserve"> ULN </w:t>
            </w:r>
            <w:r w:rsidR="00356F6E" w:rsidRPr="003D520D">
              <w:rPr>
                <w:szCs w:val="22"/>
                <w:lang w:val="cs-CZ"/>
              </w:rPr>
              <w:br/>
              <w:t>(Stupeň</w:t>
            </w:r>
            <w:r w:rsidR="003D678F" w:rsidRPr="003D520D">
              <w:rPr>
                <w:szCs w:val="22"/>
                <w:lang w:val="cs-CZ"/>
              </w:rPr>
              <w:t> </w:t>
            </w:r>
            <w:r w:rsidR="00356F6E" w:rsidRPr="003D520D">
              <w:rPr>
                <w:szCs w:val="22"/>
                <w:lang w:val="cs-CZ"/>
              </w:rPr>
              <w:t>3)</w:t>
            </w:r>
          </w:p>
        </w:tc>
        <w:tc>
          <w:tcPr>
            <w:tcW w:w="1985" w:type="dxa"/>
            <w:vMerge w:val="restart"/>
            <w:vAlign w:val="center"/>
          </w:tcPr>
          <w:p w14:paraId="7D4574D5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1.</w:t>
            </w:r>
            <w:r w:rsidR="003D678F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výskyt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14:paraId="7D4574D6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Přerušte léčbu přípravkem </w:t>
            </w:r>
            <w:proofErr w:type="spellStart"/>
            <w:r w:rsidRPr="003D520D">
              <w:rPr>
                <w:szCs w:val="22"/>
                <w:lang w:val="cs-CZ"/>
              </w:rPr>
              <w:t>Stivarga</w:t>
            </w:r>
            <w:proofErr w:type="spellEnd"/>
            <w:r w:rsidRPr="003D520D">
              <w:rPr>
                <w:szCs w:val="22"/>
                <w:lang w:val="cs-CZ"/>
              </w:rPr>
              <w:t xml:space="preserve">. </w:t>
            </w:r>
            <w:r w:rsidRPr="003D520D">
              <w:rPr>
                <w:szCs w:val="22"/>
                <w:lang w:val="cs-CZ"/>
              </w:rPr>
              <w:br/>
              <w:t xml:space="preserve">Sledujte transaminázy týdně až do doby, kdy se vrátí na </w:t>
            </w:r>
            <w:proofErr w:type="gramStart"/>
            <w:r w:rsidRPr="003D520D">
              <w:rPr>
                <w:szCs w:val="22"/>
                <w:lang w:val="cs-CZ"/>
              </w:rPr>
              <w:t>&lt;</w:t>
            </w:r>
            <w:r w:rsidR="003D678F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3</w:t>
            </w:r>
            <w:proofErr w:type="gramEnd"/>
            <w:r w:rsidRPr="003D520D">
              <w:rPr>
                <w:szCs w:val="22"/>
                <w:lang w:val="cs-CZ"/>
              </w:rPr>
              <w:t>násobek ULN nebo na výchozí stav.</w:t>
            </w:r>
          </w:p>
        </w:tc>
      </w:tr>
      <w:tr w:rsidR="00356F6E" w:rsidRPr="002E5504" w14:paraId="7D4574DB" w14:textId="77777777">
        <w:trPr>
          <w:cantSplit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D4574D8" w14:textId="77777777" w:rsidR="00356F6E" w:rsidRPr="003D520D" w:rsidRDefault="00356F6E" w:rsidP="00D707AB">
            <w:pPr>
              <w:pStyle w:val="BayerTableStyleCentered"/>
              <w:keepNext w:val="0"/>
              <w:jc w:val="left"/>
              <w:rPr>
                <w:szCs w:val="22"/>
                <w:lang w:val="cs-CZ"/>
              </w:rPr>
            </w:pPr>
          </w:p>
        </w:tc>
        <w:tc>
          <w:tcPr>
            <w:tcW w:w="1985" w:type="dxa"/>
            <w:vMerge/>
            <w:vAlign w:val="center"/>
          </w:tcPr>
          <w:p w14:paraId="7D4574D9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4819" w:type="dxa"/>
            <w:tcBorders>
              <w:top w:val="nil"/>
            </w:tcBorders>
            <w:vAlign w:val="center"/>
          </w:tcPr>
          <w:p w14:paraId="7D4574DA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Znovuzahájení: Pokud potenciální přínos převáží riziko </w:t>
            </w:r>
            <w:proofErr w:type="spellStart"/>
            <w:r w:rsidRPr="003D520D">
              <w:rPr>
                <w:szCs w:val="22"/>
                <w:lang w:val="cs-CZ"/>
              </w:rPr>
              <w:t>hepatotoxicity</w:t>
            </w:r>
            <w:proofErr w:type="spellEnd"/>
            <w:r w:rsidRPr="003D520D">
              <w:rPr>
                <w:szCs w:val="22"/>
                <w:lang w:val="cs-CZ"/>
              </w:rPr>
              <w:t xml:space="preserve">, zahajte znovu léčbu přípravkem </w:t>
            </w:r>
            <w:proofErr w:type="spellStart"/>
            <w:r w:rsidRPr="003D520D">
              <w:rPr>
                <w:szCs w:val="22"/>
                <w:lang w:val="cs-CZ"/>
              </w:rPr>
              <w:t>Stivarga</w:t>
            </w:r>
            <w:proofErr w:type="spellEnd"/>
            <w:r w:rsidRPr="003D520D">
              <w:rPr>
                <w:szCs w:val="22"/>
                <w:lang w:val="cs-CZ"/>
              </w:rPr>
              <w:t>, snižte dávku o 40</w:t>
            </w:r>
            <w:r w:rsidR="005148DC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mg (jedna tableta) a sledujte týdně jaterní funkce po dobu minimálně 4</w:t>
            </w:r>
            <w:r w:rsidR="005148DC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 xml:space="preserve">týdnů. </w:t>
            </w:r>
          </w:p>
        </w:tc>
      </w:tr>
      <w:tr w:rsidR="00356F6E" w:rsidRPr="002E5504" w14:paraId="7D4574DF" w14:textId="77777777">
        <w:trPr>
          <w:cantSplit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D4574DC" w14:textId="77777777" w:rsidR="00356F6E" w:rsidRPr="003D520D" w:rsidRDefault="00356F6E" w:rsidP="00D707AB">
            <w:pPr>
              <w:pStyle w:val="BayerTableStyleCentered"/>
              <w:keepNext w:val="0"/>
              <w:jc w:val="left"/>
              <w:rPr>
                <w:szCs w:val="22"/>
                <w:lang w:val="cs-CZ"/>
              </w:rPr>
            </w:pPr>
          </w:p>
        </w:tc>
        <w:tc>
          <w:tcPr>
            <w:tcW w:w="1985" w:type="dxa"/>
            <w:vAlign w:val="center"/>
          </w:tcPr>
          <w:p w14:paraId="7D4574DD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Opakovaný výskyt</w:t>
            </w:r>
          </w:p>
        </w:tc>
        <w:tc>
          <w:tcPr>
            <w:tcW w:w="4819" w:type="dxa"/>
            <w:vAlign w:val="center"/>
          </w:tcPr>
          <w:p w14:paraId="7D4574DE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Trvale ukončete léčbu přípravkem </w:t>
            </w:r>
            <w:proofErr w:type="spellStart"/>
            <w:r w:rsidRPr="003D520D">
              <w:rPr>
                <w:szCs w:val="22"/>
                <w:lang w:val="cs-CZ"/>
              </w:rPr>
              <w:t>Stivarga</w:t>
            </w:r>
            <w:proofErr w:type="spellEnd"/>
            <w:r w:rsidRPr="003D520D">
              <w:rPr>
                <w:szCs w:val="22"/>
                <w:lang w:val="cs-CZ"/>
              </w:rPr>
              <w:t>.</w:t>
            </w:r>
          </w:p>
        </w:tc>
      </w:tr>
      <w:tr w:rsidR="00356F6E" w:rsidRPr="002E5504" w14:paraId="7D4574E3" w14:textId="77777777">
        <w:trPr>
          <w:cantSplit/>
          <w:trHeight w:val="247"/>
        </w:trPr>
        <w:tc>
          <w:tcPr>
            <w:tcW w:w="2268" w:type="dxa"/>
            <w:vAlign w:val="center"/>
          </w:tcPr>
          <w:p w14:paraId="7D4574E0" w14:textId="77777777" w:rsidR="00356F6E" w:rsidRPr="003D520D" w:rsidRDefault="00356F6E" w:rsidP="00D707AB">
            <w:pPr>
              <w:pStyle w:val="BayerTableStyleCentered"/>
              <w:keepNext w:val="0"/>
              <w:jc w:val="left"/>
              <w:rPr>
                <w:szCs w:val="22"/>
                <w:lang w:val="cs-CZ"/>
              </w:rPr>
            </w:pPr>
            <w:r w:rsidRPr="003D520D">
              <w:rPr>
                <w:rFonts w:eastAsia="Times New Roman"/>
                <w:szCs w:val="22"/>
                <w:lang w:val="cs-CZ"/>
              </w:rPr>
              <w:t>&gt;</w:t>
            </w:r>
            <w:r w:rsidR="003D678F" w:rsidRPr="003D520D">
              <w:rPr>
                <w:rFonts w:eastAsia="Times New Roman"/>
                <w:szCs w:val="22"/>
                <w:lang w:val="cs-CZ"/>
              </w:rPr>
              <w:t> </w:t>
            </w:r>
            <w:r w:rsidRPr="003D520D">
              <w:rPr>
                <w:rFonts w:eastAsia="Times New Roman"/>
                <w:szCs w:val="22"/>
                <w:lang w:val="cs-CZ"/>
              </w:rPr>
              <w:t>20</w:t>
            </w:r>
            <w:r w:rsidRPr="003D520D">
              <w:rPr>
                <w:szCs w:val="22"/>
                <w:lang w:val="cs-CZ"/>
              </w:rPr>
              <w:t xml:space="preserve">násobek ULN </w:t>
            </w:r>
            <w:r w:rsidRPr="003D520D">
              <w:rPr>
                <w:szCs w:val="22"/>
                <w:lang w:val="cs-CZ"/>
              </w:rPr>
              <w:br/>
              <w:t>(Stupeň</w:t>
            </w:r>
            <w:r w:rsidR="003D678F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4)</w:t>
            </w:r>
          </w:p>
        </w:tc>
        <w:tc>
          <w:tcPr>
            <w:tcW w:w="1985" w:type="dxa"/>
            <w:vAlign w:val="center"/>
          </w:tcPr>
          <w:p w14:paraId="7D4574E1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Jakýkoli výskyt</w:t>
            </w:r>
          </w:p>
        </w:tc>
        <w:tc>
          <w:tcPr>
            <w:tcW w:w="4819" w:type="dxa"/>
            <w:vAlign w:val="center"/>
          </w:tcPr>
          <w:p w14:paraId="7D4574E2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Trvale ukončete léčbu přípravkem </w:t>
            </w:r>
            <w:proofErr w:type="spellStart"/>
            <w:r w:rsidRPr="003D520D">
              <w:rPr>
                <w:szCs w:val="22"/>
                <w:lang w:val="cs-CZ"/>
              </w:rPr>
              <w:t>Stivarga</w:t>
            </w:r>
            <w:proofErr w:type="spellEnd"/>
            <w:r w:rsidRPr="003D520D">
              <w:rPr>
                <w:szCs w:val="22"/>
                <w:lang w:val="cs-CZ"/>
              </w:rPr>
              <w:t>.</w:t>
            </w:r>
          </w:p>
        </w:tc>
      </w:tr>
      <w:tr w:rsidR="00356F6E" w:rsidRPr="002E5504" w14:paraId="7D4574E9" w14:textId="77777777">
        <w:trPr>
          <w:cantSplit/>
          <w:trHeight w:val="24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4574E4" w14:textId="77777777" w:rsidR="00356F6E" w:rsidRPr="003D520D" w:rsidRDefault="00356F6E" w:rsidP="00D707AB">
            <w:pPr>
              <w:pStyle w:val="BayerTableRowHeadings"/>
              <w:keepNext w:val="0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&gt;</w:t>
            </w:r>
            <w:r w:rsidR="003D678F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3násobek ULN (stupeň</w:t>
            </w:r>
            <w:r w:rsidR="003D678F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 xml:space="preserve">2 nebo vyšší) se současnou hladinou </w:t>
            </w:r>
            <w:proofErr w:type="gramStart"/>
            <w:r w:rsidRPr="003D520D">
              <w:rPr>
                <w:szCs w:val="22"/>
                <w:lang w:val="cs-CZ"/>
              </w:rPr>
              <w:t>bilirubinu &gt;</w:t>
            </w:r>
            <w:proofErr w:type="gramEnd"/>
            <w:r w:rsidR="003D678F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2násobek ULN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D4574E5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Jakýkoli výskyt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D4574E6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Trvale ukončete léčbu přípravkem </w:t>
            </w:r>
            <w:proofErr w:type="spellStart"/>
            <w:r w:rsidRPr="003D520D">
              <w:rPr>
                <w:szCs w:val="22"/>
                <w:lang w:val="cs-CZ"/>
              </w:rPr>
              <w:t>Stivarga</w:t>
            </w:r>
            <w:proofErr w:type="spellEnd"/>
            <w:r w:rsidRPr="003D520D">
              <w:rPr>
                <w:szCs w:val="22"/>
                <w:lang w:val="cs-CZ"/>
              </w:rPr>
              <w:t xml:space="preserve">. </w:t>
            </w:r>
          </w:p>
          <w:p w14:paraId="7D4574E7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Sledujte týdně jaterní funkce až do vyřešení nebo navrácení k výchozímu stavu. </w:t>
            </w:r>
          </w:p>
          <w:p w14:paraId="7D4574E8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u w:val="single"/>
                <w:lang w:val="cs-CZ"/>
              </w:rPr>
              <w:t>Výjimka</w:t>
            </w:r>
            <w:r w:rsidRPr="003D520D">
              <w:rPr>
                <w:szCs w:val="22"/>
                <w:lang w:val="cs-CZ"/>
              </w:rPr>
              <w:t>: pacienti s Gilbertovým syndromem, u kterých se objeví zvýšené hladiny transamináz, m</w:t>
            </w:r>
            <w:r w:rsidR="00037914">
              <w:rPr>
                <w:szCs w:val="22"/>
                <w:lang w:val="cs-CZ"/>
              </w:rPr>
              <w:t>ají</w:t>
            </w:r>
            <w:r w:rsidRPr="003D520D">
              <w:rPr>
                <w:szCs w:val="22"/>
                <w:lang w:val="cs-CZ"/>
              </w:rPr>
              <w:t xml:space="preserve"> být léčeni podle výše uvedených doporučení pro příslušné pozorované zvýšení ALT a/nebo AST.</w:t>
            </w:r>
          </w:p>
        </w:tc>
      </w:tr>
    </w:tbl>
    <w:p w14:paraId="7D4574EA" w14:textId="77777777" w:rsidR="00356F6E" w:rsidRDefault="00356F6E" w:rsidP="00D707AB">
      <w:pPr>
        <w:spacing w:after="0"/>
        <w:rPr>
          <w:szCs w:val="22"/>
          <w:lang w:val="cs-CZ"/>
        </w:rPr>
      </w:pPr>
    </w:p>
    <w:p w14:paraId="7D4574EB" w14:textId="77777777" w:rsidR="001C6734" w:rsidRPr="001C6734" w:rsidRDefault="001C6734" w:rsidP="001C6734">
      <w:pPr>
        <w:pStyle w:val="Titulek"/>
        <w:keepNext/>
        <w:keepLines/>
        <w:spacing w:after="0"/>
        <w:jc w:val="left"/>
        <w:rPr>
          <w:bCs w:val="0"/>
          <w:iCs/>
          <w:sz w:val="22"/>
          <w:szCs w:val="22"/>
          <w:lang w:val="cs-CZ"/>
        </w:rPr>
      </w:pPr>
      <w:r w:rsidRPr="001C6734">
        <w:rPr>
          <w:bCs w:val="0"/>
          <w:iCs/>
          <w:sz w:val="22"/>
          <w:szCs w:val="22"/>
          <w:lang w:val="cs-CZ"/>
        </w:rPr>
        <w:t>Porucha funkce jater</w:t>
      </w:r>
    </w:p>
    <w:p w14:paraId="7D4574EC" w14:textId="77777777" w:rsidR="00B9240C" w:rsidRPr="003D520D" w:rsidRDefault="00B9240C" w:rsidP="00D707AB">
      <w:pPr>
        <w:spacing w:after="0"/>
        <w:rPr>
          <w:szCs w:val="22"/>
          <w:lang w:val="cs-CZ"/>
        </w:rPr>
      </w:pPr>
      <w:proofErr w:type="spellStart"/>
      <w:r w:rsidRPr="003D520D">
        <w:rPr>
          <w:szCs w:val="22"/>
          <w:lang w:val="cs-CZ"/>
        </w:rPr>
        <w:t>Regorafenib</w:t>
      </w:r>
      <w:proofErr w:type="spellEnd"/>
      <w:r w:rsidRPr="003D520D">
        <w:rPr>
          <w:szCs w:val="22"/>
          <w:lang w:val="cs-CZ"/>
        </w:rPr>
        <w:t xml:space="preserve"> je eliminován hlavně v játrech.</w:t>
      </w:r>
    </w:p>
    <w:p w14:paraId="7D4574ED" w14:textId="77777777" w:rsidR="00356F6E" w:rsidRPr="003D520D" w:rsidRDefault="00356F6E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>V klinických studiích nebyly pozorovány žádné významné rozdíly v</w:t>
      </w:r>
      <w:r w:rsidR="00B9240C" w:rsidRPr="003D520D">
        <w:rPr>
          <w:szCs w:val="22"/>
          <w:lang w:val="cs-CZ"/>
        </w:rPr>
        <w:t> expozici,</w:t>
      </w:r>
      <w:r w:rsidRPr="003D520D">
        <w:rPr>
          <w:szCs w:val="22"/>
          <w:lang w:val="cs-CZ"/>
        </w:rPr>
        <w:t xml:space="preserve"> bezpečnosti </w:t>
      </w:r>
      <w:r w:rsidR="008822C5" w:rsidRPr="003D520D">
        <w:rPr>
          <w:szCs w:val="22"/>
          <w:lang w:val="cs-CZ"/>
        </w:rPr>
        <w:t xml:space="preserve">nebo </w:t>
      </w:r>
      <w:r w:rsidRPr="003D520D">
        <w:rPr>
          <w:szCs w:val="22"/>
          <w:lang w:val="cs-CZ"/>
        </w:rPr>
        <w:t xml:space="preserve">účinnosti </w:t>
      </w:r>
      <w:r w:rsidR="006A4129" w:rsidRPr="003D520D">
        <w:rPr>
          <w:szCs w:val="22"/>
          <w:lang w:val="cs-CZ"/>
        </w:rPr>
        <w:t>mezi</w:t>
      </w:r>
      <w:r w:rsidRPr="003D520D">
        <w:rPr>
          <w:szCs w:val="22"/>
          <w:lang w:val="cs-CZ"/>
        </w:rPr>
        <w:t xml:space="preserve"> pacient</w:t>
      </w:r>
      <w:r w:rsidR="006A4129" w:rsidRPr="003D520D">
        <w:rPr>
          <w:szCs w:val="22"/>
          <w:lang w:val="cs-CZ"/>
        </w:rPr>
        <w:t>y</w:t>
      </w:r>
      <w:r w:rsidRPr="003D520D">
        <w:rPr>
          <w:szCs w:val="22"/>
          <w:lang w:val="cs-CZ"/>
        </w:rPr>
        <w:t xml:space="preserve"> s </w:t>
      </w:r>
      <w:r w:rsidR="00DB3F49">
        <w:rPr>
          <w:szCs w:val="22"/>
          <w:lang w:val="cs-CZ"/>
        </w:rPr>
        <w:t>lehkou</w:t>
      </w:r>
      <w:r w:rsidRPr="003D520D">
        <w:rPr>
          <w:szCs w:val="22"/>
          <w:lang w:val="cs-CZ"/>
        </w:rPr>
        <w:t xml:space="preserve"> poruchou funkce jater (</w:t>
      </w:r>
      <w:proofErr w:type="spellStart"/>
      <w:r w:rsidRPr="003D520D">
        <w:rPr>
          <w:szCs w:val="22"/>
          <w:lang w:val="cs-CZ"/>
        </w:rPr>
        <w:t>Child</w:t>
      </w:r>
      <w:r w:rsidR="003D678F" w:rsidRPr="003D520D">
        <w:rPr>
          <w:szCs w:val="22"/>
          <w:lang w:val="cs-CZ"/>
        </w:rPr>
        <w:noBreakHyphen/>
      </w:r>
      <w:r w:rsidRPr="003D520D">
        <w:rPr>
          <w:szCs w:val="22"/>
          <w:lang w:val="cs-CZ"/>
        </w:rPr>
        <w:t>Pugh</w:t>
      </w:r>
      <w:proofErr w:type="spellEnd"/>
      <w:r w:rsidR="003D678F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 xml:space="preserve">A) a </w:t>
      </w:r>
      <w:r w:rsidR="006A4129" w:rsidRPr="003D520D">
        <w:rPr>
          <w:szCs w:val="22"/>
          <w:lang w:val="cs-CZ"/>
        </w:rPr>
        <w:t xml:space="preserve">pacienty s </w:t>
      </w:r>
      <w:r w:rsidRPr="003D520D">
        <w:rPr>
          <w:szCs w:val="22"/>
          <w:lang w:val="cs-CZ"/>
        </w:rPr>
        <w:t>normální funkcí jater. U pacientů s</w:t>
      </w:r>
      <w:r w:rsidR="004A376A" w:rsidRPr="003D520D">
        <w:rPr>
          <w:szCs w:val="22"/>
          <w:lang w:val="cs-CZ"/>
        </w:rPr>
        <w:t> </w:t>
      </w:r>
      <w:r w:rsidR="00DB3F49">
        <w:rPr>
          <w:szCs w:val="22"/>
          <w:lang w:val="cs-CZ"/>
        </w:rPr>
        <w:t>lehkou</w:t>
      </w:r>
      <w:r w:rsidR="004A376A" w:rsidRPr="003D520D">
        <w:rPr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 xml:space="preserve">poruchou funkce jater není nutná žádná úprava dávkování. Protože jsou k dispozici pouze omezené údaje pro pacienty se středně </w:t>
      </w:r>
      <w:r w:rsidR="00DB3F49">
        <w:rPr>
          <w:szCs w:val="22"/>
          <w:lang w:val="cs-CZ"/>
        </w:rPr>
        <w:t>těžkou</w:t>
      </w:r>
      <w:r w:rsidRPr="003D520D">
        <w:rPr>
          <w:szCs w:val="22"/>
          <w:lang w:val="cs-CZ"/>
        </w:rPr>
        <w:t xml:space="preserve"> poruchou funkce jater (</w:t>
      </w:r>
      <w:proofErr w:type="spellStart"/>
      <w:r w:rsidRPr="003D520D">
        <w:rPr>
          <w:szCs w:val="22"/>
          <w:lang w:val="cs-CZ"/>
        </w:rPr>
        <w:t>Child</w:t>
      </w:r>
      <w:r w:rsidR="003D678F" w:rsidRPr="003D520D">
        <w:rPr>
          <w:szCs w:val="22"/>
          <w:lang w:val="cs-CZ"/>
        </w:rPr>
        <w:noBreakHyphen/>
      </w:r>
      <w:r w:rsidRPr="003D520D">
        <w:rPr>
          <w:szCs w:val="22"/>
          <w:lang w:val="cs-CZ"/>
        </w:rPr>
        <w:t>Pugh</w:t>
      </w:r>
      <w:proofErr w:type="spellEnd"/>
      <w:r w:rsidR="003D678F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B), není možné poskytnout doporučení pro dávkování. U těchto pacientů je doporučeno pečlivé sledování celkové bezpečnosti (viz bod</w:t>
      </w:r>
      <w:r w:rsidR="00B9240C" w:rsidRPr="003D520D">
        <w:rPr>
          <w:szCs w:val="22"/>
          <w:lang w:val="cs-CZ"/>
        </w:rPr>
        <w:t>y</w:t>
      </w:r>
      <w:r w:rsidR="00546092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4.4</w:t>
      </w:r>
      <w:r w:rsidR="00B9240C" w:rsidRPr="003D520D">
        <w:rPr>
          <w:szCs w:val="22"/>
          <w:lang w:val="cs-CZ"/>
        </w:rPr>
        <w:t xml:space="preserve"> a 5.2</w:t>
      </w:r>
      <w:r w:rsidRPr="003D520D">
        <w:rPr>
          <w:szCs w:val="22"/>
          <w:lang w:val="cs-CZ"/>
        </w:rPr>
        <w:t>).</w:t>
      </w:r>
    </w:p>
    <w:p w14:paraId="7D4574EE" w14:textId="77777777" w:rsidR="007D65CB" w:rsidRPr="003D520D" w:rsidRDefault="007D65CB" w:rsidP="00D707AB">
      <w:pPr>
        <w:spacing w:after="0"/>
        <w:rPr>
          <w:szCs w:val="22"/>
          <w:lang w:val="cs-CZ"/>
        </w:rPr>
      </w:pPr>
    </w:p>
    <w:p w14:paraId="7D4574EF" w14:textId="77777777" w:rsidR="001C6734" w:rsidRDefault="00B9240C" w:rsidP="001C6734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Přípravek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není doporučován u pacientů s</w:t>
      </w:r>
      <w:r w:rsidR="00DB3F49">
        <w:rPr>
          <w:szCs w:val="22"/>
          <w:lang w:val="cs-CZ"/>
        </w:rPr>
        <w:t xml:space="preserve"> těžkou</w:t>
      </w:r>
      <w:r w:rsidR="003D678F" w:rsidRPr="003D520D">
        <w:rPr>
          <w:szCs w:val="22"/>
          <w:lang w:val="cs-CZ"/>
        </w:rPr>
        <w:t xml:space="preserve"> poruchou funkce jater (</w:t>
      </w:r>
      <w:proofErr w:type="spellStart"/>
      <w:r w:rsidR="003D678F" w:rsidRPr="003D520D">
        <w:rPr>
          <w:szCs w:val="22"/>
          <w:lang w:val="cs-CZ"/>
        </w:rPr>
        <w:t>Child</w:t>
      </w:r>
      <w:r w:rsidR="003D678F" w:rsidRPr="003D520D">
        <w:rPr>
          <w:szCs w:val="22"/>
          <w:lang w:val="cs-CZ"/>
        </w:rPr>
        <w:noBreakHyphen/>
        <w:t>Pugh</w:t>
      </w:r>
      <w:proofErr w:type="spellEnd"/>
      <w:r w:rsidR="003D678F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 xml:space="preserve">C), protože u této populace nebyl </w:t>
      </w:r>
      <w:r w:rsidR="005A746F" w:rsidRPr="003D520D">
        <w:rPr>
          <w:szCs w:val="22"/>
          <w:lang w:val="cs-CZ"/>
        </w:rPr>
        <w:t xml:space="preserve">přípravek </w:t>
      </w:r>
      <w:proofErr w:type="spellStart"/>
      <w:r w:rsidR="005A746F" w:rsidRPr="003D520D">
        <w:rPr>
          <w:szCs w:val="22"/>
          <w:lang w:val="cs-CZ"/>
        </w:rPr>
        <w:t>Stivarga</w:t>
      </w:r>
      <w:proofErr w:type="spellEnd"/>
      <w:r w:rsidR="005A746F" w:rsidRPr="003D520D">
        <w:rPr>
          <w:szCs w:val="22"/>
          <w:lang w:val="cs-CZ"/>
        </w:rPr>
        <w:t xml:space="preserve"> </w:t>
      </w:r>
      <w:r w:rsidR="00037914">
        <w:rPr>
          <w:szCs w:val="22"/>
          <w:lang w:val="cs-CZ"/>
        </w:rPr>
        <w:t>studován</w:t>
      </w:r>
      <w:r w:rsidRPr="003D520D">
        <w:rPr>
          <w:szCs w:val="22"/>
          <w:lang w:val="cs-CZ"/>
        </w:rPr>
        <w:t>.</w:t>
      </w:r>
    </w:p>
    <w:p w14:paraId="7D4574F0" w14:textId="77777777" w:rsidR="001C6734" w:rsidRDefault="001C6734" w:rsidP="001C6734">
      <w:pPr>
        <w:spacing w:after="0"/>
        <w:rPr>
          <w:szCs w:val="22"/>
          <w:lang w:val="cs-CZ"/>
        </w:rPr>
      </w:pPr>
    </w:p>
    <w:p w14:paraId="7D4574F1" w14:textId="77777777" w:rsidR="00356F6E" w:rsidRPr="001C6734" w:rsidRDefault="00356F6E" w:rsidP="001C6734">
      <w:pPr>
        <w:spacing w:after="0"/>
        <w:rPr>
          <w:szCs w:val="22"/>
          <w:lang w:val="cs-CZ"/>
        </w:rPr>
      </w:pPr>
      <w:r w:rsidRPr="001C6734">
        <w:rPr>
          <w:i/>
          <w:iCs/>
          <w:szCs w:val="22"/>
          <w:lang w:val="cs-CZ"/>
        </w:rPr>
        <w:t>Porucha funkce ledvin</w:t>
      </w:r>
    </w:p>
    <w:p w14:paraId="7D4574F2" w14:textId="77777777" w:rsidR="001C6734" w:rsidRDefault="00F91537" w:rsidP="001C6734">
      <w:pPr>
        <w:spacing w:after="0"/>
        <w:rPr>
          <w:szCs w:val="22"/>
          <w:lang w:val="cs-CZ"/>
        </w:rPr>
      </w:pPr>
      <w:r>
        <w:rPr>
          <w:szCs w:val="22"/>
          <w:lang w:val="cs-CZ"/>
        </w:rPr>
        <w:t xml:space="preserve">Dostupné klinické údaje naznačují podobnou expozici </w:t>
      </w:r>
      <w:proofErr w:type="spellStart"/>
      <w:r>
        <w:rPr>
          <w:szCs w:val="22"/>
          <w:lang w:val="cs-CZ"/>
        </w:rPr>
        <w:t>regorafenibu</w:t>
      </w:r>
      <w:proofErr w:type="spellEnd"/>
      <w:r>
        <w:rPr>
          <w:szCs w:val="22"/>
          <w:lang w:val="cs-CZ"/>
        </w:rPr>
        <w:t xml:space="preserve"> a jeho </w:t>
      </w:r>
      <w:proofErr w:type="gramStart"/>
      <w:r>
        <w:rPr>
          <w:szCs w:val="22"/>
          <w:lang w:val="cs-CZ"/>
        </w:rPr>
        <w:t>metabolitům  M</w:t>
      </w:r>
      <w:proofErr w:type="gramEnd"/>
      <w:r>
        <w:rPr>
          <w:szCs w:val="22"/>
          <w:lang w:val="cs-CZ"/>
        </w:rPr>
        <w:t>-2 a M-5 u pacientů s </w:t>
      </w:r>
      <w:r w:rsidR="00DB3F49">
        <w:rPr>
          <w:szCs w:val="22"/>
          <w:lang w:val="cs-CZ"/>
        </w:rPr>
        <w:t>lehkou</w:t>
      </w:r>
      <w:r>
        <w:rPr>
          <w:szCs w:val="22"/>
          <w:lang w:val="cs-CZ"/>
        </w:rPr>
        <w:t xml:space="preserve">, středně </w:t>
      </w:r>
      <w:r w:rsidR="00DB3F49">
        <w:rPr>
          <w:szCs w:val="22"/>
          <w:lang w:val="cs-CZ"/>
        </w:rPr>
        <w:t>těžkou</w:t>
      </w:r>
      <w:r>
        <w:rPr>
          <w:szCs w:val="22"/>
          <w:lang w:val="cs-CZ"/>
        </w:rPr>
        <w:t xml:space="preserve"> nebo </w:t>
      </w:r>
      <w:r w:rsidR="00DB3F49">
        <w:rPr>
          <w:szCs w:val="22"/>
          <w:lang w:val="cs-CZ"/>
        </w:rPr>
        <w:t>těžkou</w:t>
      </w:r>
      <w:r>
        <w:rPr>
          <w:szCs w:val="22"/>
          <w:lang w:val="cs-CZ"/>
        </w:rPr>
        <w:t xml:space="preserve"> poruchou funkce ledvin ve srovnání s pacienty s normální funkcí ledvin. </w:t>
      </w:r>
      <w:r w:rsidR="00356F6E" w:rsidRPr="003D520D">
        <w:rPr>
          <w:szCs w:val="22"/>
          <w:lang w:val="cs-CZ"/>
        </w:rPr>
        <w:t>U pacientů s</w:t>
      </w:r>
      <w:r>
        <w:rPr>
          <w:szCs w:val="22"/>
          <w:lang w:val="cs-CZ"/>
        </w:rPr>
        <w:t> </w:t>
      </w:r>
      <w:r w:rsidR="00DB3F49">
        <w:rPr>
          <w:szCs w:val="22"/>
          <w:lang w:val="cs-CZ"/>
        </w:rPr>
        <w:t>lehkou</w:t>
      </w:r>
      <w:r>
        <w:rPr>
          <w:szCs w:val="22"/>
          <w:lang w:val="cs-CZ"/>
        </w:rPr>
        <w:t>,</w:t>
      </w:r>
      <w:r w:rsidR="00356F6E" w:rsidRPr="003D520D">
        <w:rPr>
          <w:szCs w:val="22"/>
          <w:lang w:val="cs-CZ"/>
        </w:rPr>
        <w:t xml:space="preserve"> středně </w:t>
      </w:r>
      <w:r w:rsidR="00DB3F49">
        <w:rPr>
          <w:szCs w:val="22"/>
          <w:lang w:val="cs-CZ"/>
        </w:rPr>
        <w:t>těžkou</w:t>
      </w:r>
      <w:r>
        <w:rPr>
          <w:szCs w:val="22"/>
          <w:lang w:val="cs-CZ"/>
        </w:rPr>
        <w:t xml:space="preserve"> nebo </w:t>
      </w:r>
      <w:r w:rsidR="00DB3F49">
        <w:rPr>
          <w:szCs w:val="22"/>
          <w:lang w:val="cs-CZ"/>
        </w:rPr>
        <w:t>těžkou</w:t>
      </w:r>
      <w:r w:rsidR="00356F6E" w:rsidRPr="003D520D">
        <w:rPr>
          <w:szCs w:val="22"/>
          <w:lang w:val="cs-CZ"/>
        </w:rPr>
        <w:t xml:space="preserve"> poruchou funkce ledvin není nutná žádná úprava dávkování (viz také bod</w:t>
      </w:r>
      <w:r w:rsidR="00546092" w:rsidRPr="003D520D">
        <w:rPr>
          <w:szCs w:val="22"/>
          <w:lang w:val="cs-CZ"/>
        </w:rPr>
        <w:t> </w:t>
      </w:r>
      <w:r w:rsidR="00356F6E" w:rsidRPr="003D520D">
        <w:rPr>
          <w:szCs w:val="22"/>
          <w:lang w:val="cs-CZ"/>
        </w:rPr>
        <w:t xml:space="preserve">5.2). </w:t>
      </w:r>
    </w:p>
    <w:p w14:paraId="7D4574F3" w14:textId="77777777" w:rsidR="001C6734" w:rsidRDefault="001C6734" w:rsidP="001C6734">
      <w:pPr>
        <w:spacing w:after="0"/>
        <w:rPr>
          <w:szCs w:val="22"/>
          <w:lang w:val="cs-CZ"/>
        </w:rPr>
      </w:pPr>
    </w:p>
    <w:p w14:paraId="7D4574F4" w14:textId="77777777" w:rsidR="00356F6E" w:rsidRPr="001C6734" w:rsidRDefault="00356F6E" w:rsidP="001C6734">
      <w:pPr>
        <w:spacing w:after="0"/>
        <w:rPr>
          <w:szCs w:val="22"/>
          <w:lang w:val="cs-CZ"/>
        </w:rPr>
      </w:pPr>
      <w:r w:rsidRPr="003D520D">
        <w:rPr>
          <w:i/>
          <w:iCs/>
          <w:szCs w:val="22"/>
          <w:lang w:val="cs-CZ"/>
        </w:rPr>
        <w:t>Starší populace</w:t>
      </w:r>
    </w:p>
    <w:p w14:paraId="7D4574F5" w14:textId="77777777" w:rsidR="001C6734" w:rsidRDefault="00356F6E" w:rsidP="001C6734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>V klinických studiích nebyly pozorovány žádné významné rozdíly v</w:t>
      </w:r>
      <w:r w:rsidR="005524A8" w:rsidRPr="003D520D">
        <w:rPr>
          <w:szCs w:val="22"/>
          <w:lang w:val="cs-CZ"/>
        </w:rPr>
        <w:t> expozici,</w:t>
      </w:r>
      <w:r w:rsidRPr="003D520D">
        <w:rPr>
          <w:szCs w:val="22"/>
          <w:lang w:val="cs-CZ"/>
        </w:rPr>
        <w:t xml:space="preserve"> bezpečnosti</w:t>
      </w:r>
      <w:r w:rsidR="005524A8" w:rsidRPr="003D520D">
        <w:rPr>
          <w:szCs w:val="22"/>
          <w:lang w:val="cs-CZ"/>
        </w:rPr>
        <w:t xml:space="preserve"> nebo</w:t>
      </w:r>
      <w:r w:rsidRPr="003D520D">
        <w:rPr>
          <w:szCs w:val="22"/>
          <w:lang w:val="cs-CZ"/>
        </w:rPr>
        <w:t xml:space="preserve"> účinnosti mezi staršími (65</w:t>
      </w:r>
      <w:r w:rsidR="00546092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let a více) a mlad</w:t>
      </w:r>
      <w:r w:rsidR="00E818A5" w:rsidRPr="003D520D">
        <w:rPr>
          <w:szCs w:val="22"/>
          <w:lang w:val="cs-CZ"/>
        </w:rPr>
        <w:t>šími</w:t>
      </w:r>
      <w:r w:rsidRPr="003D520D">
        <w:rPr>
          <w:szCs w:val="22"/>
          <w:lang w:val="cs-CZ"/>
        </w:rPr>
        <w:t xml:space="preserve"> pacienty</w:t>
      </w:r>
      <w:r w:rsidR="007D65CB" w:rsidRPr="003D520D">
        <w:rPr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>(viz také bod</w:t>
      </w:r>
      <w:r w:rsidR="00546092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5.2).</w:t>
      </w:r>
    </w:p>
    <w:p w14:paraId="7D4574F6" w14:textId="77777777" w:rsidR="001C6734" w:rsidRDefault="001C6734" w:rsidP="001C6734">
      <w:pPr>
        <w:spacing w:after="0"/>
        <w:rPr>
          <w:szCs w:val="22"/>
          <w:lang w:val="cs-CZ"/>
        </w:rPr>
      </w:pPr>
    </w:p>
    <w:p w14:paraId="7D4574F7" w14:textId="77777777" w:rsidR="00356F6E" w:rsidRPr="001C6734" w:rsidRDefault="00356F6E" w:rsidP="001C6734">
      <w:pPr>
        <w:spacing w:after="0"/>
        <w:rPr>
          <w:szCs w:val="22"/>
          <w:lang w:val="cs-CZ"/>
        </w:rPr>
      </w:pPr>
      <w:r w:rsidRPr="003D520D">
        <w:rPr>
          <w:i/>
          <w:iCs/>
          <w:szCs w:val="22"/>
          <w:lang w:val="cs-CZ"/>
        </w:rPr>
        <w:lastRenderedPageBreak/>
        <w:t>Pohlaví</w:t>
      </w:r>
    </w:p>
    <w:p w14:paraId="7D4574F8" w14:textId="77777777" w:rsidR="001C6734" w:rsidRDefault="00356F6E" w:rsidP="001C6734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>V klinických studiích nebyly pozorovány žádné významné rozdíly v</w:t>
      </w:r>
      <w:r w:rsidR="005524A8" w:rsidRPr="003D520D">
        <w:rPr>
          <w:szCs w:val="22"/>
          <w:lang w:val="cs-CZ" w:eastAsia="en-US"/>
        </w:rPr>
        <w:t> expozici,</w:t>
      </w:r>
      <w:r w:rsidRPr="003D520D">
        <w:rPr>
          <w:szCs w:val="22"/>
          <w:lang w:val="cs-CZ" w:eastAsia="en-US"/>
        </w:rPr>
        <w:t xml:space="preserve"> bezpečnosti </w:t>
      </w:r>
      <w:r w:rsidR="005524A8" w:rsidRPr="003D520D">
        <w:rPr>
          <w:szCs w:val="22"/>
          <w:lang w:val="cs-CZ" w:eastAsia="en-US"/>
        </w:rPr>
        <w:t>nebo</w:t>
      </w:r>
      <w:r w:rsidRPr="003D520D">
        <w:rPr>
          <w:szCs w:val="22"/>
          <w:lang w:val="cs-CZ" w:eastAsia="en-US"/>
        </w:rPr>
        <w:t xml:space="preserve"> účinnosti mezi muži a ženami. V závislosti na pohlaví není nutná žádná úprava dávkování (viz také bod</w:t>
      </w:r>
      <w:r w:rsidR="00546092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>5.2).</w:t>
      </w:r>
    </w:p>
    <w:p w14:paraId="7D4574F9" w14:textId="77777777" w:rsidR="001C6734" w:rsidRDefault="001C6734" w:rsidP="001C6734">
      <w:pPr>
        <w:spacing w:after="0"/>
        <w:rPr>
          <w:szCs w:val="22"/>
          <w:lang w:val="cs-CZ" w:eastAsia="en-US"/>
        </w:rPr>
      </w:pPr>
    </w:p>
    <w:p w14:paraId="7D4574FA" w14:textId="77777777" w:rsidR="00356F6E" w:rsidRPr="001C6734" w:rsidRDefault="00356F6E" w:rsidP="001C6734">
      <w:pPr>
        <w:spacing w:after="0"/>
        <w:rPr>
          <w:szCs w:val="22"/>
          <w:lang w:val="cs-CZ"/>
        </w:rPr>
      </w:pPr>
      <w:r w:rsidRPr="003D520D">
        <w:rPr>
          <w:i/>
          <w:iCs/>
          <w:szCs w:val="22"/>
          <w:lang w:val="cs-CZ"/>
        </w:rPr>
        <w:t>Etnické rozdíly</w:t>
      </w:r>
    </w:p>
    <w:p w14:paraId="7D4574FB" w14:textId="77777777" w:rsidR="00997D8C" w:rsidRPr="003D520D" w:rsidRDefault="00356F6E" w:rsidP="00D707AB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>V klinických studiích nebyly pozorovány žádné významné rozdíly v</w:t>
      </w:r>
      <w:r w:rsidR="005524A8" w:rsidRPr="003D520D">
        <w:rPr>
          <w:szCs w:val="22"/>
          <w:lang w:val="cs-CZ" w:eastAsia="en-US"/>
        </w:rPr>
        <w:t> expozici</w:t>
      </w:r>
      <w:r w:rsidRPr="003D520D">
        <w:rPr>
          <w:szCs w:val="22"/>
          <w:lang w:val="cs-CZ" w:eastAsia="en-US"/>
        </w:rPr>
        <w:t xml:space="preserve"> </w:t>
      </w:r>
      <w:r w:rsidR="00E818A5" w:rsidRPr="003D520D">
        <w:rPr>
          <w:szCs w:val="22"/>
          <w:lang w:val="cs-CZ" w:eastAsia="en-US"/>
        </w:rPr>
        <w:t>nebo</w:t>
      </w:r>
      <w:r w:rsidRPr="003D520D">
        <w:rPr>
          <w:szCs w:val="22"/>
          <w:lang w:val="cs-CZ" w:eastAsia="en-US"/>
        </w:rPr>
        <w:t xml:space="preserve"> účinnosti mezi pacienty různých etnických skupin. </w:t>
      </w:r>
      <w:r w:rsidR="00997D8C" w:rsidRPr="003D520D">
        <w:rPr>
          <w:szCs w:val="22"/>
          <w:lang w:val="cs-CZ" w:eastAsia="en-US"/>
        </w:rPr>
        <w:t>Vyšší incidence kožních reakcí ruka-noha (hand-</w:t>
      </w:r>
      <w:proofErr w:type="spellStart"/>
      <w:r w:rsidR="00997D8C" w:rsidRPr="003D520D">
        <w:rPr>
          <w:szCs w:val="22"/>
          <w:lang w:val="cs-CZ" w:eastAsia="en-US"/>
        </w:rPr>
        <w:t>foot</w:t>
      </w:r>
      <w:proofErr w:type="spellEnd"/>
      <w:r w:rsidR="00997D8C" w:rsidRPr="003D520D">
        <w:rPr>
          <w:szCs w:val="22"/>
          <w:lang w:val="cs-CZ" w:eastAsia="en-US"/>
        </w:rPr>
        <w:t xml:space="preserve"> skin </w:t>
      </w:r>
      <w:proofErr w:type="spellStart"/>
      <w:r w:rsidR="00997D8C" w:rsidRPr="003D520D">
        <w:rPr>
          <w:szCs w:val="22"/>
          <w:lang w:val="cs-CZ" w:eastAsia="en-US"/>
        </w:rPr>
        <w:t>reaction</w:t>
      </w:r>
      <w:proofErr w:type="spellEnd"/>
      <w:r w:rsidR="00997D8C" w:rsidRPr="003D520D">
        <w:rPr>
          <w:szCs w:val="22"/>
          <w:lang w:val="cs-CZ" w:eastAsia="en-US"/>
        </w:rPr>
        <w:t xml:space="preserve">, HFSR) / syndrom </w:t>
      </w:r>
      <w:proofErr w:type="spellStart"/>
      <w:r w:rsidR="00997D8C" w:rsidRPr="003D520D">
        <w:rPr>
          <w:szCs w:val="22"/>
          <w:lang w:val="cs-CZ" w:eastAsia="en-US"/>
        </w:rPr>
        <w:t>palmoplantární</w:t>
      </w:r>
      <w:proofErr w:type="spellEnd"/>
      <w:r w:rsidR="00997D8C" w:rsidRPr="003D520D">
        <w:rPr>
          <w:szCs w:val="22"/>
          <w:lang w:val="cs-CZ" w:eastAsia="en-US"/>
        </w:rPr>
        <w:t xml:space="preserve"> </w:t>
      </w:r>
      <w:proofErr w:type="spellStart"/>
      <w:r w:rsidR="00997D8C" w:rsidRPr="003D520D">
        <w:rPr>
          <w:szCs w:val="22"/>
          <w:lang w:val="cs-CZ" w:eastAsia="en-US"/>
        </w:rPr>
        <w:t>erytrodysestézie</w:t>
      </w:r>
      <w:proofErr w:type="spellEnd"/>
      <w:r w:rsidR="00997D8C" w:rsidRPr="003D520D">
        <w:rPr>
          <w:szCs w:val="22"/>
          <w:lang w:val="cs-CZ" w:eastAsia="en-US"/>
        </w:rPr>
        <w:t xml:space="preserve">, závažných abnormalit funkčních jaterních testů a </w:t>
      </w:r>
      <w:proofErr w:type="spellStart"/>
      <w:r w:rsidR="00997D8C" w:rsidRPr="003D520D">
        <w:rPr>
          <w:szCs w:val="22"/>
          <w:lang w:val="cs-CZ" w:eastAsia="en-US"/>
        </w:rPr>
        <w:t>hepatální</w:t>
      </w:r>
      <w:proofErr w:type="spellEnd"/>
      <w:r w:rsidR="00997D8C" w:rsidRPr="003D520D">
        <w:rPr>
          <w:szCs w:val="22"/>
          <w:lang w:val="cs-CZ" w:eastAsia="en-US"/>
        </w:rPr>
        <w:t xml:space="preserve"> dysfunkce byla pozorována u asijských (zvláště japonských) pacientů léčených přípravkem </w:t>
      </w:r>
      <w:proofErr w:type="spellStart"/>
      <w:r w:rsidR="00997D8C" w:rsidRPr="003D520D">
        <w:rPr>
          <w:szCs w:val="22"/>
          <w:lang w:val="cs-CZ" w:eastAsia="en-US"/>
        </w:rPr>
        <w:t>Stivarga</w:t>
      </w:r>
      <w:proofErr w:type="spellEnd"/>
      <w:r w:rsidR="00997D8C" w:rsidRPr="003D520D">
        <w:rPr>
          <w:szCs w:val="22"/>
          <w:lang w:val="cs-CZ" w:eastAsia="en-US"/>
        </w:rPr>
        <w:t xml:space="preserve"> v porovnání s bělošskou populací. Asijští pacien</w:t>
      </w:r>
      <w:r w:rsidR="002529D6" w:rsidRPr="003D520D">
        <w:rPr>
          <w:szCs w:val="22"/>
          <w:lang w:val="cs-CZ" w:eastAsia="en-US"/>
        </w:rPr>
        <w:t>t</w:t>
      </w:r>
      <w:r w:rsidR="00997D8C" w:rsidRPr="003D520D">
        <w:rPr>
          <w:szCs w:val="22"/>
          <w:lang w:val="cs-CZ" w:eastAsia="en-US"/>
        </w:rPr>
        <w:t xml:space="preserve">i léčení přípravkem </w:t>
      </w:r>
      <w:proofErr w:type="spellStart"/>
      <w:r w:rsidR="00997D8C" w:rsidRPr="003D520D">
        <w:rPr>
          <w:szCs w:val="22"/>
          <w:lang w:val="cs-CZ" w:eastAsia="en-US"/>
        </w:rPr>
        <w:t>Stivarga</w:t>
      </w:r>
      <w:proofErr w:type="spellEnd"/>
      <w:r w:rsidR="00997D8C" w:rsidRPr="003D520D">
        <w:rPr>
          <w:szCs w:val="22"/>
          <w:lang w:val="cs-CZ" w:eastAsia="en-US"/>
        </w:rPr>
        <w:t xml:space="preserve"> v klinických studiích byli primárně z </w:t>
      </w:r>
      <w:r w:rsidR="00971F27" w:rsidRPr="003D520D">
        <w:rPr>
          <w:szCs w:val="22"/>
          <w:lang w:val="cs-CZ" w:eastAsia="en-US"/>
        </w:rPr>
        <w:t>v</w:t>
      </w:r>
      <w:r w:rsidR="00997D8C" w:rsidRPr="003D520D">
        <w:rPr>
          <w:szCs w:val="22"/>
          <w:lang w:val="cs-CZ" w:eastAsia="en-US"/>
        </w:rPr>
        <w:t>ýchodní Asie (přibližně 90 %).</w:t>
      </w:r>
    </w:p>
    <w:p w14:paraId="7D4574FC" w14:textId="77777777" w:rsidR="00356F6E" w:rsidRPr="003D520D" w:rsidRDefault="005524A8" w:rsidP="00D707AB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 xml:space="preserve">K dispozici jsou omezené údaje u </w:t>
      </w:r>
      <w:proofErr w:type="spellStart"/>
      <w:r w:rsidRPr="003D520D">
        <w:rPr>
          <w:szCs w:val="22"/>
          <w:lang w:val="cs-CZ" w:eastAsia="en-US"/>
        </w:rPr>
        <w:t>regorafenibu</w:t>
      </w:r>
      <w:proofErr w:type="spellEnd"/>
      <w:r w:rsidRPr="003D520D">
        <w:rPr>
          <w:szCs w:val="22"/>
          <w:lang w:val="cs-CZ" w:eastAsia="en-US"/>
        </w:rPr>
        <w:t xml:space="preserve"> u </w:t>
      </w:r>
      <w:r w:rsidR="00500250" w:rsidRPr="003D520D">
        <w:rPr>
          <w:szCs w:val="22"/>
          <w:lang w:val="cs-CZ" w:eastAsia="en-US"/>
        </w:rPr>
        <w:t>černošské populace pacientů</w:t>
      </w:r>
      <w:r w:rsidRPr="003D520D">
        <w:rPr>
          <w:szCs w:val="22"/>
          <w:lang w:val="cs-CZ" w:eastAsia="en-US"/>
        </w:rPr>
        <w:t>.</w:t>
      </w:r>
    </w:p>
    <w:p w14:paraId="7D4574FD" w14:textId="77777777" w:rsidR="00997D8C" w:rsidRPr="003D520D" w:rsidRDefault="00997D8C" w:rsidP="00D707AB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 xml:space="preserve">V závislosti na etnickém původu není nutná </w:t>
      </w:r>
      <w:r w:rsidR="00FA786D" w:rsidRPr="003D520D">
        <w:rPr>
          <w:szCs w:val="22"/>
          <w:lang w:val="cs-CZ" w:eastAsia="en-US"/>
        </w:rPr>
        <w:t>žádná úprava dávkování (viz bod </w:t>
      </w:r>
      <w:r w:rsidRPr="003D520D">
        <w:rPr>
          <w:szCs w:val="22"/>
          <w:lang w:val="cs-CZ" w:eastAsia="en-US"/>
        </w:rPr>
        <w:t>5.2).</w:t>
      </w:r>
    </w:p>
    <w:p w14:paraId="7D4574FE" w14:textId="77777777" w:rsidR="005524A8" w:rsidRPr="003D520D" w:rsidRDefault="005524A8" w:rsidP="00D707AB">
      <w:pPr>
        <w:spacing w:after="0"/>
        <w:rPr>
          <w:szCs w:val="22"/>
          <w:lang w:val="cs-CZ" w:eastAsia="en-US"/>
        </w:rPr>
      </w:pPr>
    </w:p>
    <w:p w14:paraId="7D4574FF" w14:textId="77777777" w:rsidR="005524A8" w:rsidRPr="003D520D" w:rsidRDefault="005524A8" w:rsidP="00D707AB">
      <w:pPr>
        <w:spacing w:after="0"/>
        <w:rPr>
          <w:i/>
          <w:szCs w:val="22"/>
          <w:lang w:val="cs-CZ"/>
        </w:rPr>
      </w:pPr>
      <w:r w:rsidRPr="003D520D">
        <w:rPr>
          <w:i/>
          <w:szCs w:val="22"/>
          <w:lang w:val="cs-CZ"/>
        </w:rPr>
        <w:t>Pediatrická populace</w:t>
      </w:r>
    </w:p>
    <w:p w14:paraId="7D457500" w14:textId="3632455B" w:rsidR="005524A8" w:rsidRPr="003D520D" w:rsidRDefault="004C467E" w:rsidP="00D707AB">
      <w:pPr>
        <w:spacing w:after="0"/>
        <w:rPr>
          <w:szCs w:val="22"/>
          <w:lang w:val="cs-CZ"/>
        </w:rPr>
      </w:pPr>
      <w:r>
        <w:rPr>
          <w:szCs w:val="22"/>
          <w:lang w:val="cs-CZ"/>
        </w:rPr>
        <w:t>P</w:t>
      </w:r>
      <w:r w:rsidR="00907421" w:rsidRPr="003D520D">
        <w:rPr>
          <w:szCs w:val="22"/>
          <w:lang w:val="cs-CZ"/>
        </w:rPr>
        <w:t xml:space="preserve">oužití přípravku </w:t>
      </w:r>
      <w:proofErr w:type="spellStart"/>
      <w:r w:rsidR="00907421" w:rsidRPr="003D520D">
        <w:rPr>
          <w:szCs w:val="22"/>
          <w:lang w:val="cs-CZ"/>
        </w:rPr>
        <w:t>Stivarga</w:t>
      </w:r>
      <w:proofErr w:type="spellEnd"/>
      <w:r w:rsidR="00907421" w:rsidRPr="003D520D">
        <w:rPr>
          <w:szCs w:val="22"/>
          <w:lang w:val="cs-CZ"/>
        </w:rPr>
        <w:t xml:space="preserve"> u pediatrické populace v indikaci metastazujícího kolorektálního karcinomu </w:t>
      </w:r>
      <w:r>
        <w:rPr>
          <w:szCs w:val="22"/>
          <w:lang w:val="cs-CZ"/>
        </w:rPr>
        <w:t>není</w:t>
      </w:r>
      <w:r w:rsidR="00907421" w:rsidRPr="003D520D">
        <w:rPr>
          <w:szCs w:val="22"/>
          <w:lang w:val="cs-CZ"/>
        </w:rPr>
        <w:t xml:space="preserve"> relevantní</w:t>
      </w:r>
      <w:r w:rsidR="009C4EB2">
        <w:rPr>
          <w:szCs w:val="22"/>
          <w:lang w:val="cs-CZ"/>
        </w:rPr>
        <w:t>.</w:t>
      </w:r>
    </w:p>
    <w:p w14:paraId="7D457501" w14:textId="0688AEC6" w:rsidR="00500250" w:rsidRPr="003D520D" w:rsidRDefault="00500250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Bezpečnost a účinnost </w:t>
      </w:r>
      <w:proofErr w:type="spellStart"/>
      <w:r w:rsidRPr="003D520D">
        <w:rPr>
          <w:szCs w:val="22"/>
          <w:lang w:val="cs-CZ"/>
        </w:rPr>
        <w:t>regorafenibu</w:t>
      </w:r>
      <w:proofErr w:type="spellEnd"/>
      <w:r w:rsidRPr="003D520D">
        <w:rPr>
          <w:szCs w:val="22"/>
          <w:lang w:val="cs-CZ"/>
        </w:rPr>
        <w:t xml:space="preserve"> u pacientů ve věku do 18 let v indikaci gastrointestinálních </w:t>
      </w:r>
      <w:proofErr w:type="spellStart"/>
      <w:r w:rsidRPr="003D520D">
        <w:rPr>
          <w:szCs w:val="22"/>
          <w:lang w:val="cs-CZ"/>
        </w:rPr>
        <w:t>stromálních</w:t>
      </w:r>
      <w:proofErr w:type="spellEnd"/>
      <w:r w:rsidRPr="003D520D">
        <w:rPr>
          <w:szCs w:val="22"/>
          <w:lang w:val="cs-CZ"/>
        </w:rPr>
        <w:t xml:space="preserve"> nádorů (GIST) nebyl</w:t>
      </w:r>
      <w:r w:rsidR="00C77483">
        <w:rPr>
          <w:szCs w:val="22"/>
          <w:lang w:val="cs-CZ"/>
        </w:rPr>
        <w:t>y</w:t>
      </w:r>
      <w:r w:rsidRPr="003D520D">
        <w:rPr>
          <w:szCs w:val="22"/>
          <w:lang w:val="cs-CZ"/>
        </w:rPr>
        <w:t xml:space="preserve"> stanoven</w:t>
      </w:r>
      <w:r w:rsidR="003D2800">
        <w:rPr>
          <w:szCs w:val="22"/>
          <w:lang w:val="cs-CZ"/>
        </w:rPr>
        <w:t>y</w:t>
      </w:r>
      <w:r w:rsidRPr="003D520D">
        <w:rPr>
          <w:szCs w:val="22"/>
          <w:lang w:val="cs-CZ"/>
        </w:rPr>
        <w:t>. Nejsou dostupné žádné údaje.</w:t>
      </w:r>
    </w:p>
    <w:p w14:paraId="7D457502" w14:textId="033916AF" w:rsidR="001C6734" w:rsidRDefault="005049E9" w:rsidP="001C6734">
      <w:pPr>
        <w:spacing w:after="0"/>
        <w:rPr>
          <w:szCs w:val="22"/>
          <w:lang w:val="cs-CZ"/>
        </w:rPr>
      </w:pPr>
      <w:r>
        <w:rPr>
          <w:szCs w:val="22"/>
          <w:lang w:val="cs-CZ"/>
        </w:rPr>
        <w:t>P</w:t>
      </w:r>
      <w:r w:rsidR="004D199E" w:rsidRPr="003D520D">
        <w:rPr>
          <w:szCs w:val="22"/>
          <w:lang w:val="cs-CZ"/>
        </w:rPr>
        <w:t xml:space="preserve">oužití přípravku </w:t>
      </w:r>
      <w:proofErr w:type="spellStart"/>
      <w:r w:rsidR="004D199E" w:rsidRPr="003D520D">
        <w:rPr>
          <w:szCs w:val="22"/>
          <w:lang w:val="cs-CZ"/>
        </w:rPr>
        <w:t>Stivarga</w:t>
      </w:r>
      <w:proofErr w:type="spellEnd"/>
      <w:r w:rsidR="004D199E" w:rsidRPr="003D520D">
        <w:rPr>
          <w:szCs w:val="22"/>
          <w:lang w:val="cs-CZ"/>
        </w:rPr>
        <w:t xml:space="preserve"> u pediatrické populace v indikaci </w:t>
      </w:r>
      <w:r w:rsidR="004D199E">
        <w:rPr>
          <w:szCs w:val="22"/>
          <w:lang w:val="cs-CZ"/>
        </w:rPr>
        <w:t>hepatocelulárního karcinomu</w:t>
      </w:r>
      <w:r w:rsidR="004D199E" w:rsidRPr="003D520D">
        <w:rPr>
          <w:szCs w:val="22"/>
          <w:lang w:val="cs-CZ"/>
        </w:rPr>
        <w:t xml:space="preserve"> </w:t>
      </w:r>
      <w:r>
        <w:rPr>
          <w:szCs w:val="22"/>
          <w:lang w:val="cs-CZ"/>
        </w:rPr>
        <w:t>není</w:t>
      </w:r>
      <w:r w:rsidR="004D199E" w:rsidRPr="003D520D">
        <w:rPr>
          <w:szCs w:val="22"/>
          <w:lang w:val="cs-CZ"/>
        </w:rPr>
        <w:t xml:space="preserve"> relevantní</w:t>
      </w:r>
      <w:r w:rsidR="00602FBE">
        <w:rPr>
          <w:szCs w:val="22"/>
          <w:lang w:val="cs-CZ"/>
        </w:rPr>
        <w:t>.</w:t>
      </w:r>
    </w:p>
    <w:p w14:paraId="7D457503" w14:textId="77777777" w:rsidR="001C6734" w:rsidRDefault="001C6734" w:rsidP="001C6734">
      <w:pPr>
        <w:spacing w:after="0"/>
        <w:rPr>
          <w:szCs w:val="22"/>
          <w:lang w:val="cs-CZ"/>
        </w:rPr>
      </w:pPr>
    </w:p>
    <w:p w14:paraId="7D457504" w14:textId="77777777" w:rsidR="00356F6E" w:rsidRPr="001C6734" w:rsidRDefault="00356F6E" w:rsidP="001C6734">
      <w:pPr>
        <w:spacing w:after="0"/>
        <w:rPr>
          <w:iCs/>
          <w:szCs w:val="22"/>
          <w:lang w:val="cs-CZ"/>
        </w:rPr>
      </w:pPr>
      <w:r w:rsidRPr="001C6734">
        <w:rPr>
          <w:iCs/>
          <w:szCs w:val="22"/>
          <w:u w:val="single"/>
          <w:lang w:val="cs-CZ"/>
        </w:rPr>
        <w:t>Způsob podání</w:t>
      </w:r>
    </w:p>
    <w:p w14:paraId="7D457505" w14:textId="77777777" w:rsidR="00356F6E" w:rsidRPr="003D520D" w:rsidRDefault="005524A8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Přípravek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 je určen pro p</w:t>
      </w:r>
      <w:r w:rsidR="00356F6E" w:rsidRPr="003D520D">
        <w:rPr>
          <w:sz w:val="22"/>
          <w:szCs w:val="22"/>
          <w:lang w:val="cs-CZ"/>
        </w:rPr>
        <w:t>erorální podání.</w:t>
      </w:r>
    </w:p>
    <w:p w14:paraId="7D457506" w14:textId="77777777" w:rsidR="00907421" w:rsidRPr="003D520D" w:rsidRDefault="00907421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507" w14:textId="77777777" w:rsidR="001C6734" w:rsidRDefault="00907421" w:rsidP="001C6734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Přípravek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 </w:t>
      </w:r>
      <w:r w:rsidR="008B40B5">
        <w:rPr>
          <w:sz w:val="22"/>
          <w:szCs w:val="22"/>
          <w:lang w:val="cs-CZ"/>
        </w:rPr>
        <w:t xml:space="preserve">se </w:t>
      </w:r>
      <w:r w:rsidR="00037914">
        <w:rPr>
          <w:sz w:val="22"/>
          <w:szCs w:val="22"/>
          <w:lang w:val="cs-CZ"/>
        </w:rPr>
        <w:t>má</w:t>
      </w:r>
      <w:r w:rsidRPr="003D520D">
        <w:rPr>
          <w:sz w:val="22"/>
          <w:szCs w:val="22"/>
          <w:lang w:val="cs-CZ"/>
        </w:rPr>
        <w:t xml:space="preserve"> užív</w:t>
      </w:r>
      <w:r w:rsidR="008B40B5">
        <w:rPr>
          <w:sz w:val="22"/>
          <w:szCs w:val="22"/>
          <w:lang w:val="cs-CZ"/>
        </w:rPr>
        <w:t>at</w:t>
      </w:r>
      <w:r w:rsidRPr="003D520D">
        <w:rPr>
          <w:sz w:val="22"/>
          <w:szCs w:val="22"/>
          <w:lang w:val="cs-CZ"/>
        </w:rPr>
        <w:t xml:space="preserve"> ve stejnou denní dobu. Tablety se m</w:t>
      </w:r>
      <w:r w:rsidR="00037914">
        <w:rPr>
          <w:sz w:val="22"/>
          <w:szCs w:val="22"/>
          <w:lang w:val="cs-CZ"/>
        </w:rPr>
        <w:t>ají</w:t>
      </w:r>
      <w:r w:rsidRPr="003D520D">
        <w:rPr>
          <w:sz w:val="22"/>
          <w:szCs w:val="22"/>
          <w:lang w:val="cs-CZ"/>
        </w:rPr>
        <w:t xml:space="preserve"> polykat celé a zapíjet vodou po lehkém jídl</w:t>
      </w:r>
      <w:r w:rsidR="00F8031E" w:rsidRPr="003D520D">
        <w:rPr>
          <w:sz w:val="22"/>
          <w:szCs w:val="22"/>
          <w:lang w:val="cs-CZ"/>
        </w:rPr>
        <w:t>e, které neobsahuje více než 30 </w:t>
      </w:r>
      <w:r w:rsidRPr="003D520D">
        <w:rPr>
          <w:sz w:val="22"/>
          <w:szCs w:val="22"/>
          <w:lang w:val="cs-CZ"/>
        </w:rPr>
        <w:t>% tuku. Příkladem lehké</w:t>
      </w:r>
      <w:r w:rsidR="00F8031E" w:rsidRPr="003D520D">
        <w:rPr>
          <w:sz w:val="22"/>
          <w:szCs w:val="22"/>
          <w:lang w:val="cs-CZ"/>
        </w:rPr>
        <w:t>ho (nízkotučného) jídla je 1 porce cereálií (asi 30 g), 1 sklenice odstředěného mléka, 1 </w:t>
      </w:r>
      <w:r w:rsidRPr="003D520D">
        <w:rPr>
          <w:sz w:val="22"/>
          <w:szCs w:val="22"/>
          <w:lang w:val="cs-CZ"/>
        </w:rPr>
        <w:t xml:space="preserve">plátek </w:t>
      </w:r>
      <w:r w:rsidR="006240E5" w:rsidRPr="003D520D">
        <w:rPr>
          <w:sz w:val="22"/>
          <w:szCs w:val="22"/>
          <w:lang w:val="cs-CZ"/>
        </w:rPr>
        <w:t>toastového</w:t>
      </w:r>
      <w:r w:rsidRPr="003D520D">
        <w:rPr>
          <w:sz w:val="22"/>
          <w:szCs w:val="22"/>
          <w:lang w:val="cs-CZ"/>
        </w:rPr>
        <w:t xml:space="preserve"> chleba s džemem,</w:t>
      </w:r>
      <w:r w:rsidR="00F8031E" w:rsidRPr="003D520D">
        <w:rPr>
          <w:sz w:val="22"/>
          <w:szCs w:val="22"/>
          <w:lang w:val="cs-CZ"/>
        </w:rPr>
        <w:t xml:space="preserve"> 1 sklenice jablečného džusu a 1 šálek kávy nebo čaje (520 kalorií, 2 </w:t>
      </w:r>
      <w:r w:rsidRPr="003D520D">
        <w:rPr>
          <w:sz w:val="22"/>
          <w:szCs w:val="22"/>
          <w:lang w:val="cs-CZ"/>
        </w:rPr>
        <w:t>g tuku).</w:t>
      </w:r>
    </w:p>
    <w:p w14:paraId="7D457508" w14:textId="77777777" w:rsidR="001C6734" w:rsidRDefault="001C6734" w:rsidP="001C6734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509" w14:textId="77777777" w:rsidR="00356F6E" w:rsidRPr="001C6734" w:rsidRDefault="00356F6E" w:rsidP="0001612B">
      <w:pPr>
        <w:pStyle w:val="BayerBodyTextFull"/>
        <w:spacing w:before="0" w:after="0"/>
        <w:outlineLvl w:val="2"/>
        <w:rPr>
          <w:b/>
          <w:sz w:val="22"/>
          <w:szCs w:val="22"/>
          <w:lang w:val="cs-CZ"/>
        </w:rPr>
      </w:pPr>
      <w:r w:rsidRPr="001C6734">
        <w:rPr>
          <w:b/>
          <w:sz w:val="22"/>
          <w:szCs w:val="22"/>
          <w:lang w:val="cs-CZ"/>
        </w:rPr>
        <w:t>4.3</w:t>
      </w:r>
      <w:r w:rsidRPr="001C6734">
        <w:rPr>
          <w:b/>
          <w:sz w:val="22"/>
          <w:szCs w:val="22"/>
          <w:lang w:val="cs-CZ"/>
        </w:rPr>
        <w:tab/>
        <w:t>Kontraindikace</w:t>
      </w:r>
    </w:p>
    <w:p w14:paraId="7D45750A" w14:textId="77777777" w:rsidR="00356F6E" w:rsidRPr="003D520D" w:rsidRDefault="00356F6E" w:rsidP="00D707AB">
      <w:pPr>
        <w:keepNext/>
        <w:keepLines/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50B" w14:textId="77777777" w:rsidR="007F6928" w:rsidRPr="003D520D" w:rsidRDefault="007F6928" w:rsidP="00D707AB">
      <w:pPr>
        <w:pStyle w:val="Normlnodsazen"/>
        <w:spacing w:after="0"/>
        <w:ind w:left="0"/>
        <w:rPr>
          <w:szCs w:val="22"/>
          <w:lang w:val="cs-CZ"/>
        </w:rPr>
      </w:pPr>
      <w:r w:rsidRPr="003D520D">
        <w:rPr>
          <w:noProof/>
          <w:szCs w:val="22"/>
          <w:lang w:val="cs-CZ"/>
        </w:rPr>
        <w:t xml:space="preserve">Hypersenzitivita na léčivou látku nebo na kteroukoli pomocnou látku </w:t>
      </w:r>
      <w:r w:rsidR="007D65CB" w:rsidRPr="003D520D">
        <w:rPr>
          <w:noProof/>
          <w:szCs w:val="22"/>
          <w:lang w:val="cs-CZ"/>
        </w:rPr>
        <w:t>uvedenou v bodě 6.1.</w:t>
      </w:r>
      <w:r w:rsidRPr="003D520D" w:rsidDel="007F6928">
        <w:rPr>
          <w:szCs w:val="22"/>
          <w:lang w:val="cs-CZ"/>
        </w:rPr>
        <w:t xml:space="preserve"> </w:t>
      </w:r>
    </w:p>
    <w:p w14:paraId="7D45750C" w14:textId="77777777" w:rsidR="00356F6E" w:rsidRPr="003D520D" w:rsidRDefault="00356F6E" w:rsidP="00D707AB">
      <w:pPr>
        <w:pStyle w:val="Normlnodsazen"/>
        <w:spacing w:after="0"/>
        <w:ind w:left="0"/>
        <w:rPr>
          <w:szCs w:val="22"/>
          <w:lang w:val="cs-CZ"/>
        </w:rPr>
      </w:pPr>
    </w:p>
    <w:p w14:paraId="7D45750D" w14:textId="77777777" w:rsidR="00356F6E" w:rsidRPr="001C6734" w:rsidRDefault="00356F6E" w:rsidP="0001612B">
      <w:pPr>
        <w:pStyle w:val="BayerBodyTextFull"/>
        <w:spacing w:before="0" w:after="0"/>
        <w:outlineLvl w:val="2"/>
        <w:rPr>
          <w:b/>
          <w:sz w:val="22"/>
          <w:szCs w:val="22"/>
          <w:lang w:val="cs-CZ"/>
        </w:rPr>
      </w:pPr>
      <w:r w:rsidRPr="001C6734">
        <w:rPr>
          <w:b/>
          <w:sz w:val="22"/>
          <w:szCs w:val="22"/>
          <w:lang w:val="cs-CZ"/>
        </w:rPr>
        <w:t>4.4</w:t>
      </w:r>
      <w:r w:rsidRPr="001C6734">
        <w:rPr>
          <w:b/>
          <w:sz w:val="22"/>
          <w:szCs w:val="22"/>
          <w:lang w:val="cs-CZ"/>
        </w:rPr>
        <w:tab/>
        <w:t>Zvláštní upozornění a opatření pro použití</w:t>
      </w:r>
    </w:p>
    <w:p w14:paraId="7D45750E" w14:textId="77777777" w:rsidR="00356F6E" w:rsidRPr="003D520D" w:rsidRDefault="00356F6E" w:rsidP="00D707AB">
      <w:pPr>
        <w:keepNext/>
        <w:spacing w:after="0"/>
        <w:rPr>
          <w:szCs w:val="22"/>
          <w:u w:val="single"/>
          <w:lang w:val="cs-CZ" w:eastAsia="en-US"/>
        </w:rPr>
      </w:pPr>
    </w:p>
    <w:p w14:paraId="7D45750F" w14:textId="77777777" w:rsidR="00356F6E" w:rsidRPr="001C6734" w:rsidRDefault="00356F6E" w:rsidP="001C6734">
      <w:pPr>
        <w:spacing w:after="0"/>
        <w:rPr>
          <w:iCs/>
          <w:szCs w:val="22"/>
          <w:u w:val="single"/>
          <w:lang w:val="cs-CZ"/>
        </w:rPr>
      </w:pPr>
      <w:r w:rsidRPr="001C6734">
        <w:rPr>
          <w:iCs/>
          <w:szCs w:val="22"/>
          <w:u w:val="single"/>
          <w:lang w:val="cs-CZ"/>
        </w:rPr>
        <w:t>Účinky na játra</w:t>
      </w:r>
    </w:p>
    <w:p w14:paraId="7D457510" w14:textId="1AB1AB34" w:rsidR="00997D8C" w:rsidRPr="003D520D" w:rsidRDefault="00356F6E" w:rsidP="00D707AB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 xml:space="preserve">U pacientů léčených přípravkem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Pr="003D520D">
        <w:rPr>
          <w:szCs w:val="22"/>
          <w:lang w:val="cs-CZ" w:eastAsia="en-US"/>
        </w:rPr>
        <w:t xml:space="preserve"> byly často pozorovány abnormality funkčních jater</w:t>
      </w:r>
      <w:r w:rsidR="00636417" w:rsidRPr="003D520D">
        <w:rPr>
          <w:szCs w:val="22"/>
          <w:lang w:val="cs-CZ" w:eastAsia="en-US"/>
        </w:rPr>
        <w:t>ních testů</w:t>
      </w:r>
      <w:r w:rsidRPr="003D520D">
        <w:rPr>
          <w:szCs w:val="22"/>
          <w:lang w:val="cs-CZ" w:eastAsia="en-US"/>
        </w:rPr>
        <w:t xml:space="preserve"> (</w:t>
      </w:r>
      <w:proofErr w:type="spellStart"/>
      <w:r w:rsidRPr="003D520D">
        <w:rPr>
          <w:szCs w:val="22"/>
          <w:lang w:val="cs-CZ" w:eastAsia="en-US"/>
        </w:rPr>
        <w:t>alaninaminotransferáza</w:t>
      </w:r>
      <w:proofErr w:type="spellEnd"/>
      <w:r w:rsidRPr="003D520D">
        <w:rPr>
          <w:szCs w:val="22"/>
          <w:lang w:val="cs-CZ" w:eastAsia="en-US"/>
        </w:rPr>
        <w:t xml:space="preserve"> </w:t>
      </w:r>
      <w:r w:rsidR="007F6928" w:rsidRPr="003D520D">
        <w:rPr>
          <w:szCs w:val="22"/>
          <w:lang w:val="cs-CZ"/>
        </w:rPr>
        <w:t>[</w:t>
      </w:r>
      <w:r w:rsidRPr="003D520D">
        <w:rPr>
          <w:szCs w:val="22"/>
          <w:lang w:val="cs-CZ" w:eastAsia="en-US"/>
        </w:rPr>
        <w:t>ALT</w:t>
      </w:r>
      <w:r w:rsidR="007F6928" w:rsidRPr="003D520D">
        <w:rPr>
          <w:szCs w:val="22"/>
          <w:lang w:val="cs-CZ"/>
        </w:rPr>
        <w:t>]</w:t>
      </w:r>
      <w:r w:rsidRPr="003D520D">
        <w:rPr>
          <w:szCs w:val="22"/>
          <w:lang w:val="cs-CZ" w:eastAsia="en-US"/>
        </w:rPr>
        <w:t xml:space="preserve">, </w:t>
      </w:r>
      <w:proofErr w:type="spellStart"/>
      <w:r w:rsidRPr="003D520D">
        <w:rPr>
          <w:szCs w:val="22"/>
          <w:lang w:val="cs-CZ" w:eastAsia="en-US"/>
        </w:rPr>
        <w:t>aspartátaminotransferáza</w:t>
      </w:r>
      <w:proofErr w:type="spellEnd"/>
      <w:r w:rsidRPr="003D520D">
        <w:rPr>
          <w:szCs w:val="22"/>
          <w:lang w:val="cs-CZ" w:eastAsia="en-US"/>
        </w:rPr>
        <w:t xml:space="preserve"> </w:t>
      </w:r>
      <w:r w:rsidR="007F6928" w:rsidRPr="003D520D">
        <w:rPr>
          <w:szCs w:val="22"/>
          <w:lang w:val="cs-CZ"/>
        </w:rPr>
        <w:t>[</w:t>
      </w:r>
      <w:r w:rsidRPr="003D520D">
        <w:rPr>
          <w:szCs w:val="22"/>
          <w:lang w:val="cs-CZ" w:eastAsia="en-US"/>
        </w:rPr>
        <w:t>AST</w:t>
      </w:r>
      <w:r w:rsidR="007F6928" w:rsidRPr="003D520D">
        <w:rPr>
          <w:szCs w:val="22"/>
          <w:lang w:val="cs-CZ"/>
        </w:rPr>
        <w:t>]</w:t>
      </w:r>
      <w:r w:rsidRPr="003D520D">
        <w:rPr>
          <w:szCs w:val="22"/>
          <w:lang w:val="cs-CZ" w:eastAsia="en-US"/>
        </w:rPr>
        <w:t xml:space="preserve"> a bilirubin). Závažné abnormality vyšetření jaterních funkcí (stupeň</w:t>
      </w:r>
      <w:r w:rsidR="00F8031E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 xml:space="preserve">3 až 4) a jaterní dysfunkce s klinickými manifestacemi (včetně </w:t>
      </w:r>
      <w:r w:rsidR="00A0723B">
        <w:rPr>
          <w:szCs w:val="22"/>
          <w:lang w:val="cs-CZ" w:eastAsia="en-US"/>
        </w:rPr>
        <w:t>selhání jater</w:t>
      </w:r>
      <w:r w:rsidR="00A0723B" w:rsidRPr="003D520D">
        <w:rPr>
          <w:szCs w:val="22"/>
          <w:lang w:val="cs-CZ" w:eastAsia="en-US"/>
        </w:rPr>
        <w:t xml:space="preserve"> </w:t>
      </w:r>
      <w:r w:rsidR="001E1DD6">
        <w:rPr>
          <w:szCs w:val="22"/>
          <w:lang w:val="cs-CZ" w:eastAsia="en-US"/>
        </w:rPr>
        <w:t xml:space="preserve">a </w:t>
      </w:r>
      <w:r w:rsidRPr="003D520D">
        <w:rPr>
          <w:szCs w:val="22"/>
          <w:lang w:val="cs-CZ" w:eastAsia="en-US"/>
        </w:rPr>
        <w:t xml:space="preserve">fatálních </w:t>
      </w:r>
      <w:r w:rsidR="00013D22" w:rsidRPr="003D520D">
        <w:rPr>
          <w:szCs w:val="22"/>
          <w:lang w:val="cs-CZ" w:eastAsia="en-US"/>
        </w:rPr>
        <w:t>následků</w:t>
      </w:r>
      <w:r w:rsidRPr="003D520D">
        <w:rPr>
          <w:szCs w:val="22"/>
          <w:lang w:val="cs-CZ" w:eastAsia="en-US"/>
        </w:rPr>
        <w:t>) byly hlášeny u malé části pacientů (viz bod</w:t>
      </w:r>
      <w:r w:rsidR="00D87FBD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>4.8).</w:t>
      </w:r>
    </w:p>
    <w:p w14:paraId="7D457511" w14:textId="77777777" w:rsidR="00356F6E" w:rsidRPr="003D520D" w:rsidRDefault="00997D8C" w:rsidP="00D707AB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 xml:space="preserve">V klinických studiích byla pozorována vyšší incidence závažných abnormalit funkčních jaterních testů a </w:t>
      </w:r>
      <w:proofErr w:type="spellStart"/>
      <w:r w:rsidRPr="003D520D">
        <w:rPr>
          <w:szCs w:val="22"/>
          <w:lang w:val="cs-CZ" w:eastAsia="en-US"/>
        </w:rPr>
        <w:t>hepatální</w:t>
      </w:r>
      <w:proofErr w:type="spellEnd"/>
      <w:r w:rsidRPr="003D520D">
        <w:rPr>
          <w:szCs w:val="22"/>
          <w:lang w:val="cs-CZ" w:eastAsia="en-US"/>
        </w:rPr>
        <w:t xml:space="preserve"> dysfunkce u asijských (zvláště japonských) pacientů léčených přípravkem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Pr="003D520D">
        <w:rPr>
          <w:szCs w:val="22"/>
          <w:lang w:val="cs-CZ" w:eastAsia="en-US"/>
        </w:rPr>
        <w:t xml:space="preserve"> v porovnání s bělošskou populací</w:t>
      </w:r>
      <w:r w:rsidR="00FA786D" w:rsidRPr="003D520D">
        <w:rPr>
          <w:szCs w:val="22"/>
          <w:lang w:val="cs-CZ" w:eastAsia="en-US"/>
        </w:rPr>
        <w:t xml:space="preserve"> (viz bod </w:t>
      </w:r>
      <w:r w:rsidRPr="003D520D">
        <w:rPr>
          <w:szCs w:val="22"/>
          <w:lang w:val="cs-CZ" w:eastAsia="en-US"/>
        </w:rPr>
        <w:t>4.2).</w:t>
      </w:r>
    </w:p>
    <w:p w14:paraId="7D457512" w14:textId="77777777" w:rsidR="00356F6E" w:rsidRPr="003D520D" w:rsidRDefault="00356F6E" w:rsidP="00D707AB">
      <w:pPr>
        <w:spacing w:after="0"/>
        <w:rPr>
          <w:szCs w:val="22"/>
          <w:u w:val="single"/>
          <w:lang w:val="cs-CZ" w:eastAsia="en-US"/>
        </w:rPr>
      </w:pPr>
    </w:p>
    <w:p w14:paraId="7D457513" w14:textId="77777777" w:rsidR="00356F6E" w:rsidRPr="003D520D" w:rsidRDefault="00356F6E" w:rsidP="00D707AB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 xml:space="preserve">Doporučuje se provést vyšetření jaterních funkcí (ALT, AST a bilirubin) před zahájením léčby přípravkem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Pr="003D520D">
        <w:rPr>
          <w:szCs w:val="22"/>
          <w:lang w:val="cs-CZ" w:eastAsia="en-US"/>
        </w:rPr>
        <w:t xml:space="preserve"> a sledovat je pečlivě (minimálně každé dva týdny) během prvních 2</w:t>
      </w:r>
      <w:r w:rsidR="00F8031E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 xml:space="preserve">měsíců léčby. Poté by mělo pokračovat pravidelné sledování minimálně každý měsíc a podle klinické </w:t>
      </w:r>
      <w:r w:rsidR="00013D22" w:rsidRPr="003D520D">
        <w:rPr>
          <w:szCs w:val="22"/>
          <w:lang w:val="cs-CZ" w:eastAsia="en-US"/>
        </w:rPr>
        <w:t>potřeby</w:t>
      </w:r>
      <w:r w:rsidRPr="003D520D">
        <w:rPr>
          <w:szCs w:val="22"/>
          <w:lang w:val="cs-CZ" w:eastAsia="en-US"/>
        </w:rPr>
        <w:t xml:space="preserve">. </w:t>
      </w:r>
    </w:p>
    <w:p w14:paraId="7D457514" w14:textId="77777777" w:rsidR="00356F6E" w:rsidRPr="003D520D" w:rsidRDefault="00356F6E" w:rsidP="00D707AB">
      <w:pPr>
        <w:spacing w:after="0"/>
        <w:rPr>
          <w:szCs w:val="22"/>
          <w:lang w:val="cs-CZ" w:eastAsia="en-US"/>
        </w:rPr>
      </w:pPr>
    </w:p>
    <w:p w14:paraId="7D457515" w14:textId="77777777" w:rsidR="00356F6E" w:rsidRPr="003D520D" w:rsidRDefault="00356F6E" w:rsidP="00D707AB">
      <w:pPr>
        <w:spacing w:after="0"/>
        <w:rPr>
          <w:szCs w:val="22"/>
          <w:lang w:val="cs-CZ" w:eastAsia="en-US"/>
        </w:rPr>
      </w:pPr>
      <w:proofErr w:type="spellStart"/>
      <w:r w:rsidRPr="003D520D">
        <w:rPr>
          <w:szCs w:val="22"/>
          <w:lang w:val="cs-CZ" w:eastAsia="en-US"/>
        </w:rPr>
        <w:t>Regorafenib</w:t>
      </w:r>
      <w:proofErr w:type="spellEnd"/>
      <w:r w:rsidRPr="003D520D">
        <w:rPr>
          <w:szCs w:val="22"/>
          <w:lang w:val="cs-CZ" w:eastAsia="en-US"/>
        </w:rPr>
        <w:t xml:space="preserve"> je inhibitor </w:t>
      </w:r>
      <w:proofErr w:type="spellStart"/>
      <w:r w:rsidR="007F6928" w:rsidRPr="003D520D">
        <w:rPr>
          <w:szCs w:val="22"/>
          <w:lang w:val="cs-CZ" w:eastAsia="en-US"/>
        </w:rPr>
        <w:t>uridindifosfátglukuronyltransferázy</w:t>
      </w:r>
      <w:proofErr w:type="spellEnd"/>
      <w:r w:rsidR="007F6928" w:rsidRPr="003D520D">
        <w:rPr>
          <w:szCs w:val="22"/>
          <w:lang w:val="cs-CZ" w:eastAsia="en-US"/>
        </w:rPr>
        <w:t xml:space="preserve"> (</w:t>
      </w:r>
      <w:r w:rsidRPr="003D520D">
        <w:rPr>
          <w:szCs w:val="22"/>
          <w:lang w:val="cs-CZ" w:eastAsia="en-US"/>
        </w:rPr>
        <w:t>UGT</w:t>
      </w:r>
      <w:r w:rsidR="007F6928" w:rsidRPr="003D520D">
        <w:rPr>
          <w:szCs w:val="22"/>
          <w:lang w:val="cs-CZ" w:eastAsia="en-US"/>
        </w:rPr>
        <w:t xml:space="preserve">) </w:t>
      </w:r>
      <w:r w:rsidRPr="003D520D">
        <w:rPr>
          <w:szCs w:val="22"/>
          <w:lang w:val="cs-CZ" w:eastAsia="en-US"/>
        </w:rPr>
        <w:t>1A1 (viz bod</w:t>
      </w:r>
      <w:r w:rsidR="00D87FBD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 xml:space="preserve">4.5). U pacientů s Gilbertovým syndromem se může vyskytnout mírná nepřímá (nekonjugovaná) </w:t>
      </w:r>
      <w:proofErr w:type="spellStart"/>
      <w:r w:rsidRPr="003D520D">
        <w:rPr>
          <w:szCs w:val="22"/>
          <w:lang w:val="cs-CZ" w:eastAsia="en-US"/>
        </w:rPr>
        <w:t>hyperbilirubin</w:t>
      </w:r>
      <w:r w:rsidR="00434FDE">
        <w:rPr>
          <w:szCs w:val="22"/>
          <w:lang w:val="cs-CZ" w:eastAsia="en-US"/>
        </w:rPr>
        <w:t>e</w:t>
      </w:r>
      <w:r w:rsidRPr="003D520D">
        <w:rPr>
          <w:szCs w:val="22"/>
          <w:lang w:val="cs-CZ" w:eastAsia="en-US"/>
        </w:rPr>
        <w:t>mie</w:t>
      </w:r>
      <w:proofErr w:type="spellEnd"/>
      <w:r w:rsidRPr="003D520D">
        <w:rPr>
          <w:szCs w:val="22"/>
          <w:lang w:val="cs-CZ" w:eastAsia="en-US"/>
        </w:rPr>
        <w:t>.</w:t>
      </w:r>
    </w:p>
    <w:p w14:paraId="7D457516" w14:textId="77777777" w:rsidR="00356F6E" w:rsidRPr="003D520D" w:rsidRDefault="00356F6E" w:rsidP="00D707AB">
      <w:pPr>
        <w:spacing w:after="0"/>
        <w:rPr>
          <w:szCs w:val="22"/>
          <w:lang w:val="cs-CZ" w:eastAsia="en-US"/>
        </w:rPr>
      </w:pPr>
    </w:p>
    <w:p w14:paraId="7D457517" w14:textId="77777777" w:rsidR="00356F6E" w:rsidRPr="003D520D" w:rsidRDefault="00356F6E" w:rsidP="00D707AB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lastRenderedPageBreak/>
        <w:t xml:space="preserve">U pacientů s pozorovaným zhoršením jaterních testů, u nichž je předpokládána souvislost s léčbou přípravkem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Pr="003D520D">
        <w:rPr>
          <w:szCs w:val="22"/>
          <w:lang w:val="cs-CZ" w:eastAsia="en-US"/>
        </w:rPr>
        <w:t xml:space="preserve"> (tj. kde není jasná jiná příčina, jako je </w:t>
      </w:r>
      <w:proofErr w:type="spellStart"/>
      <w:r w:rsidRPr="003D520D">
        <w:rPr>
          <w:szCs w:val="22"/>
          <w:lang w:val="cs-CZ" w:eastAsia="en-US"/>
        </w:rPr>
        <w:t>posthepatální</w:t>
      </w:r>
      <w:proofErr w:type="spellEnd"/>
      <w:r w:rsidRPr="003D520D">
        <w:rPr>
          <w:szCs w:val="22"/>
          <w:lang w:val="cs-CZ" w:eastAsia="en-US"/>
        </w:rPr>
        <w:t xml:space="preserve"> cholestáza nebo progrese onemocnění), </w:t>
      </w:r>
      <w:r w:rsidR="00DF2A2F">
        <w:rPr>
          <w:szCs w:val="22"/>
          <w:lang w:val="cs-CZ" w:eastAsia="en-US"/>
        </w:rPr>
        <w:t>se</w:t>
      </w:r>
      <w:r w:rsidRPr="003D520D">
        <w:rPr>
          <w:szCs w:val="22"/>
          <w:lang w:val="cs-CZ" w:eastAsia="en-US"/>
        </w:rPr>
        <w:t xml:space="preserve"> m</w:t>
      </w:r>
      <w:r w:rsidR="00DF2A2F">
        <w:rPr>
          <w:szCs w:val="22"/>
          <w:lang w:val="cs-CZ" w:eastAsia="en-US"/>
        </w:rPr>
        <w:t>á</w:t>
      </w:r>
      <w:r w:rsidRPr="003D520D">
        <w:rPr>
          <w:szCs w:val="22"/>
          <w:lang w:val="cs-CZ" w:eastAsia="en-US"/>
        </w:rPr>
        <w:t xml:space="preserve"> přistoup</w:t>
      </w:r>
      <w:r w:rsidR="00DF2A2F">
        <w:rPr>
          <w:szCs w:val="22"/>
          <w:lang w:val="cs-CZ" w:eastAsia="en-US"/>
        </w:rPr>
        <w:t>it</w:t>
      </w:r>
      <w:r w:rsidRPr="003D520D">
        <w:rPr>
          <w:szCs w:val="22"/>
          <w:lang w:val="cs-CZ" w:eastAsia="en-US"/>
        </w:rPr>
        <w:t xml:space="preserve"> k úpravě dávky a sledování podle instrukcí v </w:t>
      </w:r>
      <w:r w:rsidR="00DB3F49">
        <w:rPr>
          <w:szCs w:val="22"/>
          <w:lang w:val="cs-CZ" w:eastAsia="en-US"/>
        </w:rPr>
        <w:t>t</w:t>
      </w:r>
      <w:r w:rsidRPr="003D520D">
        <w:rPr>
          <w:szCs w:val="22"/>
          <w:lang w:val="cs-CZ" w:eastAsia="en-US"/>
        </w:rPr>
        <w:t>abulce</w:t>
      </w:r>
      <w:r w:rsidR="00622189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>2 (viz bod</w:t>
      </w:r>
      <w:r w:rsidR="00622189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 xml:space="preserve">4.2). </w:t>
      </w:r>
    </w:p>
    <w:p w14:paraId="7D457518" w14:textId="77777777" w:rsidR="00356F6E" w:rsidRPr="003D520D" w:rsidRDefault="00356F6E" w:rsidP="00D707AB">
      <w:pPr>
        <w:spacing w:after="0"/>
        <w:rPr>
          <w:szCs w:val="22"/>
          <w:lang w:val="cs-CZ" w:eastAsia="en-US"/>
        </w:rPr>
      </w:pPr>
    </w:p>
    <w:p w14:paraId="7D457519" w14:textId="77777777" w:rsidR="007F6928" w:rsidRPr="003D520D" w:rsidRDefault="007F6928" w:rsidP="00D707AB">
      <w:pPr>
        <w:spacing w:after="0"/>
        <w:rPr>
          <w:szCs w:val="22"/>
          <w:lang w:val="cs-CZ" w:eastAsia="en-US"/>
        </w:rPr>
      </w:pPr>
      <w:proofErr w:type="spellStart"/>
      <w:r w:rsidRPr="003D520D">
        <w:rPr>
          <w:szCs w:val="22"/>
          <w:lang w:val="cs-CZ" w:eastAsia="en-US"/>
        </w:rPr>
        <w:t>Regorafenib</w:t>
      </w:r>
      <w:proofErr w:type="spellEnd"/>
      <w:r w:rsidRPr="003D520D">
        <w:rPr>
          <w:szCs w:val="22"/>
          <w:lang w:val="cs-CZ" w:eastAsia="en-US"/>
        </w:rPr>
        <w:t xml:space="preserve"> je eliminován hlavně </w:t>
      </w:r>
      <w:proofErr w:type="spellStart"/>
      <w:r w:rsidR="00C21535" w:rsidRPr="003D520D">
        <w:rPr>
          <w:szCs w:val="22"/>
          <w:lang w:val="cs-CZ" w:eastAsia="en-US"/>
        </w:rPr>
        <w:t>hepatální</w:t>
      </w:r>
      <w:proofErr w:type="spellEnd"/>
      <w:r w:rsidR="00C21535" w:rsidRPr="003D520D">
        <w:rPr>
          <w:szCs w:val="22"/>
          <w:lang w:val="cs-CZ" w:eastAsia="en-US"/>
        </w:rPr>
        <w:t xml:space="preserve"> cestou.</w:t>
      </w:r>
    </w:p>
    <w:p w14:paraId="7D45751A" w14:textId="77777777" w:rsidR="00356F6E" w:rsidRPr="003D520D" w:rsidRDefault="0014512E" w:rsidP="00D707AB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>P</w:t>
      </w:r>
      <w:r w:rsidR="00356F6E" w:rsidRPr="003D520D">
        <w:rPr>
          <w:szCs w:val="22"/>
          <w:lang w:val="cs-CZ" w:eastAsia="en-US"/>
        </w:rPr>
        <w:t>ečlivé sledování celkové bezpečnosti</w:t>
      </w:r>
      <w:r w:rsidRPr="003D520D">
        <w:rPr>
          <w:szCs w:val="22"/>
          <w:lang w:val="cs-CZ" w:eastAsia="en-US"/>
        </w:rPr>
        <w:t xml:space="preserve"> je doporučováno u pacientů s</w:t>
      </w:r>
      <w:r w:rsidR="00377D01">
        <w:rPr>
          <w:szCs w:val="22"/>
          <w:lang w:val="cs-CZ" w:eastAsia="en-US"/>
        </w:rPr>
        <w:t xml:space="preserve"> </w:t>
      </w:r>
      <w:r w:rsidR="00DB3F49">
        <w:rPr>
          <w:szCs w:val="22"/>
          <w:lang w:val="cs-CZ" w:eastAsia="en-US"/>
        </w:rPr>
        <w:t>lehkou</w:t>
      </w:r>
      <w:r w:rsidRPr="003D520D">
        <w:rPr>
          <w:szCs w:val="22"/>
          <w:lang w:val="cs-CZ" w:eastAsia="en-US"/>
        </w:rPr>
        <w:t xml:space="preserve"> nebo středně </w:t>
      </w:r>
      <w:r w:rsidR="00DB3F49">
        <w:rPr>
          <w:szCs w:val="22"/>
          <w:lang w:val="cs-CZ" w:eastAsia="en-US"/>
        </w:rPr>
        <w:t>těžkou</w:t>
      </w:r>
      <w:r w:rsidRPr="003D520D">
        <w:rPr>
          <w:szCs w:val="22"/>
          <w:lang w:val="cs-CZ" w:eastAsia="en-US"/>
        </w:rPr>
        <w:t xml:space="preserve"> poruchou funkce jater</w:t>
      </w:r>
      <w:r w:rsidR="00356F6E" w:rsidRPr="003D520D">
        <w:rPr>
          <w:szCs w:val="22"/>
          <w:lang w:val="cs-CZ" w:eastAsia="en-US"/>
        </w:rPr>
        <w:t xml:space="preserve"> (viz také bod</w:t>
      </w:r>
      <w:r w:rsidRPr="003D520D">
        <w:rPr>
          <w:szCs w:val="22"/>
          <w:lang w:val="cs-CZ" w:eastAsia="en-US"/>
        </w:rPr>
        <w:t>y</w:t>
      </w:r>
      <w:r w:rsidR="00622189" w:rsidRPr="003D520D">
        <w:rPr>
          <w:szCs w:val="22"/>
          <w:lang w:val="cs-CZ" w:eastAsia="en-US"/>
        </w:rPr>
        <w:t> </w:t>
      </w:r>
      <w:r w:rsidR="00356F6E" w:rsidRPr="003D520D">
        <w:rPr>
          <w:szCs w:val="22"/>
          <w:lang w:val="cs-CZ" w:eastAsia="en-US"/>
        </w:rPr>
        <w:t xml:space="preserve">4.2 </w:t>
      </w:r>
      <w:r w:rsidRPr="003D520D">
        <w:rPr>
          <w:szCs w:val="22"/>
          <w:lang w:val="cs-CZ" w:eastAsia="en-US"/>
        </w:rPr>
        <w:t>a 5.2</w:t>
      </w:r>
      <w:r w:rsidR="00356F6E" w:rsidRPr="003D520D">
        <w:rPr>
          <w:szCs w:val="22"/>
          <w:lang w:val="cs-CZ" w:eastAsia="en-US"/>
        </w:rPr>
        <w:t>).</w:t>
      </w:r>
      <w:r w:rsidRPr="003D520D">
        <w:rPr>
          <w:szCs w:val="22"/>
          <w:lang w:val="cs-CZ" w:eastAsia="en-US"/>
        </w:rPr>
        <w:t xml:space="preserve"> Přípravek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Pr="003D520D">
        <w:rPr>
          <w:szCs w:val="22"/>
          <w:lang w:val="cs-CZ" w:eastAsia="en-US"/>
        </w:rPr>
        <w:t xml:space="preserve"> není doporučen u pacientů s</w:t>
      </w:r>
      <w:r w:rsidR="00DB3F49">
        <w:rPr>
          <w:szCs w:val="22"/>
          <w:lang w:val="cs-CZ" w:eastAsia="en-US"/>
        </w:rPr>
        <w:t xml:space="preserve"> těžkou</w:t>
      </w:r>
      <w:r w:rsidR="00A34919" w:rsidRPr="003D520D">
        <w:rPr>
          <w:szCs w:val="22"/>
          <w:lang w:val="cs-CZ" w:eastAsia="en-US"/>
        </w:rPr>
        <w:t xml:space="preserve"> poruchou funkce jater (</w:t>
      </w:r>
      <w:proofErr w:type="spellStart"/>
      <w:r w:rsidR="00A34919" w:rsidRPr="003D520D">
        <w:rPr>
          <w:szCs w:val="22"/>
          <w:lang w:val="cs-CZ" w:eastAsia="en-US"/>
        </w:rPr>
        <w:t>Child</w:t>
      </w:r>
      <w:r w:rsidR="00A34919" w:rsidRPr="003D520D">
        <w:rPr>
          <w:szCs w:val="22"/>
          <w:lang w:val="cs-CZ" w:eastAsia="en-US"/>
        </w:rPr>
        <w:noBreakHyphen/>
        <w:t>Pugh</w:t>
      </w:r>
      <w:proofErr w:type="spellEnd"/>
      <w:r w:rsidR="00A34919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>C)</w:t>
      </w:r>
      <w:r w:rsidR="009E4740" w:rsidRPr="003D520D">
        <w:rPr>
          <w:szCs w:val="22"/>
          <w:lang w:val="cs-CZ" w:eastAsia="en-US"/>
        </w:rPr>
        <w:t>,</w:t>
      </w:r>
      <w:r w:rsidRPr="003D520D">
        <w:rPr>
          <w:szCs w:val="22"/>
          <w:lang w:val="cs-CZ" w:eastAsia="en-US"/>
        </w:rPr>
        <w:t xml:space="preserve"> protože nebyl u této populace </w:t>
      </w:r>
      <w:r w:rsidR="00DF2A2F">
        <w:rPr>
          <w:szCs w:val="22"/>
          <w:lang w:val="cs-CZ" w:eastAsia="en-US"/>
        </w:rPr>
        <w:t>studován</w:t>
      </w:r>
      <w:r w:rsidRPr="003D520D">
        <w:rPr>
          <w:szCs w:val="22"/>
          <w:lang w:val="cs-CZ" w:eastAsia="en-US"/>
        </w:rPr>
        <w:t xml:space="preserve"> a expozice může být u těchto pacientů zvýšena.</w:t>
      </w:r>
      <w:r w:rsidR="00356F6E" w:rsidRPr="003D520D">
        <w:rPr>
          <w:szCs w:val="22"/>
          <w:lang w:val="cs-CZ" w:eastAsia="en-US"/>
        </w:rPr>
        <w:t xml:space="preserve"> </w:t>
      </w:r>
    </w:p>
    <w:p w14:paraId="7D45751B" w14:textId="77777777" w:rsidR="00356F6E" w:rsidRDefault="00356F6E" w:rsidP="00D707AB">
      <w:pPr>
        <w:spacing w:after="0"/>
        <w:rPr>
          <w:szCs w:val="22"/>
          <w:u w:val="single"/>
          <w:lang w:val="cs-CZ" w:eastAsia="en-US"/>
        </w:rPr>
      </w:pPr>
    </w:p>
    <w:p w14:paraId="7D45751C" w14:textId="77777777" w:rsidR="004D199E" w:rsidRPr="004D199E" w:rsidRDefault="004D199E" w:rsidP="00D707AB">
      <w:pPr>
        <w:spacing w:after="0"/>
        <w:rPr>
          <w:szCs w:val="22"/>
          <w:u w:val="single"/>
          <w:lang w:val="cs-CZ" w:eastAsia="en-US"/>
        </w:rPr>
      </w:pPr>
      <w:r w:rsidRPr="004D199E">
        <w:rPr>
          <w:szCs w:val="22"/>
          <w:u w:val="single"/>
          <w:lang w:val="cs-CZ" w:eastAsia="en-US"/>
        </w:rPr>
        <w:t>Infekce</w:t>
      </w:r>
    </w:p>
    <w:p w14:paraId="7D45751D" w14:textId="77777777" w:rsidR="004D199E" w:rsidRPr="002B3DDC" w:rsidRDefault="004D199E" w:rsidP="00D707AB">
      <w:pPr>
        <w:spacing w:after="0"/>
        <w:rPr>
          <w:szCs w:val="22"/>
          <w:lang w:val="cs-CZ" w:eastAsia="en-US"/>
        </w:rPr>
      </w:pPr>
      <w:proofErr w:type="spellStart"/>
      <w:r w:rsidRPr="002B3DDC">
        <w:rPr>
          <w:szCs w:val="22"/>
          <w:lang w:val="cs-CZ" w:eastAsia="en-US"/>
        </w:rPr>
        <w:t>Stivarga</w:t>
      </w:r>
      <w:proofErr w:type="spellEnd"/>
      <w:r w:rsidRPr="002B3DDC">
        <w:rPr>
          <w:szCs w:val="22"/>
          <w:lang w:val="cs-CZ" w:eastAsia="en-US"/>
        </w:rPr>
        <w:t xml:space="preserve"> byla spojována se zvýšeným výskytem infekčních onemocnění, z nichž některé byly fatální (viz bod 4.8).</w:t>
      </w:r>
    </w:p>
    <w:p w14:paraId="7D45751E" w14:textId="77777777" w:rsidR="004D199E" w:rsidRPr="002B3DDC" w:rsidRDefault="004D199E" w:rsidP="00D707AB">
      <w:pPr>
        <w:spacing w:after="0"/>
        <w:rPr>
          <w:szCs w:val="22"/>
          <w:lang w:val="cs-CZ" w:eastAsia="en-US"/>
        </w:rPr>
      </w:pPr>
      <w:r w:rsidRPr="002B3DDC">
        <w:rPr>
          <w:szCs w:val="22"/>
          <w:lang w:val="cs-CZ" w:eastAsia="en-US"/>
        </w:rPr>
        <w:t xml:space="preserve">V případě zhoršení infekčních příhod má být zváženo přerušení léčby přípravkem </w:t>
      </w:r>
      <w:proofErr w:type="spellStart"/>
      <w:r w:rsidRPr="002B3DDC">
        <w:rPr>
          <w:szCs w:val="22"/>
          <w:lang w:val="cs-CZ" w:eastAsia="en-US"/>
        </w:rPr>
        <w:t>Stivarga</w:t>
      </w:r>
      <w:proofErr w:type="spellEnd"/>
      <w:r w:rsidRPr="002B3DDC">
        <w:rPr>
          <w:szCs w:val="22"/>
          <w:lang w:val="cs-CZ" w:eastAsia="en-US"/>
        </w:rPr>
        <w:t>.</w:t>
      </w:r>
    </w:p>
    <w:p w14:paraId="7D45751F" w14:textId="77777777" w:rsidR="008D7A00" w:rsidRPr="003D520D" w:rsidRDefault="008D7A00" w:rsidP="00D707AB">
      <w:pPr>
        <w:spacing w:after="0"/>
        <w:rPr>
          <w:szCs w:val="22"/>
          <w:u w:val="single"/>
          <w:lang w:val="cs-CZ" w:eastAsia="en-US"/>
        </w:rPr>
      </w:pPr>
    </w:p>
    <w:p w14:paraId="7D457520" w14:textId="77777777" w:rsidR="00356F6E" w:rsidRPr="003D520D" w:rsidRDefault="00356F6E" w:rsidP="007320BE">
      <w:pPr>
        <w:spacing w:after="0"/>
        <w:rPr>
          <w:szCs w:val="22"/>
          <w:u w:val="single"/>
          <w:lang w:val="cs-CZ" w:eastAsia="en-US"/>
        </w:rPr>
      </w:pPr>
      <w:r w:rsidRPr="007320BE">
        <w:rPr>
          <w:szCs w:val="22"/>
          <w:u w:val="single"/>
          <w:lang w:val="cs-CZ" w:eastAsia="en-US"/>
        </w:rPr>
        <w:t>Krvácení</w:t>
      </w:r>
    </w:p>
    <w:p w14:paraId="7D457521" w14:textId="77777777" w:rsidR="00356F6E" w:rsidRPr="003D520D" w:rsidRDefault="00356F6E" w:rsidP="00D707AB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 xml:space="preserve">Přípravek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Pr="003D520D">
        <w:rPr>
          <w:szCs w:val="22"/>
          <w:lang w:val="cs-CZ" w:eastAsia="en-US"/>
        </w:rPr>
        <w:t xml:space="preserve"> </w:t>
      </w:r>
      <w:r w:rsidR="00B20B86" w:rsidRPr="003D520D">
        <w:rPr>
          <w:szCs w:val="22"/>
          <w:lang w:val="cs-CZ" w:eastAsia="en-US"/>
        </w:rPr>
        <w:t>byl spoj</w:t>
      </w:r>
      <w:r w:rsidR="00915323" w:rsidRPr="003D520D">
        <w:rPr>
          <w:szCs w:val="22"/>
          <w:lang w:val="cs-CZ" w:eastAsia="en-US"/>
        </w:rPr>
        <w:t>en</w:t>
      </w:r>
      <w:r w:rsidRPr="003D520D">
        <w:rPr>
          <w:szCs w:val="22"/>
          <w:lang w:val="cs-CZ" w:eastAsia="en-US"/>
        </w:rPr>
        <w:t xml:space="preserve"> se zvýšeným výskytem krvácivých příhod, z nichž některé byly fatální (viz bod</w:t>
      </w:r>
      <w:r w:rsidR="00622189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>4.8). U pacientů se stavy predisponujícími ke krvácení a u těch, kteří jsou léčeni antikoagulačními léky</w:t>
      </w:r>
      <w:r w:rsidR="00663C3C" w:rsidRPr="003D520D">
        <w:rPr>
          <w:szCs w:val="22"/>
          <w:lang w:val="cs-CZ" w:eastAsia="en-US"/>
        </w:rPr>
        <w:t xml:space="preserve"> (např. </w:t>
      </w:r>
      <w:proofErr w:type="spellStart"/>
      <w:r w:rsidR="00663C3C" w:rsidRPr="003D520D">
        <w:rPr>
          <w:szCs w:val="22"/>
          <w:lang w:val="cs-CZ" w:eastAsia="en-US"/>
        </w:rPr>
        <w:t>warfarin</w:t>
      </w:r>
      <w:proofErr w:type="spellEnd"/>
      <w:r w:rsidR="00663C3C" w:rsidRPr="003D520D">
        <w:rPr>
          <w:szCs w:val="22"/>
          <w:lang w:val="cs-CZ" w:eastAsia="en-US"/>
        </w:rPr>
        <w:t xml:space="preserve"> a </w:t>
      </w:r>
      <w:proofErr w:type="spellStart"/>
      <w:r w:rsidR="00663C3C" w:rsidRPr="003D520D">
        <w:rPr>
          <w:szCs w:val="22"/>
          <w:lang w:val="cs-CZ" w:eastAsia="en-US"/>
        </w:rPr>
        <w:t>fenprokumon</w:t>
      </w:r>
      <w:proofErr w:type="spellEnd"/>
      <w:r w:rsidR="00663C3C" w:rsidRPr="003D520D">
        <w:rPr>
          <w:szCs w:val="22"/>
          <w:lang w:val="cs-CZ" w:eastAsia="en-US"/>
        </w:rPr>
        <w:t>)</w:t>
      </w:r>
      <w:r w:rsidRPr="003D520D">
        <w:rPr>
          <w:szCs w:val="22"/>
          <w:lang w:val="cs-CZ" w:eastAsia="en-US"/>
        </w:rPr>
        <w:t xml:space="preserve"> nebo jinými souběžně užívanými </w:t>
      </w:r>
      <w:r w:rsidR="00663C3C" w:rsidRPr="003D520D">
        <w:rPr>
          <w:szCs w:val="22"/>
          <w:lang w:val="cs-CZ" w:eastAsia="en-US"/>
        </w:rPr>
        <w:t>léčivými přípravky</w:t>
      </w:r>
      <w:r w:rsidRPr="003D520D">
        <w:rPr>
          <w:szCs w:val="22"/>
          <w:lang w:val="cs-CZ" w:eastAsia="en-US"/>
        </w:rPr>
        <w:t xml:space="preserve">, které zvyšují riziko krvácení, </w:t>
      </w:r>
      <w:r w:rsidR="00DF2A2F">
        <w:rPr>
          <w:szCs w:val="22"/>
          <w:lang w:val="cs-CZ" w:eastAsia="en-US"/>
        </w:rPr>
        <w:t>má</w:t>
      </w:r>
      <w:r w:rsidRPr="003D520D">
        <w:rPr>
          <w:szCs w:val="22"/>
          <w:lang w:val="cs-CZ" w:eastAsia="en-US"/>
        </w:rPr>
        <w:t xml:space="preserve"> být sledován krevní obraz a koagulační parametry. </w:t>
      </w:r>
      <w:r w:rsidR="00C33B93">
        <w:rPr>
          <w:szCs w:val="22"/>
          <w:lang w:val="cs-CZ" w:eastAsia="en-US"/>
        </w:rPr>
        <w:t xml:space="preserve">Před začátkem léčby přípravkem </w:t>
      </w:r>
      <w:proofErr w:type="spellStart"/>
      <w:r w:rsidR="00C33B93">
        <w:rPr>
          <w:szCs w:val="22"/>
          <w:lang w:val="cs-CZ" w:eastAsia="en-US"/>
        </w:rPr>
        <w:t>Stivarga</w:t>
      </w:r>
      <w:proofErr w:type="spellEnd"/>
      <w:r w:rsidR="00C33B93">
        <w:rPr>
          <w:szCs w:val="22"/>
          <w:lang w:val="cs-CZ" w:eastAsia="en-US"/>
        </w:rPr>
        <w:t xml:space="preserve"> má být v rámci standardní péče u pacientů s jaterní cirhózou proveden screening a následná léčb</w:t>
      </w:r>
      <w:r w:rsidR="004D299A">
        <w:rPr>
          <w:szCs w:val="22"/>
          <w:lang w:val="cs-CZ" w:eastAsia="en-US"/>
        </w:rPr>
        <w:t>a</w:t>
      </w:r>
      <w:r w:rsidR="00C33B93">
        <w:rPr>
          <w:szCs w:val="22"/>
          <w:lang w:val="cs-CZ" w:eastAsia="en-US"/>
        </w:rPr>
        <w:t xml:space="preserve"> jícnových varixů. </w:t>
      </w:r>
      <w:r w:rsidRPr="003D520D">
        <w:rPr>
          <w:szCs w:val="22"/>
          <w:lang w:val="cs-CZ" w:eastAsia="en-US"/>
        </w:rPr>
        <w:t xml:space="preserve">V případě závažného krvácení vyžadujícího urgentní lékařský zákrok </w:t>
      </w:r>
      <w:r w:rsidR="00DF2A2F">
        <w:rPr>
          <w:szCs w:val="22"/>
          <w:lang w:val="cs-CZ" w:eastAsia="en-US"/>
        </w:rPr>
        <w:t>se má</w:t>
      </w:r>
      <w:r w:rsidRPr="003D520D">
        <w:rPr>
          <w:szCs w:val="22"/>
          <w:lang w:val="cs-CZ" w:eastAsia="en-US"/>
        </w:rPr>
        <w:t xml:space="preserve"> zváž</w:t>
      </w:r>
      <w:r w:rsidR="00DF2A2F">
        <w:rPr>
          <w:szCs w:val="22"/>
          <w:lang w:val="cs-CZ" w:eastAsia="en-US"/>
        </w:rPr>
        <w:t>it</w:t>
      </w:r>
      <w:r w:rsidRPr="003D520D">
        <w:rPr>
          <w:szCs w:val="22"/>
          <w:lang w:val="cs-CZ" w:eastAsia="en-US"/>
        </w:rPr>
        <w:t xml:space="preserve"> trvalé vysazení přípravku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Pr="003D520D">
        <w:rPr>
          <w:szCs w:val="22"/>
          <w:lang w:val="cs-CZ" w:eastAsia="en-US"/>
        </w:rPr>
        <w:t>.</w:t>
      </w:r>
    </w:p>
    <w:p w14:paraId="7D457522" w14:textId="77777777" w:rsidR="00356F6E" w:rsidRPr="003D520D" w:rsidRDefault="00356F6E" w:rsidP="00D707AB">
      <w:pPr>
        <w:spacing w:after="0"/>
        <w:rPr>
          <w:szCs w:val="22"/>
          <w:u w:val="single"/>
          <w:lang w:val="cs-CZ" w:eastAsia="en-US"/>
        </w:rPr>
      </w:pPr>
    </w:p>
    <w:p w14:paraId="7D457523" w14:textId="77777777" w:rsidR="007320BE" w:rsidRDefault="00C33B93" w:rsidP="007320BE">
      <w:pPr>
        <w:spacing w:after="0"/>
        <w:rPr>
          <w:szCs w:val="22"/>
          <w:u w:val="single"/>
          <w:lang w:val="cs-CZ" w:eastAsia="en-US"/>
        </w:rPr>
      </w:pPr>
      <w:r w:rsidRPr="007320BE">
        <w:rPr>
          <w:szCs w:val="22"/>
          <w:u w:val="single"/>
          <w:lang w:val="cs-CZ" w:eastAsia="en-US"/>
        </w:rPr>
        <w:t>Gastrointestinální perforace a píštěl</w:t>
      </w:r>
    </w:p>
    <w:p w14:paraId="7D457524" w14:textId="77777777" w:rsidR="007320BE" w:rsidRDefault="00C33B93" w:rsidP="007320BE">
      <w:pPr>
        <w:spacing w:after="0"/>
        <w:rPr>
          <w:iCs/>
          <w:szCs w:val="22"/>
          <w:lang w:val="cs-CZ" w:eastAsia="en-US"/>
        </w:rPr>
      </w:pPr>
      <w:r w:rsidRPr="007320BE">
        <w:rPr>
          <w:iCs/>
          <w:szCs w:val="22"/>
          <w:lang w:val="cs-CZ" w:eastAsia="en-US"/>
        </w:rPr>
        <w:t xml:space="preserve">U pacientů léčených přípravkem </w:t>
      </w:r>
      <w:proofErr w:type="spellStart"/>
      <w:r w:rsidRPr="007320BE">
        <w:rPr>
          <w:iCs/>
          <w:szCs w:val="22"/>
          <w:lang w:val="cs-CZ" w:eastAsia="en-US"/>
        </w:rPr>
        <w:t>Stivarga</w:t>
      </w:r>
      <w:proofErr w:type="spellEnd"/>
      <w:r w:rsidRPr="007320BE">
        <w:rPr>
          <w:iCs/>
          <w:szCs w:val="22"/>
          <w:lang w:val="cs-CZ" w:eastAsia="en-US"/>
        </w:rPr>
        <w:t xml:space="preserve"> byly hlášeny gastrointestinální perforace (včetně fatálního </w:t>
      </w:r>
      <w:r w:rsidR="00DF2A2F" w:rsidRPr="007320BE">
        <w:rPr>
          <w:iCs/>
          <w:szCs w:val="22"/>
          <w:lang w:val="cs-CZ" w:eastAsia="en-US"/>
        </w:rPr>
        <w:t>ná</w:t>
      </w:r>
      <w:r w:rsidRPr="007320BE">
        <w:rPr>
          <w:iCs/>
          <w:szCs w:val="22"/>
          <w:lang w:val="cs-CZ" w:eastAsia="en-US"/>
        </w:rPr>
        <w:t>sledku) a píštěle</w:t>
      </w:r>
      <w:r w:rsidR="009D0EF8" w:rsidRPr="007320BE">
        <w:rPr>
          <w:iCs/>
          <w:szCs w:val="22"/>
          <w:lang w:val="cs-CZ" w:eastAsia="en-US"/>
        </w:rPr>
        <w:t xml:space="preserve"> (viz bod 4.8)</w:t>
      </w:r>
      <w:r w:rsidRPr="007320BE">
        <w:rPr>
          <w:iCs/>
          <w:szCs w:val="22"/>
          <w:lang w:val="cs-CZ" w:eastAsia="en-US"/>
        </w:rPr>
        <w:t xml:space="preserve">. Tyto příhody jsou také známy jako časté komplikace související s onemocněním u pacientů s </w:t>
      </w:r>
      <w:r w:rsidR="00DF2A2F" w:rsidRPr="007320BE">
        <w:rPr>
          <w:iCs/>
          <w:szCs w:val="22"/>
          <w:lang w:val="cs-CZ" w:eastAsia="en-US"/>
        </w:rPr>
        <w:t>intraabdominálními</w:t>
      </w:r>
      <w:r w:rsidRPr="007320BE">
        <w:rPr>
          <w:iCs/>
          <w:szCs w:val="22"/>
          <w:lang w:val="cs-CZ" w:eastAsia="en-US"/>
        </w:rPr>
        <w:t xml:space="preserve"> malignitami. Přerušení léčby přípravkem </w:t>
      </w:r>
      <w:proofErr w:type="spellStart"/>
      <w:r w:rsidRPr="007320BE">
        <w:rPr>
          <w:iCs/>
          <w:szCs w:val="22"/>
          <w:lang w:val="cs-CZ" w:eastAsia="en-US"/>
        </w:rPr>
        <w:t>Stivarga</w:t>
      </w:r>
      <w:proofErr w:type="spellEnd"/>
      <w:r w:rsidRPr="007320BE">
        <w:rPr>
          <w:iCs/>
          <w:szCs w:val="22"/>
          <w:lang w:val="cs-CZ" w:eastAsia="en-US"/>
        </w:rPr>
        <w:t xml:space="preserve"> </w:t>
      </w:r>
      <w:r w:rsidR="00DF2A2F" w:rsidRPr="007320BE">
        <w:rPr>
          <w:iCs/>
          <w:szCs w:val="22"/>
          <w:lang w:val="cs-CZ" w:eastAsia="en-US"/>
        </w:rPr>
        <w:t>s</w:t>
      </w:r>
      <w:r w:rsidRPr="007320BE">
        <w:rPr>
          <w:iCs/>
          <w:szCs w:val="22"/>
          <w:lang w:val="cs-CZ" w:eastAsia="en-US"/>
        </w:rPr>
        <w:t>e doporuč</w:t>
      </w:r>
      <w:r w:rsidR="00DF2A2F" w:rsidRPr="007320BE">
        <w:rPr>
          <w:iCs/>
          <w:szCs w:val="22"/>
          <w:lang w:val="cs-CZ" w:eastAsia="en-US"/>
        </w:rPr>
        <w:t>uje</w:t>
      </w:r>
      <w:r w:rsidRPr="007320BE">
        <w:rPr>
          <w:iCs/>
          <w:szCs w:val="22"/>
          <w:lang w:val="cs-CZ" w:eastAsia="en-US"/>
        </w:rPr>
        <w:t xml:space="preserve"> u pacientů, u kterých se vyvine gastrointestinální perforace nebo píštěl.</w:t>
      </w:r>
    </w:p>
    <w:p w14:paraId="7D457525" w14:textId="77777777" w:rsidR="007320BE" w:rsidRDefault="007320BE" w:rsidP="007320BE">
      <w:pPr>
        <w:spacing w:after="0"/>
        <w:rPr>
          <w:iCs/>
          <w:szCs w:val="22"/>
          <w:lang w:val="cs-CZ" w:eastAsia="en-US"/>
        </w:rPr>
      </w:pPr>
    </w:p>
    <w:p w14:paraId="7D457526" w14:textId="77777777" w:rsidR="00356F6E" w:rsidRPr="007320BE" w:rsidRDefault="00356F6E" w:rsidP="007320BE">
      <w:pPr>
        <w:spacing w:after="0"/>
        <w:rPr>
          <w:iCs/>
          <w:szCs w:val="22"/>
          <w:lang w:val="cs-CZ" w:eastAsia="en-US"/>
        </w:rPr>
      </w:pPr>
      <w:r w:rsidRPr="007320BE">
        <w:rPr>
          <w:iCs/>
          <w:szCs w:val="22"/>
          <w:u w:val="single"/>
          <w:lang w:val="cs-CZ"/>
        </w:rPr>
        <w:t>Srdeční isch</w:t>
      </w:r>
      <w:r w:rsidR="00037914" w:rsidRPr="007320BE">
        <w:rPr>
          <w:iCs/>
          <w:szCs w:val="22"/>
          <w:u w:val="single"/>
          <w:lang w:val="cs-CZ"/>
        </w:rPr>
        <w:t>e</w:t>
      </w:r>
      <w:r w:rsidRPr="007320BE">
        <w:rPr>
          <w:iCs/>
          <w:szCs w:val="22"/>
          <w:u w:val="single"/>
          <w:lang w:val="cs-CZ"/>
        </w:rPr>
        <w:t>mie a infarkt</w:t>
      </w:r>
    </w:p>
    <w:p w14:paraId="7D457527" w14:textId="77777777" w:rsidR="00356F6E" w:rsidRPr="003D520D" w:rsidRDefault="00356F6E" w:rsidP="00D707AB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 xml:space="preserve">Přípravek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Pr="003D520D">
        <w:rPr>
          <w:szCs w:val="22"/>
          <w:lang w:val="cs-CZ" w:eastAsia="en-US"/>
        </w:rPr>
        <w:t xml:space="preserve"> </w:t>
      </w:r>
      <w:r w:rsidR="00B20B86" w:rsidRPr="003D520D">
        <w:rPr>
          <w:szCs w:val="22"/>
          <w:lang w:val="cs-CZ" w:eastAsia="en-US"/>
        </w:rPr>
        <w:t>byl spoj</w:t>
      </w:r>
      <w:r w:rsidR="00915323" w:rsidRPr="003D520D">
        <w:rPr>
          <w:szCs w:val="22"/>
          <w:lang w:val="cs-CZ" w:eastAsia="en-US"/>
        </w:rPr>
        <w:t>en</w:t>
      </w:r>
      <w:r w:rsidRPr="003D520D">
        <w:rPr>
          <w:szCs w:val="22"/>
          <w:lang w:val="cs-CZ" w:eastAsia="en-US"/>
        </w:rPr>
        <w:t xml:space="preserve"> se zvýšeným výskytem isch</w:t>
      </w:r>
      <w:r w:rsidR="00037914">
        <w:rPr>
          <w:szCs w:val="22"/>
          <w:lang w:val="cs-CZ" w:eastAsia="en-US"/>
        </w:rPr>
        <w:t>e</w:t>
      </w:r>
      <w:r w:rsidRPr="003D520D">
        <w:rPr>
          <w:szCs w:val="22"/>
          <w:lang w:val="cs-CZ" w:eastAsia="en-US"/>
        </w:rPr>
        <w:t>mie myokardu a infarktu (viz bod</w:t>
      </w:r>
      <w:r w:rsidR="00622189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>4.8).</w:t>
      </w:r>
      <w:r w:rsidR="00663C3C" w:rsidRPr="003D520D">
        <w:rPr>
          <w:szCs w:val="22"/>
          <w:lang w:val="cs-CZ" w:eastAsia="en-US"/>
        </w:rPr>
        <w:t xml:space="preserve"> Pacienti s nestabilní anginou </w:t>
      </w:r>
      <w:r w:rsidR="00915323" w:rsidRPr="003D520D">
        <w:rPr>
          <w:szCs w:val="22"/>
          <w:lang w:val="cs-CZ" w:eastAsia="en-US"/>
        </w:rPr>
        <w:t xml:space="preserve">pectoris </w:t>
      </w:r>
      <w:r w:rsidR="00663C3C" w:rsidRPr="003D520D">
        <w:rPr>
          <w:szCs w:val="22"/>
          <w:lang w:val="cs-CZ" w:eastAsia="en-US"/>
        </w:rPr>
        <w:t xml:space="preserve">nebo nově </w:t>
      </w:r>
      <w:r w:rsidR="00A34919" w:rsidRPr="003D520D">
        <w:rPr>
          <w:szCs w:val="22"/>
          <w:lang w:val="cs-CZ" w:eastAsia="en-US"/>
        </w:rPr>
        <w:t xml:space="preserve">se vyskytující anginou </w:t>
      </w:r>
      <w:r w:rsidR="00915323" w:rsidRPr="003D520D">
        <w:rPr>
          <w:szCs w:val="22"/>
          <w:lang w:val="cs-CZ" w:eastAsia="en-US"/>
        </w:rPr>
        <w:t xml:space="preserve">pectoris </w:t>
      </w:r>
      <w:r w:rsidR="00A34919" w:rsidRPr="003D520D">
        <w:rPr>
          <w:szCs w:val="22"/>
          <w:lang w:val="cs-CZ" w:eastAsia="en-US"/>
        </w:rPr>
        <w:t>(během 3 </w:t>
      </w:r>
      <w:r w:rsidR="00663C3C" w:rsidRPr="003D520D">
        <w:rPr>
          <w:szCs w:val="22"/>
          <w:lang w:val="cs-CZ" w:eastAsia="en-US"/>
        </w:rPr>
        <w:t xml:space="preserve">měsíců od zahájení léčby přípravkem </w:t>
      </w:r>
      <w:proofErr w:type="spellStart"/>
      <w:r w:rsidR="00663C3C" w:rsidRPr="003D520D">
        <w:rPr>
          <w:szCs w:val="22"/>
          <w:lang w:val="cs-CZ" w:eastAsia="en-US"/>
        </w:rPr>
        <w:t>Stivarga</w:t>
      </w:r>
      <w:proofErr w:type="spellEnd"/>
      <w:r w:rsidR="00663C3C" w:rsidRPr="003D520D">
        <w:rPr>
          <w:szCs w:val="22"/>
          <w:lang w:val="cs-CZ" w:eastAsia="en-US"/>
        </w:rPr>
        <w:t>), nedávno proděla</w:t>
      </w:r>
      <w:r w:rsidR="00A34919" w:rsidRPr="003D520D">
        <w:rPr>
          <w:szCs w:val="22"/>
          <w:lang w:val="cs-CZ" w:eastAsia="en-US"/>
        </w:rPr>
        <w:t>ným infarktem myokardu (během 6 </w:t>
      </w:r>
      <w:r w:rsidR="00663C3C" w:rsidRPr="003D520D">
        <w:rPr>
          <w:szCs w:val="22"/>
          <w:lang w:val="cs-CZ" w:eastAsia="en-US"/>
        </w:rPr>
        <w:t xml:space="preserve">měsíců od zahájení léčby přípravkem </w:t>
      </w:r>
      <w:proofErr w:type="spellStart"/>
      <w:r w:rsidR="00663C3C" w:rsidRPr="003D520D">
        <w:rPr>
          <w:szCs w:val="22"/>
          <w:lang w:val="cs-CZ" w:eastAsia="en-US"/>
        </w:rPr>
        <w:t>Stivarga</w:t>
      </w:r>
      <w:proofErr w:type="spellEnd"/>
      <w:r w:rsidR="00663C3C" w:rsidRPr="003D520D">
        <w:rPr>
          <w:szCs w:val="22"/>
          <w:lang w:val="cs-CZ" w:eastAsia="en-US"/>
        </w:rPr>
        <w:t>) a pacie</w:t>
      </w:r>
      <w:r w:rsidR="00A34919" w:rsidRPr="003D520D">
        <w:rPr>
          <w:szCs w:val="22"/>
          <w:lang w:val="cs-CZ" w:eastAsia="en-US"/>
        </w:rPr>
        <w:t>nti se srdečním selháním stupně </w:t>
      </w:r>
      <w:r w:rsidR="00663C3C" w:rsidRPr="003D520D">
        <w:rPr>
          <w:szCs w:val="22"/>
          <w:lang w:val="cs-CZ" w:eastAsia="en-US"/>
        </w:rPr>
        <w:t xml:space="preserve">2 nebo vyšším podle klasifikace New York Hart </w:t>
      </w:r>
      <w:proofErr w:type="spellStart"/>
      <w:r w:rsidR="00663C3C" w:rsidRPr="003D520D">
        <w:rPr>
          <w:szCs w:val="22"/>
          <w:lang w:val="cs-CZ" w:eastAsia="en-US"/>
        </w:rPr>
        <w:t>Association</w:t>
      </w:r>
      <w:proofErr w:type="spellEnd"/>
      <w:r w:rsidR="00663C3C" w:rsidRPr="003D520D">
        <w:rPr>
          <w:szCs w:val="22"/>
          <w:lang w:val="cs-CZ" w:eastAsia="en-US"/>
        </w:rPr>
        <w:t xml:space="preserve"> (NYHA) byli z klinických studií vyřazeni. </w:t>
      </w:r>
    </w:p>
    <w:p w14:paraId="7D457528" w14:textId="77777777" w:rsidR="00356F6E" w:rsidRPr="003D520D" w:rsidRDefault="00356F6E" w:rsidP="00D707AB">
      <w:pPr>
        <w:spacing w:after="0"/>
        <w:rPr>
          <w:szCs w:val="22"/>
          <w:u w:val="single"/>
          <w:lang w:val="cs-CZ" w:eastAsia="en-US"/>
        </w:rPr>
      </w:pPr>
    </w:p>
    <w:p w14:paraId="7D457529" w14:textId="77777777" w:rsidR="007320BE" w:rsidRDefault="00356F6E" w:rsidP="007320BE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 xml:space="preserve">Pacienti s anamnézou ischemické choroby srdeční </w:t>
      </w:r>
      <w:r w:rsidR="00DF2A2F">
        <w:rPr>
          <w:szCs w:val="22"/>
          <w:lang w:val="cs-CZ" w:eastAsia="en-US"/>
        </w:rPr>
        <w:t>mají</w:t>
      </w:r>
      <w:r w:rsidRPr="003D520D">
        <w:rPr>
          <w:szCs w:val="22"/>
          <w:lang w:val="cs-CZ" w:eastAsia="en-US"/>
        </w:rPr>
        <w:t xml:space="preserve"> být sledováni s ohledem na klinické známky a příznaky isch</w:t>
      </w:r>
      <w:r w:rsidR="00037914">
        <w:rPr>
          <w:szCs w:val="22"/>
          <w:lang w:val="cs-CZ" w:eastAsia="en-US"/>
        </w:rPr>
        <w:t>e</w:t>
      </w:r>
      <w:r w:rsidRPr="003D520D">
        <w:rPr>
          <w:szCs w:val="22"/>
          <w:lang w:val="cs-CZ" w:eastAsia="en-US"/>
        </w:rPr>
        <w:t>mie myokardu. U pacientů, u kterých se vyvine isch</w:t>
      </w:r>
      <w:r w:rsidR="00037914">
        <w:rPr>
          <w:szCs w:val="22"/>
          <w:lang w:val="cs-CZ" w:eastAsia="en-US"/>
        </w:rPr>
        <w:t>e</w:t>
      </w:r>
      <w:r w:rsidRPr="003D520D">
        <w:rPr>
          <w:szCs w:val="22"/>
          <w:lang w:val="cs-CZ" w:eastAsia="en-US"/>
        </w:rPr>
        <w:t>mie myokardu a/nebo infarkt</w:t>
      </w:r>
      <w:r w:rsidR="00B20B86" w:rsidRPr="003D520D">
        <w:rPr>
          <w:szCs w:val="22"/>
          <w:lang w:val="cs-CZ" w:eastAsia="en-US"/>
        </w:rPr>
        <w:t>,</w:t>
      </w:r>
      <w:r w:rsidRPr="003D520D">
        <w:rPr>
          <w:szCs w:val="22"/>
          <w:lang w:val="cs-CZ" w:eastAsia="en-US"/>
        </w:rPr>
        <w:t xml:space="preserve"> </w:t>
      </w:r>
      <w:r w:rsidR="00DF2A2F">
        <w:rPr>
          <w:szCs w:val="22"/>
          <w:lang w:val="cs-CZ" w:eastAsia="en-US"/>
        </w:rPr>
        <w:t>s</w:t>
      </w:r>
      <w:r w:rsidRPr="003D520D">
        <w:rPr>
          <w:szCs w:val="22"/>
          <w:lang w:val="cs-CZ" w:eastAsia="en-US"/>
        </w:rPr>
        <w:t>e doporuč</w:t>
      </w:r>
      <w:r w:rsidR="00DF2A2F">
        <w:rPr>
          <w:szCs w:val="22"/>
          <w:lang w:val="cs-CZ" w:eastAsia="en-US"/>
        </w:rPr>
        <w:t xml:space="preserve">uje </w:t>
      </w:r>
      <w:r w:rsidRPr="003D520D">
        <w:rPr>
          <w:szCs w:val="22"/>
          <w:lang w:val="cs-CZ" w:eastAsia="en-US"/>
        </w:rPr>
        <w:t>přeruš</w:t>
      </w:r>
      <w:r w:rsidR="00DF2A2F">
        <w:rPr>
          <w:szCs w:val="22"/>
          <w:lang w:val="cs-CZ" w:eastAsia="en-US"/>
        </w:rPr>
        <w:t>it</w:t>
      </w:r>
      <w:r w:rsidRPr="003D520D">
        <w:rPr>
          <w:szCs w:val="22"/>
          <w:lang w:val="cs-CZ" w:eastAsia="en-US"/>
        </w:rPr>
        <w:t xml:space="preserve"> léčb</w:t>
      </w:r>
      <w:r w:rsidR="00DF2A2F">
        <w:rPr>
          <w:szCs w:val="22"/>
          <w:lang w:val="cs-CZ" w:eastAsia="en-US"/>
        </w:rPr>
        <w:t>u</w:t>
      </w:r>
      <w:r w:rsidRPr="003D520D">
        <w:rPr>
          <w:szCs w:val="22"/>
          <w:lang w:val="cs-CZ" w:eastAsia="en-US"/>
        </w:rPr>
        <w:t xml:space="preserve"> přípravkem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Pr="003D520D">
        <w:rPr>
          <w:szCs w:val="22"/>
          <w:lang w:val="cs-CZ" w:eastAsia="en-US"/>
        </w:rPr>
        <w:t xml:space="preserve"> až do vyřešení. Rozhodnutí znovu zahájit léčbu přípravkem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Pr="003D520D">
        <w:rPr>
          <w:szCs w:val="22"/>
          <w:lang w:val="cs-CZ" w:eastAsia="en-US"/>
        </w:rPr>
        <w:t xml:space="preserve"> </w:t>
      </w:r>
      <w:r w:rsidR="00DF2A2F">
        <w:rPr>
          <w:szCs w:val="22"/>
          <w:lang w:val="cs-CZ" w:eastAsia="en-US"/>
        </w:rPr>
        <w:t>má</w:t>
      </w:r>
      <w:r w:rsidRPr="003D520D">
        <w:rPr>
          <w:szCs w:val="22"/>
          <w:lang w:val="cs-CZ" w:eastAsia="en-US"/>
        </w:rPr>
        <w:t xml:space="preserve"> být založeno na pečlivém zvážení možných přínosů a rizik u jednotlivého pacienta. Přípravek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Pr="003D520D">
        <w:rPr>
          <w:szCs w:val="22"/>
          <w:lang w:val="cs-CZ" w:eastAsia="en-US"/>
        </w:rPr>
        <w:t xml:space="preserve"> </w:t>
      </w:r>
      <w:r w:rsidR="00DF2A2F">
        <w:rPr>
          <w:szCs w:val="22"/>
          <w:lang w:val="cs-CZ" w:eastAsia="en-US"/>
        </w:rPr>
        <w:t>má</w:t>
      </w:r>
      <w:r w:rsidRPr="003D520D">
        <w:rPr>
          <w:szCs w:val="22"/>
          <w:lang w:val="cs-CZ" w:eastAsia="en-US"/>
        </w:rPr>
        <w:t xml:space="preserve"> být trvale vysazen, pokud nedojde k žádnému vyřešení.</w:t>
      </w:r>
    </w:p>
    <w:p w14:paraId="7D45752A" w14:textId="77777777" w:rsidR="007320BE" w:rsidRDefault="007320BE" w:rsidP="007320BE">
      <w:pPr>
        <w:spacing w:after="0"/>
        <w:rPr>
          <w:szCs w:val="22"/>
          <w:lang w:val="cs-CZ" w:eastAsia="en-US"/>
        </w:rPr>
      </w:pPr>
    </w:p>
    <w:p w14:paraId="68047A48" w14:textId="77777777" w:rsidR="00355429" w:rsidRPr="00E75E69" w:rsidRDefault="00355429" w:rsidP="007320BE">
      <w:pPr>
        <w:spacing w:after="0"/>
        <w:rPr>
          <w:szCs w:val="22"/>
          <w:u w:val="single"/>
          <w:lang w:eastAsia="en-US"/>
        </w:rPr>
      </w:pPr>
      <w:proofErr w:type="spellStart"/>
      <w:r w:rsidRPr="00E75E69">
        <w:rPr>
          <w:szCs w:val="22"/>
          <w:u w:val="single"/>
          <w:lang w:eastAsia="en-US"/>
        </w:rPr>
        <w:t>Hyperamonemická</w:t>
      </w:r>
      <w:proofErr w:type="spellEnd"/>
      <w:r w:rsidRPr="00E75E69">
        <w:rPr>
          <w:szCs w:val="22"/>
          <w:u w:val="single"/>
          <w:lang w:eastAsia="en-US"/>
        </w:rPr>
        <w:t xml:space="preserve"> </w:t>
      </w:r>
      <w:proofErr w:type="spellStart"/>
      <w:r w:rsidRPr="00E75E69">
        <w:rPr>
          <w:szCs w:val="22"/>
          <w:u w:val="single"/>
          <w:lang w:eastAsia="en-US"/>
        </w:rPr>
        <w:t>encefalopatie</w:t>
      </w:r>
      <w:proofErr w:type="spellEnd"/>
      <w:r w:rsidRPr="00E75E69">
        <w:rPr>
          <w:szCs w:val="22"/>
          <w:u w:val="single"/>
          <w:lang w:eastAsia="en-US"/>
        </w:rPr>
        <w:t xml:space="preserve"> </w:t>
      </w:r>
    </w:p>
    <w:p w14:paraId="7623999E" w14:textId="4B0A5FA8" w:rsidR="00355429" w:rsidRDefault="00355429" w:rsidP="007320BE">
      <w:pPr>
        <w:spacing w:after="0"/>
        <w:rPr>
          <w:szCs w:val="22"/>
          <w:lang w:eastAsia="en-US"/>
        </w:rPr>
      </w:pPr>
      <w:proofErr w:type="spellStart"/>
      <w:r w:rsidRPr="00355429">
        <w:rPr>
          <w:szCs w:val="22"/>
          <w:lang w:eastAsia="en-US"/>
        </w:rPr>
        <w:t>Při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podávání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regorafenibu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byla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pozorována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hyperamonemická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encefalopatie</w:t>
      </w:r>
      <w:proofErr w:type="spellEnd"/>
      <w:r w:rsidRPr="00355429">
        <w:rPr>
          <w:szCs w:val="22"/>
          <w:lang w:eastAsia="en-US"/>
        </w:rPr>
        <w:t xml:space="preserve">, včetně </w:t>
      </w:r>
      <w:proofErr w:type="spellStart"/>
      <w:r w:rsidRPr="00355429">
        <w:rPr>
          <w:szCs w:val="22"/>
          <w:lang w:eastAsia="en-US"/>
        </w:rPr>
        <w:t>fatálních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případů</w:t>
      </w:r>
      <w:proofErr w:type="spellEnd"/>
      <w:r w:rsidRPr="00355429">
        <w:rPr>
          <w:szCs w:val="22"/>
          <w:lang w:eastAsia="en-US"/>
        </w:rPr>
        <w:t xml:space="preserve"> (viz bod 4.8). U </w:t>
      </w:r>
      <w:proofErr w:type="spellStart"/>
      <w:r w:rsidRPr="00355429">
        <w:rPr>
          <w:szCs w:val="22"/>
          <w:lang w:eastAsia="en-US"/>
        </w:rPr>
        <w:t>pacientů</w:t>
      </w:r>
      <w:proofErr w:type="spellEnd"/>
      <w:r w:rsidRPr="00355429">
        <w:rPr>
          <w:szCs w:val="22"/>
          <w:lang w:eastAsia="en-US"/>
        </w:rPr>
        <w:t xml:space="preserve">, u </w:t>
      </w:r>
      <w:proofErr w:type="spellStart"/>
      <w:r w:rsidRPr="00355429">
        <w:rPr>
          <w:szCs w:val="22"/>
          <w:lang w:eastAsia="en-US"/>
        </w:rPr>
        <w:t>nichž</w:t>
      </w:r>
      <w:proofErr w:type="spellEnd"/>
      <w:r w:rsidRPr="00355429">
        <w:rPr>
          <w:szCs w:val="22"/>
          <w:lang w:eastAsia="en-US"/>
        </w:rPr>
        <w:t xml:space="preserve"> se </w:t>
      </w:r>
      <w:proofErr w:type="spellStart"/>
      <w:r w:rsidRPr="00355429">
        <w:rPr>
          <w:szCs w:val="22"/>
          <w:lang w:eastAsia="en-US"/>
        </w:rPr>
        <w:t>objeví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nevysvětlitelná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letargie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nebo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změny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duševního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stavu</w:t>
      </w:r>
      <w:proofErr w:type="spellEnd"/>
      <w:r w:rsidRPr="00355429">
        <w:rPr>
          <w:szCs w:val="22"/>
          <w:lang w:eastAsia="en-US"/>
        </w:rPr>
        <w:t xml:space="preserve">, je </w:t>
      </w:r>
      <w:proofErr w:type="spellStart"/>
      <w:r w:rsidRPr="00355429">
        <w:rPr>
          <w:szCs w:val="22"/>
          <w:lang w:eastAsia="en-US"/>
        </w:rPr>
        <w:t>třeba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změřit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hladinu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amoniaku</w:t>
      </w:r>
      <w:proofErr w:type="spellEnd"/>
      <w:r w:rsidRPr="00355429">
        <w:rPr>
          <w:szCs w:val="22"/>
          <w:lang w:eastAsia="en-US"/>
        </w:rPr>
        <w:t xml:space="preserve"> a </w:t>
      </w:r>
      <w:proofErr w:type="spellStart"/>
      <w:r w:rsidRPr="00355429">
        <w:rPr>
          <w:szCs w:val="22"/>
          <w:lang w:eastAsia="en-US"/>
        </w:rPr>
        <w:t>zahájit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vhodnou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klinickou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léčbu</w:t>
      </w:r>
      <w:proofErr w:type="spellEnd"/>
      <w:r w:rsidRPr="00355429">
        <w:rPr>
          <w:szCs w:val="22"/>
          <w:lang w:eastAsia="en-US"/>
        </w:rPr>
        <w:t xml:space="preserve">. </w:t>
      </w:r>
      <w:proofErr w:type="spellStart"/>
      <w:r w:rsidRPr="00355429">
        <w:rPr>
          <w:szCs w:val="22"/>
          <w:lang w:eastAsia="en-US"/>
        </w:rPr>
        <w:t>Pokud</w:t>
      </w:r>
      <w:proofErr w:type="spellEnd"/>
      <w:r w:rsidRPr="00355429">
        <w:rPr>
          <w:szCs w:val="22"/>
          <w:lang w:eastAsia="en-US"/>
        </w:rPr>
        <w:t xml:space="preserve"> je </w:t>
      </w:r>
      <w:proofErr w:type="spellStart"/>
      <w:r w:rsidRPr="00355429">
        <w:rPr>
          <w:szCs w:val="22"/>
          <w:lang w:eastAsia="en-US"/>
        </w:rPr>
        <w:t>potvrzena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hyperamonemická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encefalopatie</w:t>
      </w:r>
      <w:proofErr w:type="spellEnd"/>
      <w:r w:rsidRPr="00355429">
        <w:rPr>
          <w:szCs w:val="22"/>
          <w:lang w:eastAsia="en-US"/>
        </w:rPr>
        <w:t xml:space="preserve">, </w:t>
      </w:r>
      <w:proofErr w:type="spellStart"/>
      <w:r w:rsidRPr="00355429">
        <w:rPr>
          <w:szCs w:val="22"/>
          <w:lang w:eastAsia="en-US"/>
        </w:rPr>
        <w:t>má</w:t>
      </w:r>
      <w:proofErr w:type="spellEnd"/>
      <w:r w:rsidRPr="00355429">
        <w:rPr>
          <w:szCs w:val="22"/>
          <w:lang w:eastAsia="en-US"/>
        </w:rPr>
        <w:t xml:space="preserve"> se </w:t>
      </w:r>
      <w:proofErr w:type="spellStart"/>
      <w:r w:rsidRPr="00355429">
        <w:rPr>
          <w:szCs w:val="22"/>
          <w:lang w:eastAsia="en-US"/>
        </w:rPr>
        <w:t>zvážit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trvalé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ukončení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léčby</w:t>
      </w:r>
      <w:proofErr w:type="spellEnd"/>
      <w:r w:rsidRPr="00355429">
        <w:rPr>
          <w:szCs w:val="22"/>
          <w:lang w:eastAsia="en-US"/>
        </w:rPr>
        <w:t xml:space="preserve"> </w:t>
      </w:r>
      <w:proofErr w:type="spellStart"/>
      <w:r w:rsidRPr="00355429">
        <w:rPr>
          <w:szCs w:val="22"/>
          <w:lang w:eastAsia="en-US"/>
        </w:rPr>
        <w:t>regorafenibem</w:t>
      </w:r>
      <w:proofErr w:type="spellEnd"/>
      <w:r w:rsidRPr="00355429">
        <w:rPr>
          <w:szCs w:val="22"/>
          <w:lang w:eastAsia="en-US"/>
        </w:rPr>
        <w:t>.</w:t>
      </w:r>
    </w:p>
    <w:p w14:paraId="52CA17EB" w14:textId="77777777" w:rsidR="00355429" w:rsidRDefault="00355429" w:rsidP="007320BE">
      <w:pPr>
        <w:spacing w:after="0"/>
        <w:rPr>
          <w:szCs w:val="22"/>
          <w:lang w:val="cs-CZ" w:eastAsia="en-US"/>
        </w:rPr>
      </w:pPr>
    </w:p>
    <w:p w14:paraId="7D45752B" w14:textId="77777777" w:rsidR="00356F6E" w:rsidRPr="007320BE" w:rsidRDefault="00356F6E" w:rsidP="007320BE">
      <w:pPr>
        <w:spacing w:after="0"/>
        <w:rPr>
          <w:iCs/>
          <w:szCs w:val="22"/>
          <w:lang w:val="cs-CZ" w:eastAsia="en-US"/>
        </w:rPr>
      </w:pPr>
      <w:r w:rsidRPr="007320BE">
        <w:rPr>
          <w:iCs/>
          <w:szCs w:val="22"/>
          <w:u w:val="single"/>
          <w:lang w:val="cs-CZ"/>
        </w:rPr>
        <w:t>Syndrom reverzibilní zadní encefalopatie</w:t>
      </w:r>
      <w:r w:rsidR="00A95D27" w:rsidRPr="007320BE">
        <w:rPr>
          <w:iCs/>
          <w:szCs w:val="22"/>
          <w:u w:val="single"/>
          <w:lang w:val="cs-CZ"/>
        </w:rPr>
        <w:t xml:space="preserve"> (PRES)</w:t>
      </w:r>
    </w:p>
    <w:p w14:paraId="7D45752C" w14:textId="77777777" w:rsidR="007320BE" w:rsidRDefault="00A95D27" w:rsidP="007320BE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>PRES</w:t>
      </w:r>
      <w:r w:rsidR="00356F6E" w:rsidRPr="003D520D">
        <w:rPr>
          <w:szCs w:val="22"/>
          <w:lang w:val="cs-CZ" w:eastAsia="en-US"/>
        </w:rPr>
        <w:t xml:space="preserve"> byl hlášen v souvislosti s léčbou přípravkem </w:t>
      </w:r>
      <w:proofErr w:type="spellStart"/>
      <w:r w:rsidR="00356F6E" w:rsidRPr="003D520D">
        <w:rPr>
          <w:szCs w:val="22"/>
          <w:lang w:val="cs-CZ" w:eastAsia="en-US"/>
        </w:rPr>
        <w:t>Stivarga</w:t>
      </w:r>
      <w:proofErr w:type="spellEnd"/>
      <w:r w:rsidR="00356F6E" w:rsidRPr="003D520D">
        <w:rPr>
          <w:szCs w:val="22"/>
          <w:lang w:val="cs-CZ" w:eastAsia="en-US"/>
        </w:rPr>
        <w:t xml:space="preserve"> (viz bod</w:t>
      </w:r>
      <w:r w:rsidR="00622189" w:rsidRPr="003D520D">
        <w:rPr>
          <w:szCs w:val="22"/>
          <w:lang w:val="cs-CZ" w:eastAsia="en-US"/>
        </w:rPr>
        <w:t> </w:t>
      </w:r>
      <w:r w:rsidR="00356F6E" w:rsidRPr="003D520D">
        <w:rPr>
          <w:szCs w:val="22"/>
          <w:lang w:val="cs-CZ" w:eastAsia="en-US"/>
        </w:rPr>
        <w:t xml:space="preserve">4.8). Známky a příznaky </w:t>
      </w:r>
      <w:r w:rsidRPr="003D520D">
        <w:rPr>
          <w:szCs w:val="22"/>
          <w:lang w:val="cs-CZ" w:eastAsia="en-US"/>
        </w:rPr>
        <w:t xml:space="preserve">PRES </w:t>
      </w:r>
      <w:r w:rsidR="00356F6E" w:rsidRPr="003D520D">
        <w:rPr>
          <w:szCs w:val="22"/>
          <w:lang w:val="cs-CZ" w:eastAsia="en-US"/>
        </w:rPr>
        <w:t xml:space="preserve">zahrnují </w:t>
      </w:r>
      <w:r w:rsidR="00DF2A2F">
        <w:rPr>
          <w:szCs w:val="22"/>
          <w:lang w:val="cs-CZ" w:eastAsia="en-US"/>
        </w:rPr>
        <w:t>epileptické záchvaty</w:t>
      </w:r>
      <w:r w:rsidR="00356F6E" w:rsidRPr="003D520D">
        <w:rPr>
          <w:szCs w:val="22"/>
          <w:lang w:val="cs-CZ" w:eastAsia="en-US"/>
        </w:rPr>
        <w:t>, bolest hlavy, změnu duševního stavu, poruchu zraku nebo kortikální slepotu</w:t>
      </w:r>
      <w:r w:rsidR="008A268D" w:rsidRPr="003D520D">
        <w:rPr>
          <w:szCs w:val="22"/>
          <w:lang w:val="cs-CZ" w:eastAsia="en-US"/>
        </w:rPr>
        <w:t>,</w:t>
      </w:r>
      <w:r w:rsidR="00356F6E" w:rsidRPr="003D520D">
        <w:rPr>
          <w:szCs w:val="22"/>
          <w:lang w:val="cs-CZ" w:eastAsia="en-US"/>
        </w:rPr>
        <w:t xml:space="preserve"> s</w:t>
      </w:r>
      <w:r w:rsidR="007F7579" w:rsidRPr="003D520D">
        <w:rPr>
          <w:szCs w:val="22"/>
          <w:lang w:val="cs-CZ" w:eastAsia="en-US"/>
        </w:rPr>
        <w:t> přidruženou hypertenzí nebo bez ní.</w:t>
      </w:r>
      <w:r w:rsidR="00356F6E" w:rsidRPr="003D520D">
        <w:rPr>
          <w:szCs w:val="22"/>
          <w:lang w:val="cs-CZ" w:eastAsia="en-US"/>
        </w:rPr>
        <w:t xml:space="preserve"> Diagnóza </w:t>
      </w:r>
      <w:r w:rsidRPr="003D520D">
        <w:rPr>
          <w:szCs w:val="22"/>
          <w:lang w:val="cs-CZ" w:eastAsia="en-US"/>
        </w:rPr>
        <w:t xml:space="preserve">PRES </w:t>
      </w:r>
      <w:r w:rsidR="00356F6E" w:rsidRPr="003D520D">
        <w:rPr>
          <w:szCs w:val="22"/>
          <w:lang w:val="cs-CZ" w:eastAsia="en-US"/>
        </w:rPr>
        <w:t xml:space="preserve">vyžaduje potvrzení pomocí </w:t>
      </w:r>
      <w:r w:rsidR="007F7579" w:rsidRPr="003D520D">
        <w:rPr>
          <w:szCs w:val="22"/>
          <w:lang w:val="cs-CZ" w:eastAsia="en-US"/>
        </w:rPr>
        <w:t>vyšetření</w:t>
      </w:r>
      <w:r w:rsidR="00356F6E" w:rsidRPr="003D520D">
        <w:rPr>
          <w:szCs w:val="22"/>
          <w:lang w:val="cs-CZ" w:eastAsia="en-US"/>
        </w:rPr>
        <w:t xml:space="preserve"> </w:t>
      </w:r>
      <w:r w:rsidR="00356F6E" w:rsidRPr="003D520D">
        <w:rPr>
          <w:szCs w:val="22"/>
          <w:lang w:val="cs-CZ" w:eastAsia="en-US"/>
        </w:rPr>
        <w:lastRenderedPageBreak/>
        <w:t>mozku</w:t>
      </w:r>
      <w:r w:rsidR="007F7579" w:rsidRPr="003D520D">
        <w:rPr>
          <w:szCs w:val="22"/>
          <w:lang w:val="cs-CZ" w:eastAsia="en-US"/>
        </w:rPr>
        <w:t xml:space="preserve"> zobrazovací metodou</w:t>
      </w:r>
      <w:r w:rsidR="00356F6E" w:rsidRPr="003D520D">
        <w:rPr>
          <w:szCs w:val="22"/>
          <w:lang w:val="cs-CZ" w:eastAsia="en-US"/>
        </w:rPr>
        <w:t xml:space="preserve">. U pacientů, u kterých se vyvine </w:t>
      </w:r>
      <w:r w:rsidRPr="003D520D">
        <w:rPr>
          <w:szCs w:val="22"/>
          <w:lang w:val="cs-CZ" w:eastAsia="en-US"/>
        </w:rPr>
        <w:t>PRES</w:t>
      </w:r>
      <w:r w:rsidR="00356F6E" w:rsidRPr="003D520D">
        <w:rPr>
          <w:szCs w:val="22"/>
          <w:lang w:val="cs-CZ" w:eastAsia="en-US"/>
        </w:rPr>
        <w:t xml:space="preserve">, </w:t>
      </w:r>
      <w:r w:rsidR="00DF2A2F">
        <w:rPr>
          <w:szCs w:val="22"/>
          <w:lang w:val="cs-CZ" w:eastAsia="en-US"/>
        </w:rPr>
        <w:t>s</w:t>
      </w:r>
      <w:r w:rsidR="00356F6E" w:rsidRPr="003D520D">
        <w:rPr>
          <w:szCs w:val="22"/>
          <w:lang w:val="cs-CZ" w:eastAsia="en-US"/>
        </w:rPr>
        <w:t>e doporuč</w:t>
      </w:r>
      <w:r w:rsidR="00DF2A2F">
        <w:rPr>
          <w:szCs w:val="22"/>
          <w:lang w:val="cs-CZ" w:eastAsia="en-US"/>
        </w:rPr>
        <w:t>uje</w:t>
      </w:r>
      <w:r w:rsidR="00356F6E" w:rsidRPr="003D520D">
        <w:rPr>
          <w:szCs w:val="22"/>
          <w:lang w:val="cs-CZ" w:eastAsia="en-US"/>
        </w:rPr>
        <w:t xml:space="preserve"> ukončit léčbu přípravkem </w:t>
      </w:r>
      <w:proofErr w:type="spellStart"/>
      <w:r w:rsidR="00356F6E" w:rsidRPr="003D520D">
        <w:rPr>
          <w:szCs w:val="22"/>
          <w:lang w:val="cs-CZ" w:eastAsia="en-US"/>
        </w:rPr>
        <w:t>Stivarga</w:t>
      </w:r>
      <w:proofErr w:type="spellEnd"/>
      <w:r w:rsidR="00356F6E" w:rsidRPr="003D520D">
        <w:rPr>
          <w:szCs w:val="22"/>
          <w:lang w:val="cs-CZ" w:eastAsia="en-US"/>
        </w:rPr>
        <w:t xml:space="preserve"> a provádět kontrolu hypertenze a podpůrnou léčbu dalších příznaků. </w:t>
      </w:r>
    </w:p>
    <w:p w14:paraId="7D45752D" w14:textId="77777777" w:rsidR="007320BE" w:rsidRDefault="007320BE" w:rsidP="007320BE">
      <w:pPr>
        <w:spacing w:after="0"/>
        <w:rPr>
          <w:szCs w:val="22"/>
          <w:lang w:val="cs-CZ" w:eastAsia="en-US"/>
        </w:rPr>
      </w:pPr>
    </w:p>
    <w:p w14:paraId="7D45752E" w14:textId="77777777" w:rsidR="006221CC" w:rsidRPr="007320BE" w:rsidRDefault="006221CC" w:rsidP="007320BE">
      <w:pPr>
        <w:spacing w:after="0"/>
        <w:rPr>
          <w:iCs/>
          <w:szCs w:val="22"/>
          <w:lang w:val="cs-CZ" w:eastAsia="en-US"/>
        </w:rPr>
      </w:pPr>
      <w:r w:rsidRPr="007320BE">
        <w:rPr>
          <w:iCs/>
          <w:szCs w:val="22"/>
          <w:u w:val="single"/>
          <w:lang w:val="cs-CZ"/>
        </w:rPr>
        <w:t>Arteriální hypertenze</w:t>
      </w:r>
    </w:p>
    <w:p w14:paraId="7D45752F" w14:textId="77777777" w:rsidR="006221CC" w:rsidRPr="003D520D" w:rsidRDefault="006221CC" w:rsidP="00D707AB">
      <w:pPr>
        <w:keepNext/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 xml:space="preserve">Přípravek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Pr="003D520D">
        <w:rPr>
          <w:szCs w:val="22"/>
          <w:lang w:val="cs-CZ" w:eastAsia="en-US"/>
        </w:rPr>
        <w:t xml:space="preserve"> </w:t>
      </w:r>
      <w:r w:rsidR="00C57E35" w:rsidRPr="003D520D">
        <w:rPr>
          <w:szCs w:val="22"/>
          <w:lang w:val="cs-CZ" w:eastAsia="en-US"/>
        </w:rPr>
        <w:t>byl spoj</w:t>
      </w:r>
      <w:r w:rsidR="008A268D" w:rsidRPr="003D520D">
        <w:rPr>
          <w:szCs w:val="22"/>
          <w:lang w:val="cs-CZ" w:eastAsia="en-US"/>
        </w:rPr>
        <w:t>en</w:t>
      </w:r>
      <w:r w:rsidRPr="003D520D">
        <w:rPr>
          <w:szCs w:val="22"/>
          <w:lang w:val="cs-CZ" w:eastAsia="en-US"/>
        </w:rPr>
        <w:t xml:space="preserve"> se zvýšeným výskytem arteriální hypertenze (viz bod</w:t>
      </w:r>
      <w:r w:rsidR="00622189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 xml:space="preserve">4.8). </w:t>
      </w:r>
      <w:r w:rsidR="00230397">
        <w:rPr>
          <w:szCs w:val="22"/>
          <w:lang w:val="cs-CZ" w:eastAsia="en-US"/>
        </w:rPr>
        <w:t>P</w:t>
      </w:r>
      <w:r w:rsidRPr="003D520D">
        <w:rPr>
          <w:szCs w:val="22"/>
          <w:lang w:val="cs-CZ" w:eastAsia="en-US"/>
        </w:rPr>
        <w:t xml:space="preserve">řed zahájením léčby přípravkem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="00230397">
        <w:rPr>
          <w:szCs w:val="22"/>
          <w:lang w:val="cs-CZ" w:eastAsia="en-US"/>
        </w:rPr>
        <w:t xml:space="preserve"> se má zkontrolovat krevní tlak</w:t>
      </w:r>
      <w:r w:rsidRPr="003D520D">
        <w:rPr>
          <w:szCs w:val="22"/>
          <w:lang w:val="cs-CZ" w:eastAsia="en-US"/>
        </w:rPr>
        <w:t xml:space="preserve">. </w:t>
      </w:r>
      <w:r w:rsidR="005B2BD6">
        <w:rPr>
          <w:szCs w:val="22"/>
          <w:lang w:val="cs-CZ" w:eastAsia="en-US"/>
        </w:rPr>
        <w:t>D</w:t>
      </w:r>
      <w:r w:rsidRPr="003D520D">
        <w:rPr>
          <w:szCs w:val="22"/>
          <w:lang w:val="cs-CZ" w:eastAsia="en-US"/>
        </w:rPr>
        <w:t>oporuč</w:t>
      </w:r>
      <w:r w:rsidR="005B2BD6">
        <w:rPr>
          <w:szCs w:val="22"/>
          <w:lang w:val="cs-CZ" w:eastAsia="en-US"/>
        </w:rPr>
        <w:t>uje se</w:t>
      </w:r>
      <w:r w:rsidRPr="003D520D">
        <w:rPr>
          <w:szCs w:val="22"/>
          <w:lang w:val="cs-CZ" w:eastAsia="en-US"/>
        </w:rPr>
        <w:t xml:space="preserve"> sledovat krevní tlak a léčit hypertenzi v souladu se standardní lékařskou praxí. V případech závažné nebo i přes odpovídající léčbu</w:t>
      </w:r>
      <w:r w:rsidR="00C57E35" w:rsidRPr="003D520D">
        <w:rPr>
          <w:szCs w:val="22"/>
          <w:lang w:val="cs-CZ" w:eastAsia="en-US"/>
        </w:rPr>
        <w:t xml:space="preserve"> přetrvávající hypertenze</w:t>
      </w:r>
      <w:r w:rsidRPr="003D520D">
        <w:rPr>
          <w:szCs w:val="22"/>
          <w:lang w:val="cs-CZ" w:eastAsia="en-US"/>
        </w:rPr>
        <w:t xml:space="preserve"> </w:t>
      </w:r>
      <w:r w:rsidR="005B2BD6">
        <w:rPr>
          <w:szCs w:val="22"/>
          <w:lang w:val="cs-CZ" w:eastAsia="en-US"/>
        </w:rPr>
        <w:t>má</w:t>
      </w:r>
      <w:r w:rsidR="000A7B6E" w:rsidRPr="003D520D">
        <w:rPr>
          <w:szCs w:val="22"/>
          <w:lang w:val="cs-CZ" w:eastAsia="en-US"/>
        </w:rPr>
        <w:t xml:space="preserve"> být </w:t>
      </w:r>
      <w:r w:rsidR="00FD63DC" w:rsidRPr="003D520D">
        <w:rPr>
          <w:szCs w:val="22"/>
          <w:lang w:val="cs-CZ" w:eastAsia="en-US"/>
        </w:rPr>
        <w:t xml:space="preserve">podle rozhodnutí lékaře </w:t>
      </w:r>
      <w:r w:rsidR="000A7B6E" w:rsidRPr="003D520D">
        <w:rPr>
          <w:szCs w:val="22"/>
          <w:lang w:val="cs-CZ" w:eastAsia="en-US"/>
        </w:rPr>
        <w:t xml:space="preserve">léčba </w:t>
      </w:r>
      <w:r w:rsidRPr="003D520D">
        <w:rPr>
          <w:szCs w:val="22"/>
          <w:lang w:val="cs-CZ" w:eastAsia="en-US"/>
        </w:rPr>
        <w:t xml:space="preserve">dočasně </w:t>
      </w:r>
      <w:r w:rsidR="00230397">
        <w:rPr>
          <w:szCs w:val="22"/>
          <w:lang w:val="cs-CZ" w:eastAsia="en-US"/>
        </w:rPr>
        <w:t>přerušena</w:t>
      </w:r>
      <w:r w:rsidRPr="003D520D">
        <w:rPr>
          <w:szCs w:val="22"/>
          <w:lang w:val="cs-CZ" w:eastAsia="en-US"/>
        </w:rPr>
        <w:t xml:space="preserve"> a/nebo </w:t>
      </w:r>
      <w:r w:rsidR="00FD63DC">
        <w:rPr>
          <w:szCs w:val="22"/>
          <w:lang w:val="cs-CZ" w:eastAsia="en-US"/>
        </w:rPr>
        <w:t>má</w:t>
      </w:r>
      <w:r w:rsidRPr="003D520D">
        <w:rPr>
          <w:szCs w:val="22"/>
          <w:lang w:val="cs-CZ" w:eastAsia="en-US"/>
        </w:rPr>
        <w:t xml:space="preserve"> být snížena dávka (viz bod</w:t>
      </w:r>
      <w:r w:rsidR="00622189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 xml:space="preserve">4.2). V případě hypertenzní krize </w:t>
      </w:r>
      <w:r w:rsidR="00FD63DC">
        <w:rPr>
          <w:szCs w:val="22"/>
          <w:lang w:val="cs-CZ" w:eastAsia="en-US"/>
        </w:rPr>
        <w:t>má</w:t>
      </w:r>
      <w:r w:rsidRPr="003D520D">
        <w:rPr>
          <w:szCs w:val="22"/>
          <w:lang w:val="cs-CZ" w:eastAsia="en-US"/>
        </w:rPr>
        <w:t xml:space="preserve"> být </w:t>
      </w:r>
      <w:r w:rsidR="005343E0" w:rsidRPr="003D520D">
        <w:rPr>
          <w:szCs w:val="22"/>
          <w:lang w:val="cs-CZ" w:eastAsia="en-US"/>
        </w:rPr>
        <w:t xml:space="preserve">přípravek </w:t>
      </w:r>
      <w:proofErr w:type="spellStart"/>
      <w:r w:rsidR="005343E0" w:rsidRPr="003D520D">
        <w:rPr>
          <w:szCs w:val="22"/>
          <w:lang w:val="cs-CZ" w:eastAsia="en-US"/>
        </w:rPr>
        <w:t>Stivarga</w:t>
      </w:r>
      <w:proofErr w:type="spellEnd"/>
      <w:r w:rsidR="005343E0" w:rsidRPr="003D520D">
        <w:rPr>
          <w:szCs w:val="22"/>
          <w:lang w:val="cs-CZ" w:eastAsia="en-US"/>
        </w:rPr>
        <w:t xml:space="preserve"> </w:t>
      </w:r>
      <w:r w:rsidRPr="003D520D">
        <w:rPr>
          <w:szCs w:val="22"/>
          <w:lang w:val="cs-CZ" w:eastAsia="en-US"/>
        </w:rPr>
        <w:t>vysazen.</w:t>
      </w:r>
    </w:p>
    <w:p w14:paraId="7D457530" w14:textId="77777777" w:rsidR="00356F6E" w:rsidRPr="003D520D" w:rsidRDefault="00356F6E" w:rsidP="00D707AB">
      <w:pPr>
        <w:spacing w:after="0"/>
        <w:rPr>
          <w:szCs w:val="22"/>
          <w:lang w:val="cs-CZ" w:eastAsia="en-US"/>
        </w:rPr>
      </w:pPr>
    </w:p>
    <w:p w14:paraId="7D457531" w14:textId="77777777" w:rsidR="003420DD" w:rsidRPr="003420DD" w:rsidRDefault="003420DD" w:rsidP="00D707AB">
      <w:pPr>
        <w:pStyle w:val="Zkladntext"/>
        <w:kinsoku w:val="0"/>
        <w:overflowPunct w:val="0"/>
        <w:spacing w:before="1"/>
        <w:ind w:right="5359"/>
        <w:rPr>
          <w:i w:val="0"/>
          <w:color w:val="auto"/>
          <w:u w:val="single"/>
          <w:lang w:val="cs-CZ"/>
        </w:rPr>
      </w:pPr>
      <w:r w:rsidRPr="003420DD">
        <w:rPr>
          <w:i w:val="0"/>
          <w:color w:val="auto"/>
          <w:u w:val="single"/>
          <w:lang w:val="cs-CZ"/>
        </w:rPr>
        <w:t>Aneurysmata a arteriální disekce</w:t>
      </w:r>
    </w:p>
    <w:p w14:paraId="7D457532" w14:textId="77777777" w:rsidR="007320BE" w:rsidRDefault="003420DD" w:rsidP="007320BE">
      <w:pPr>
        <w:pStyle w:val="Zkladntext"/>
        <w:kinsoku w:val="0"/>
        <w:overflowPunct w:val="0"/>
        <w:ind w:right="94"/>
        <w:rPr>
          <w:i w:val="0"/>
          <w:color w:val="auto"/>
          <w:lang w:val="cs-CZ"/>
        </w:rPr>
      </w:pPr>
      <w:r w:rsidRPr="003420DD">
        <w:rPr>
          <w:i w:val="0"/>
          <w:color w:val="auto"/>
          <w:lang w:val="cs-CZ"/>
        </w:rPr>
        <w:t xml:space="preserve">Používání inhibitorů dráhy VEGF u pacientů s hypertenzí nebo bez hypertenze může přispět k tvorbě aneurysmat a/nebo arteriálních disekcí. U pacientů s rizikovými faktory, jako jsou hypertenze nebo aneurysma v anamnéze, se má před zahájením užívání přípravku </w:t>
      </w:r>
      <w:proofErr w:type="spellStart"/>
      <w:r>
        <w:rPr>
          <w:i w:val="0"/>
          <w:color w:val="auto"/>
          <w:lang w:val="cs-CZ"/>
        </w:rPr>
        <w:t>Stivarga</w:t>
      </w:r>
      <w:proofErr w:type="spellEnd"/>
      <w:r w:rsidRPr="003420DD">
        <w:rPr>
          <w:i w:val="0"/>
          <w:color w:val="auto"/>
          <w:lang w:val="cs-CZ"/>
        </w:rPr>
        <w:t xml:space="preserve"> toto riziko pečlivě zvážit</w:t>
      </w:r>
      <w:r w:rsidR="007320BE">
        <w:rPr>
          <w:i w:val="0"/>
          <w:color w:val="auto"/>
          <w:lang w:val="cs-CZ"/>
        </w:rPr>
        <w:t>.</w:t>
      </w:r>
    </w:p>
    <w:p w14:paraId="590C07F9" w14:textId="435AD8C8" w:rsidR="00A13B5C" w:rsidRDefault="00067CAC" w:rsidP="007320BE">
      <w:pPr>
        <w:pStyle w:val="Zkladntext"/>
        <w:kinsoku w:val="0"/>
        <w:overflowPunct w:val="0"/>
        <w:ind w:right="94"/>
        <w:rPr>
          <w:i w:val="0"/>
          <w:color w:val="auto"/>
          <w:szCs w:val="22"/>
          <w:u w:val="single"/>
          <w:lang w:val="cs-CZ"/>
        </w:rPr>
      </w:pPr>
      <w:r>
        <w:rPr>
          <w:i w:val="0"/>
          <w:color w:val="auto"/>
          <w:szCs w:val="22"/>
          <w:u w:val="single"/>
          <w:lang w:val="cs-CZ"/>
        </w:rPr>
        <w:t>Trombotická m</w:t>
      </w:r>
      <w:r w:rsidR="00AC5EBB">
        <w:rPr>
          <w:i w:val="0"/>
          <w:color w:val="auto"/>
          <w:szCs w:val="22"/>
          <w:u w:val="single"/>
          <w:lang w:val="cs-CZ"/>
        </w:rPr>
        <w:t>i</w:t>
      </w:r>
      <w:r>
        <w:rPr>
          <w:i w:val="0"/>
          <w:color w:val="auto"/>
          <w:szCs w:val="22"/>
          <w:u w:val="single"/>
          <w:lang w:val="cs-CZ"/>
        </w:rPr>
        <w:t>kroangiopatie (TMA)</w:t>
      </w:r>
    </w:p>
    <w:p w14:paraId="7D457534" w14:textId="54EFF4BA" w:rsidR="00356F6E" w:rsidRPr="007320BE" w:rsidRDefault="00EF4B84" w:rsidP="007320BE">
      <w:pPr>
        <w:pStyle w:val="Zkladntext"/>
        <w:kinsoku w:val="0"/>
        <w:overflowPunct w:val="0"/>
        <w:ind w:right="94"/>
        <w:rPr>
          <w:i w:val="0"/>
          <w:color w:val="auto"/>
          <w:szCs w:val="22"/>
          <w:u w:val="single"/>
          <w:lang w:val="cs-CZ"/>
        </w:rPr>
      </w:pPr>
      <w:r>
        <w:rPr>
          <w:i w:val="0"/>
          <w:color w:val="auto"/>
          <w:szCs w:val="22"/>
          <w:lang w:val="cs-CZ"/>
        </w:rPr>
        <w:t>S </w:t>
      </w:r>
      <w:r w:rsidR="005449FA">
        <w:rPr>
          <w:i w:val="0"/>
          <w:color w:val="auto"/>
          <w:szCs w:val="22"/>
          <w:lang w:val="cs-CZ"/>
        </w:rPr>
        <w:t>u</w:t>
      </w:r>
      <w:r>
        <w:rPr>
          <w:i w:val="0"/>
          <w:color w:val="auto"/>
          <w:szCs w:val="22"/>
          <w:lang w:val="cs-CZ"/>
        </w:rPr>
        <w:t xml:space="preserve">žíváním přípravku </w:t>
      </w:r>
      <w:proofErr w:type="spellStart"/>
      <w:r>
        <w:rPr>
          <w:i w:val="0"/>
          <w:color w:val="auto"/>
          <w:szCs w:val="22"/>
          <w:lang w:val="cs-CZ"/>
        </w:rPr>
        <w:t>Stivarga</w:t>
      </w:r>
      <w:proofErr w:type="spellEnd"/>
      <w:r>
        <w:rPr>
          <w:i w:val="0"/>
          <w:color w:val="auto"/>
          <w:szCs w:val="22"/>
          <w:lang w:val="cs-CZ"/>
        </w:rPr>
        <w:t xml:space="preserve"> </w:t>
      </w:r>
      <w:r w:rsidR="008A0F19">
        <w:rPr>
          <w:i w:val="0"/>
          <w:color w:val="auto"/>
          <w:szCs w:val="22"/>
          <w:lang w:val="cs-CZ"/>
        </w:rPr>
        <w:t>je</w:t>
      </w:r>
      <w:r w:rsidR="005449FA">
        <w:rPr>
          <w:i w:val="0"/>
          <w:color w:val="auto"/>
          <w:szCs w:val="22"/>
          <w:lang w:val="cs-CZ"/>
        </w:rPr>
        <w:t xml:space="preserve"> spojena</w:t>
      </w:r>
      <w:r w:rsidR="00707E0C">
        <w:rPr>
          <w:i w:val="0"/>
          <w:color w:val="auto"/>
          <w:szCs w:val="22"/>
          <w:lang w:val="cs-CZ"/>
        </w:rPr>
        <w:t xml:space="preserve"> </w:t>
      </w:r>
      <w:r w:rsidR="00EF4684">
        <w:rPr>
          <w:i w:val="0"/>
          <w:color w:val="auto"/>
          <w:szCs w:val="22"/>
          <w:lang w:val="cs-CZ"/>
        </w:rPr>
        <w:t>t</w:t>
      </w:r>
      <w:r w:rsidR="00AC5EBB">
        <w:rPr>
          <w:i w:val="0"/>
          <w:color w:val="auto"/>
          <w:szCs w:val="22"/>
          <w:lang w:val="cs-CZ"/>
        </w:rPr>
        <w:t>rombotická mikroangiopatie</w:t>
      </w:r>
      <w:r w:rsidR="00D24831">
        <w:rPr>
          <w:i w:val="0"/>
          <w:color w:val="auto"/>
          <w:szCs w:val="22"/>
          <w:lang w:val="cs-CZ"/>
        </w:rPr>
        <w:t xml:space="preserve"> (TMA)</w:t>
      </w:r>
      <w:r w:rsidR="00C93EF7">
        <w:rPr>
          <w:i w:val="0"/>
          <w:color w:val="auto"/>
          <w:szCs w:val="22"/>
          <w:lang w:val="cs-CZ"/>
        </w:rPr>
        <w:t>, včetně trombotické</w:t>
      </w:r>
      <w:r w:rsidR="005E52BD">
        <w:rPr>
          <w:i w:val="0"/>
          <w:color w:val="auto"/>
          <w:szCs w:val="22"/>
          <w:lang w:val="cs-CZ"/>
        </w:rPr>
        <w:t xml:space="preserve"> trombocytopenické purpury</w:t>
      </w:r>
      <w:r w:rsidR="00355FA6">
        <w:rPr>
          <w:i w:val="0"/>
          <w:color w:val="auto"/>
          <w:szCs w:val="22"/>
          <w:lang w:val="cs-CZ"/>
        </w:rPr>
        <w:t xml:space="preserve"> (TTP)</w:t>
      </w:r>
      <w:r w:rsidR="00EF4684">
        <w:rPr>
          <w:i w:val="0"/>
          <w:color w:val="auto"/>
          <w:szCs w:val="22"/>
          <w:lang w:val="cs-CZ"/>
        </w:rPr>
        <w:t xml:space="preserve"> </w:t>
      </w:r>
      <w:r w:rsidR="00526EA5">
        <w:rPr>
          <w:i w:val="0"/>
          <w:color w:val="auto"/>
          <w:szCs w:val="22"/>
          <w:lang w:val="cs-CZ"/>
        </w:rPr>
        <w:t>(viz bod 4.8).</w:t>
      </w:r>
      <w:r w:rsidR="00033649">
        <w:rPr>
          <w:i w:val="0"/>
          <w:color w:val="auto"/>
          <w:szCs w:val="22"/>
          <w:lang w:val="cs-CZ"/>
        </w:rPr>
        <w:t xml:space="preserve"> </w:t>
      </w:r>
      <w:r w:rsidR="003805BE">
        <w:rPr>
          <w:i w:val="0"/>
          <w:color w:val="auto"/>
          <w:szCs w:val="22"/>
          <w:lang w:val="cs-CZ"/>
        </w:rPr>
        <w:t>O d</w:t>
      </w:r>
      <w:r w:rsidR="007935C1">
        <w:rPr>
          <w:i w:val="0"/>
          <w:color w:val="auto"/>
          <w:szCs w:val="22"/>
          <w:lang w:val="cs-CZ"/>
        </w:rPr>
        <w:t>iagnóz</w:t>
      </w:r>
      <w:r w:rsidR="003805BE">
        <w:rPr>
          <w:i w:val="0"/>
          <w:color w:val="auto"/>
          <w:szCs w:val="22"/>
          <w:lang w:val="cs-CZ"/>
        </w:rPr>
        <w:t>e</w:t>
      </w:r>
      <w:r w:rsidR="007935C1">
        <w:rPr>
          <w:i w:val="0"/>
          <w:color w:val="auto"/>
          <w:szCs w:val="22"/>
          <w:lang w:val="cs-CZ"/>
        </w:rPr>
        <w:t xml:space="preserve"> TMA </w:t>
      </w:r>
      <w:r w:rsidR="00F035C7">
        <w:rPr>
          <w:i w:val="0"/>
          <w:color w:val="auto"/>
          <w:szCs w:val="22"/>
          <w:lang w:val="cs-CZ"/>
        </w:rPr>
        <w:t xml:space="preserve">je třeba </w:t>
      </w:r>
      <w:r w:rsidR="003805BE">
        <w:rPr>
          <w:i w:val="0"/>
          <w:color w:val="auto"/>
          <w:szCs w:val="22"/>
          <w:lang w:val="cs-CZ"/>
        </w:rPr>
        <w:t>uvažovat</w:t>
      </w:r>
      <w:r w:rsidR="00F035C7">
        <w:rPr>
          <w:i w:val="0"/>
          <w:color w:val="auto"/>
          <w:szCs w:val="22"/>
          <w:lang w:val="cs-CZ"/>
        </w:rPr>
        <w:t xml:space="preserve"> u pacientů </w:t>
      </w:r>
      <w:r w:rsidR="00722DAC">
        <w:rPr>
          <w:i w:val="0"/>
          <w:color w:val="auto"/>
          <w:szCs w:val="22"/>
          <w:lang w:val="cs-CZ"/>
        </w:rPr>
        <w:t xml:space="preserve">s hemolytickou anémií, trombocytopenií, </w:t>
      </w:r>
      <w:r w:rsidR="008B36D4">
        <w:rPr>
          <w:i w:val="0"/>
          <w:color w:val="auto"/>
          <w:szCs w:val="22"/>
          <w:lang w:val="cs-CZ"/>
        </w:rPr>
        <w:t>únavou</w:t>
      </w:r>
      <w:r w:rsidR="00783E82">
        <w:rPr>
          <w:i w:val="0"/>
          <w:color w:val="auto"/>
          <w:szCs w:val="22"/>
          <w:lang w:val="cs-CZ"/>
        </w:rPr>
        <w:t xml:space="preserve">, </w:t>
      </w:r>
      <w:r w:rsidR="00FF23C0">
        <w:rPr>
          <w:i w:val="0"/>
          <w:color w:val="auto"/>
          <w:szCs w:val="22"/>
          <w:lang w:val="cs-CZ"/>
        </w:rPr>
        <w:t>kolísavými neurologickými projevy</w:t>
      </w:r>
      <w:r w:rsidR="00B81733">
        <w:rPr>
          <w:i w:val="0"/>
          <w:color w:val="auto"/>
          <w:szCs w:val="22"/>
          <w:lang w:val="cs-CZ"/>
        </w:rPr>
        <w:t xml:space="preserve">, </w:t>
      </w:r>
      <w:r w:rsidR="009A790C">
        <w:rPr>
          <w:i w:val="0"/>
          <w:color w:val="auto"/>
          <w:szCs w:val="22"/>
          <w:lang w:val="cs-CZ"/>
        </w:rPr>
        <w:t>poruchou funkce ledvin</w:t>
      </w:r>
      <w:r w:rsidR="00A90794">
        <w:rPr>
          <w:i w:val="0"/>
          <w:color w:val="auto"/>
          <w:szCs w:val="22"/>
          <w:lang w:val="cs-CZ"/>
        </w:rPr>
        <w:t xml:space="preserve"> a horečkou. </w:t>
      </w:r>
      <w:r w:rsidR="00260313">
        <w:rPr>
          <w:i w:val="0"/>
          <w:color w:val="auto"/>
          <w:szCs w:val="22"/>
          <w:lang w:val="cs-CZ"/>
        </w:rPr>
        <w:t>U pacientů, u k</w:t>
      </w:r>
      <w:r w:rsidR="006834C0">
        <w:rPr>
          <w:i w:val="0"/>
          <w:color w:val="auto"/>
          <w:szCs w:val="22"/>
          <w:lang w:val="cs-CZ"/>
        </w:rPr>
        <w:t>t</w:t>
      </w:r>
      <w:r w:rsidR="00260313">
        <w:rPr>
          <w:i w:val="0"/>
          <w:color w:val="auto"/>
          <w:szCs w:val="22"/>
          <w:lang w:val="cs-CZ"/>
        </w:rPr>
        <w:t xml:space="preserve">erých </w:t>
      </w:r>
      <w:r w:rsidR="008B36D4">
        <w:rPr>
          <w:i w:val="0"/>
          <w:color w:val="auto"/>
          <w:szCs w:val="22"/>
          <w:lang w:val="cs-CZ"/>
        </w:rPr>
        <w:t>dojde k rozvoji</w:t>
      </w:r>
      <w:r w:rsidR="00260313">
        <w:rPr>
          <w:i w:val="0"/>
          <w:color w:val="auto"/>
          <w:szCs w:val="22"/>
          <w:lang w:val="cs-CZ"/>
        </w:rPr>
        <w:t xml:space="preserve"> </w:t>
      </w:r>
      <w:r w:rsidR="00984502">
        <w:rPr>
          <w:i w:val="0"/>
          <w:color w:val="auto"/>
          <w:szCs w:val="22"/>
          <w:lang w:val="cs-CZ"/>
        </w:rPr>
        <w:t xml:space="preserve">TMA, </w:t>
      </w:r>
      <w:r w:rsidR="008F6FF8">
        <w:rPr>
          <w:i w:val="0"/>
          <w:color w:val="auto"/>
          <w:szCs w:val="22"/>
          <w:lang w:val="cs-CZ"/>
        </w:rPr>
        <w:t xml:space="preserve">má být </w:t>
      </w:r>
      <w:r w:rsidR="00337079">
        <w:rPr>
          <w:i w:val="0"/>
          <w:color w:val="auto"/>
          <w:szCs w:val="22"/>
          <w:lang w:val="cs-CZ"/>
        </w:rPr>
        <w:t>podávání</w:t>
      </w:r>
      <w:r w:rsidR="00984502">
        <w:rPr>
          <w:i w:val="0"/>
          <w:color w:val="auto"/>
          <w:szCs w:val="22"/>
          <w:lang w:val="cs-CZ"/>
        </w:rPr>
        <w:t xml:space="preserve"> </w:t>
      </w:r>
      <w:proofErr w:type="spellStart"/>
      <w:r w:rsidR="003008FB">
        <w:rPr>
          <w:i w:val="0"/>
          <w:color w:val="auto"/>
          <w:szCs w:val="22"/>
          <w:lang w:val="cs-CZ"/>
        </w:rPr>
        <w:t>regorafenib</w:t>
      </w:r>
      <w:r w:rsidR="008816DD">
        <w:rPr>
          <w:i w:val="0"/>
          <w:color w:val="auto"/>
          <w:szCs w:val="22"/>
          <w:lang w:val="cs-CZ"/>
        </w:rPr>
        <w:t>u</w:t>
      </w:r>
      <w:proofErr w:type="spellEnd"/>
      <w:r w:rsidR="003008FB">
        <w:rPr>
          <w:i w:val="0"/>
          <w:color w:val="auto"/>
          <w:szCs w:val="22"/>
          <w:lang w:val="cs-CZ"/>
        </w:rPr>
        <w:t xml:space="preserve"> </w:t>
      </w:r>
      <w:r w:rsidR="008F6FF8">
        <w:rPr>
          <w:i w:val="0"/>
          <w:color w:val="auto"/>
          <w:szCs w:val="22"/>
          <w:lang w:val="cs-CZ"/>
        </w:rPr>
        <w:t>přerušen</w:t>
      </w:r>
      <w:r w:rsidR="008816DD">
        <w:rPr>
          <w:i w:val="0"/>
          <w:color w:val="auto"/>
          <w:szCs w:val="22"/>
          <w:lang w:val="cs-CZ"/>
        </w:rPr>
        <w:t>o</w:t>
      </w:r>
      <w:r w:rsidR="008F6FF8">
        <w:rPr>
          <w:i w:val="0"/>
          <w:color w:val="auto"/>
          <w:szCs w:val="22"/>
          <w:lang w:val="cs-CZ"/>
        </w:rPr>
        <w:t xml:space="preserve"> </w:t>
      </w:r>
      <w:r w:rsidR="00F7014B">
        <w:rPr>
          <w:i w:val="0"/>
          <w:color w:val="auto"/>
          <w:szCs w:val="22"/>
          <w:lang w:val="cs-CZ"/>
        </w:rPr>
        <w:t xml:space="preserve">a zahájena </w:t>
      </w:r>
      <w:r w:rsidR="00760A74">
        <w:rPr>
          <w:i w:val="0"/>
          <w:color w:val="auto"/>
          <w:szCs w:val="22"/>
          <w:lang w:val="cs-CZ"/>
        </w:rPr>
        <w:t>okamžitá</w:t>
      </w:r>
      <w:r w:rsidR="00F7014B">
        <w:rPr>
          <w:i w:val="0"/>
          <w:color w:val="auto"/>
          <w:szCs w:val="22"/>
          <w:lang w:val="cs-CZ"/>
        </w:rPr>
        <w:t xml:space="preserve"> léč</w:t>
      </w:r>
      <w:r w:rsidR="00337079">
        <w:rPr>
          <w:i w:val="0"/>
          <w:color w:val="auto"/>
          <w:szCs w:val="22"/>
          <w:lang w:val="cs-CZ"/>
        </w:rPr>
        <w:t>ba.</w:t>
      </w:r>
      <w:r w:rsidR="00EA1599">
        <w:rPr>
          <w:i w:val="0"/>
          <w:color w:val="auto"/>
          <w:szCs w:val="22"/>
          <w:lang w:val="cs-CZ"/>
        </w:rPr>
        <w:t xml:space="preserve"> Po ukončení léčby byl pozorován </w:t>
      </w:r>
      <w:proofErr w:type="spellStart"/>
      <w:r w:rsidR="00760A74">
        <w:rPr>
          <w:i w:val="0"/>
          <w:color w:val="auto"/>
          <w:szCs w:val="22"/>
          <w:lang w:val="cs-CZ"/>
        </w:rPr>
        <w:t>śtup</w:t>
      </w:r>
      <w:proofErr w:type="spellEnd"/>
      <w:r w:rsidR="00EA1599">
        <w:rPr>
          <w:i w:val="0"/>
          <w:color w:val="auto"/>
          <w:szCs w:val="22"/>
          <w:lang w:val="cs-CZ"/>
        </w:rPr>
        <w:t xml:space="preserve"> účinků </w:t>
      </w:r>
      <w:proofErr w:type="spellStart"/>
      <w:r w:rsidR="00EA1599">
        <w:rPr>
          <w:i w:val="0"/>
          <w:color w:val="auto"/>
          <w:szCs w:val="22"/>
          <w:lang w:val="cs-CZ"/>
        </w:rPr>
        <w:t>TMA.</w:t>
      </w:r>
      <w:r w:rsidR="00356F6E" w:rsidRPr="007320BE">
        <w:rPr>
          <w:i w:val="0"/>
          <w:color w:val="auto"/>
          <w:szCs w:val="22"/>
          <w:u w:val="single"/>
          <w:lang w:val="cs-CZ"/>
        </w:rPr>
        <w:t>Komplikace</w:t>
      </w:r>
      <w:proofErr w:type="spellEnd"/>
      <w:r w:rsidR="00356F6E" w:rsidRPr="007320BE">
        <w:rPr>
          <w:i w:val="0"/>
          <w:color w:val="auto"/>
          <w:szCs w:val="22"/>
          <w:u w:val="single"/>
          <w:lang w:val="cs-CZ"/>
        </w:rPr>
        <w:t xml:space="preserve"> hojení r</w:t>
      </w:r>
      <w:r w:rsidR="00C57E35" w:rsidRPr="007320BE">
        <w:rPr>
          <w:i w:val="0"/>
          <w:color w:val="auto"/>
          <w:szCs w:val="22"/>
          <w:u w:val="single"/>
          <w:lang w:val="cs-CZ"/>
        </w:rPr>
        <w:t>an</w:t>
      </w:r>
    </w:p>
    <w:p w14:paraId="7D457535" w14:textId="77777777" w:rsidR="00356F6E" w:rsidRPr="003D520D" w:rsidRDefault="004245F4" w:rsidP="00D707AB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>P</w:t>
      </w:r>
      <w:r w:rsidR="00356F6E" w:rsidRPr="003D520D">
        <w:rPr>
          <w:szCs w:val="22"/>
          <w:lang w:val="cs-CZ" w:eastAsia="en-US"/>
        </w:rPr>
        <w:t>rotože lé</w:t>
      </w:r>
      <w:r w:rsidRPr="003D520D">
        <w:rPr>
          <w:szCs w:val="22"/>
          <w:lang w:val="cs-CZ" w:eastAsia="en-US"/>
        </w:rPr>
        <w:t>čivé přípravky</w:t>
      </w:r>
      <w:r w:rsidR="00356F6E" w:rsidRPr="003D520D">
        <w:rPr>
          <w:szCs w:val="22"/>
          <w:lang w:val="cs-CZ" w:eastAsia="en-US"/>
        </w:rPr>
        <w:t xml:space="preserve"> s </w:t>
      </w:r>
      <w:proofErr w:type="spellStart"/>
      <w:r w:rsidR="00356F6E" w:rsidRPr="003D520D">
        <w:rPr>
          <w:szCs w:val="22"/>
          <w:lang w:val="cs-CZ" w:eastAsia="en-US"/>
        </w:rPr>
        <w:t>antiangiogenními</w:t>
      </w:r>
      <w:proofErr w:type="spellEnd"/>
      <w:r w:rsidR="00356F6E" w:rsidRPr="003D520D">
        <w:rPr>
          <w:szCs w:val="22"/>
          <w:lang w:val="cs-CZ" w:eastAsia="en-US"/>
        </w:rPr>
        <w:t xml:space="preserve"> vlastnostmi mohou potlačovat nebo ovliv</w:t>
      </w:r>
      <w:r w:rsidR="008919DF" w:rsidRPr="003D520D">
        <w:rPr>
          <w:szCs w:val="22"/>
          <w:lang w:val="cs-CZ" w:eastAsia="en-US"/>
        </w:rPr>
        <w:t>ňovat hojení r</w:t>
      </w:r>
      <w:r w:rsidR="00C57E35" w:rsidRPr="003D520D">
        <w:rPr>
          <w:szCs w:val="22"/>
          <w:lang w:val="cs-CZ" w:eastAsia="en-US"/>
        </w:rPr>
        <w:t>an</w:t>
      </w:r>
      <w:r w:rsidR="008919DF" w:rsidRPr="003D520D">
        <w:rPr>
          <w:szCs w:val="22"/>
          <w:lang w:val="cs-CZ" w:eastAsia="en-US"/>
        </w:rPr>
        <w:t>, doporuč</w:t>
      </w:r>
      <w:r w:rsidR="00230397">
        <w:rPr>
          <w:szCs w:val="22"/>
          <w:lang w:val="cs-CZ" w:eastAsia="en-US"/>
        </w:rPr>
        <w:t xml:space="preserve">uje se </w:t>
      </w:r>
      <w:r w:rsidR="00230397" w:rsidRPr="003D520D">
        <w:rPr>
          <w:szCs w:val="22"/>
          <w:lang w:val="cs-CZ" w:eastAsia="en-US"/>
        </w:rPr>
        <w:t>z preventivních důvodů u pacientů podstupujících větší chirurgický výkon</w:t>
      </w:r>
      <w:r w:rsidR="00230397" w:rsidRPr="003D520D" w:rsidDel="00230397">
        <w:rPr>
          <w:szCs w:val="22"/>
          <w:lang w:val="cs-CZ" w:eastAsia="en-US"/>
        </w:rPr>
        <w:t xml:space="preserve"> </w:t>
      </w:r>
      <w:r w:rsidR="00356F6E" w:rsidRPr="003D520D">
        <w:rPr>
          <w:szCs w:val="22"/>
          <w:lang w:val="cs-CZ" w:eastAsia="en-US"/>
        </w:rPr>
        <w:t>dočasn</w:t>
      </w:r>
      <w:r w:rsidR="00230397">
        <w:rPr>
          <w:szCs w:val="22"/>
          <w:lang w:val="cs-CZ" w:eastAsia="en-US"/>
        </w:rPr>
        <w:t>ě</w:t>
      </w:r>
      <w:r w:rsidR="00356F6E" w:rsidRPr="003D520D">
        <w:rPr>
          <w:szCs w:val="22"/>
          <w:lang w:val="cs-CZ" w:eastAsia="en-US"/>
        </w:rPr>
        <w:t xml:space="preserve"> přeruš</w:t>
      </w:r>
      <w:r w:rsidR="00230397">
        <w:rPr>
          <w:szCs w:val="22"/>
          <w:lang w:val="cs-CZ" w:eastAsia="en-US"/>
        </w:rPr>
        <w:t>it</w:t>
      </w:r>
      <w:r w:rsidR="00356F6E" w:rsidRPr="003D520D">
        <w:rPr>
          <w:szCs w:val="22"/>
          <w:lang w:val="cs-CZ" w:eastAsia="en-US"/>
        </w:rPr>
        <w:t xml:space="preserve"> léčb</w:t>
      </w:r>
      <w:r w:rsidR="00230397">
        <w:rPr>
          <w:szCs w:val="22"/>
          <w:lang w:val="cs-CZ" w:eastAsia="en-US"/>
        </w:rPr>
        <w:t>u</w:t>
      </w:r>
      <w:r w:rsidR="00356F6E" w:rsidRPr="003D520D">
        <w:rPr>
          <w:szCs w:val="22"/>
          <w:lang w:val="cs-CZ" w:eastAsia="en-US"/>
        </w:rPr>
        <w:t xml:space="preserve"> přípravkem </w:t>
      </w:r>
      <w:proofErr w:type="spellStart"/>
      <w:r w:rsidR="00356F6E" w:rsidRPr="003D520D">
        <w:rPr>
          <w:szCs w:val="22"/>
          <w:lang w:val="cs-CZ" w:eastAsia="en-US"/>
        </w:rPr>
        <w:t>Stivarga</w:t>
      </w:r>
      <w:proofErr w:type="spellEnd"/>
      <w:r w:rsidR="00356F6E" w:rsidRPr="003D520D">
        <w:rPr>
          <w:szCs w:val="22"/>
          <w:lang w:val="cs-CZ" w:eastAsia="en-US"/>
        </w:rPr>
        <w:t xml:space="preserve">. </w:t>
      </w:r>
      <w:r w:rsidRPr="003D520D">
        <w:rPr>
          <w:szCs w:val="22"/>
          <w:lang w:val="cs-CZ" w:eastAsia="en-US"/>
        </w:rPr>
        <w:t>R</w:t>
      </w:r>
      <w:r w:rsidR="00356F6E" w:rsidRPr="003D520D">
        <w:rPr>
          <w:szCs w:val="22"/>
          <w:lang w:val="cs-CZ" w:eastAsia="en-US"/>
        </w:rPr>
        <w:t xml:space="preserve">ozhodnutí o znovuzahájení léčby přípravkem </w:t>
      </w:r>
      <w:proofErr w:type="spellStart"/>
      <w:r w:rsidR="00356F6E" w:rsidRPr="003D520D">
        <w:rPr>
          <w:szCs w:val="22"/>
          <w:lang w:val="cs-CZ" w:eastAsia="en-US"/>
        </w:rPr>
        <w:t>Stivarga</w:t>
      </w:r>
      <w:proofErr w:type="spellEnd"/>
      <w:r w:rsidR="00356F6E" w:rsidRPr="003D520D">
        <w:rPr>
          <w:szCs w:val="22"/>
          <w:lang w:val="cs-CZ" w:eastAsia="en-US"/>
        </w:rPr>
        <w:t xml:space="preserve"> po větším chirurgickém výkonu m</w:t>
      </w:r>
      <w:r w:rsidR="00230397">
        <w:rPr>
          <w:szCs w:val="22"/>
          <w:lang w:val="cs-CZ" w:eastAsia="en-US"/>
        </w:rPr>
        <w:t>á</w:t>
      </w:r>
      <w:r w:rsidR="00356F6E" w:rsidRPr="003D520D">
        <w:rPr>
          <w:szCs w:val="22"/>
          <w:lang w:val="cs-CZ" w:eastAsia="en-US"/>
        </w:rPr>
        <w:t xml:space="preserve"> být založeno na posouzení odpovídajícího hojení rány.</w:t>
      </w:r>
    </w:p>
    <w:p w14:paraId="7D457536" w14:textId="77777777" w:rsidR="00356F6E" w:rsidRPr="003D520D" w:rsidRDefault="00356F6E" w:rsidP="00D707AB">
      <w:pPr>
        <w:spacing w:after="0"/>
        <w:rPr>
          <w:szCs w:val="22"/>
          <w:lang w:val="cs-CZ" w:eastAsia="en-US"/>
        </w:rPr>
      </w:pPr>
    </w:p>
    <w:p w14:paraId="7D457537" w14:textId="77777777" w:rsidR="00356F6E" w:rsidRPr="007320BE" w:rsidRDefault="00356F6E" w:rsidP="007320BE">
      <w:pPr>
        <w:pStyle w:val="Zkladntext"/>
        <w:kinsoku w:val="0"/>
        <w:overflowPunct w:val="0"/>
        <w:ind w:right="94"/>
        <w:rPr>
          <w:i w:val="0"/>
          <w:color w:val="auto"/>
          <w:szCs w:val="22"/>
          <w:u w:val="single"/>
          <w:lang w:val="cs-CZ"/>
        </w:rPr>
      </w:pPr>
      <w:r w:rsidRPr="007320BE">
        <w:rPr>
          <w:i w:val="0"/>
          <w:color w:val="auto"/>
          <w:szCs w:val="22"/>
          <w:u w:val="single"/>
          <w:lang w:val="cs-CZ"/>
        </w:rPr>
        <w:t>Dermatologická toxicita</w:t>
      </w:r>
    </w:p>
    <w:p w14:paraId="7D457538" w14:textId="77777777" w:rsidR="00356F6E" w:rsidRPr="003D520D" w:rsidRDefault="00356F6E" w:rsidP="00D707AB">
      <w:pPr>
        <w:spacing w:after="0"/>
        <w:rPr>
          <w:szCs w:val="22"/>
          <w:u w:val="single"/>
          <w:lang w:val="cs-CZ" w:eastAsia="en-US"/>
        </w:rPr>
      </w:pPr>
      <w:r w:rsidRPr="003D520D">
        <w:rPr>
          <w:szCs w:val="22"/>
          <w:lang w:val="cs-CZ" w:eastAsia="en-US"/>
        </w:rPr>
        <w:t>Kožní reakce ruka-noha (</w:t>
      </w:r>
      <w:r w:rsidR="00230397">
        <w:rPr>
          <w:szCs w:val="22"/>
          <w:lang w:val="cs-CZ" w:eastAsia="en-US"/>
        </w:rPr>
        <w:t>h</w:t>
      </w:r>
      <w:r w:rsidR="00230397" w:rsidRPr="00BB4F43">
        <w:rPr>
          <w:szCs w:val="22"/>
          <w:lang w:val="cs-CZ" w:eastAsia="en-US"/>
        </w:rPr>
        <w:t>and</w:t>
      </w:r>
      <w:r w:rsidR="00230397" w:rsidRPr="00BB4F43">
        <w:rPr>
          <w:szCs w:val="22"/>
          <w:lang w:val="cs-CZ" w:eastAsia="en-US"/>
        </w:rPr>
        <w:noBreakHyphen/>
      </w:r>
      <w:proofErr w:type="spellStart"/>
      <w:r w:rsidR="00230397" w:rsidRPr="00BB4F43">
        <w:rPr>
          <w:szCs w:val="22"/>
          <w:lang w:val="cs-CZ" w:eastAsia="en-US"/>
        </w:rPr>
        <w:t>foot</w:t>
      </w:r>
      <w:proofErr w:type="spellEnd"/>
      <w:r w:rsidR="00230397" w:rsidRPr="00BB4F43">
        <w:rPr>
          <w:szCs w:val="22"/>
          <w:lang w:val="cs-CZ" w:eastAsia="en-US"/>
        </w:rPr>
        <w:t xml:space="preserve"> skin </w:t>
      </w:r>
      <w:proofErr w:type="spellStart"/>
      <w:r w:rsidR="00230397" w:rsidRPr="00BB4F43">
        <w:rPr>
          <w:szCs w:val="22"/>
          <w:lang w:val="cs-CZ" w:eastAsia="en-US"/>
        </w:rPr>
        <w:t>reaction</w:t>
      </w:r>
      <w:proofErr w:type="spellEnd"/>
      <w:r w:rsidR="00230397" w:rsidRPr="00BB4F43">
        <w:rPr>
          <w:szCs w:val="22"/>
          <w:lang w:val="cs-CZ" w:eastAsia="en-US"/>
        </w:rPr>
        <w:t xml:space="preserve">, </w:t>
      </w:r>
      <w:r w:rsidRPr="003D520D">
        <w:rPr>
          <w:szCs w:val="22"/>
          <w:lang w:val="cs-CZ" w:eastAsia="en-US"/>
        </w:rPr>
        <w:t>HFSR</w:t>
      </w:r>
      <w:r w:rsidR="00783266" w:rsidRPr="003D520D">
        <w:rPr>
          <w:szCs w:val="22"/>
          <w:lang w:val="cs-CZ" w:eastAsia="en-US"/>
        </w:rPr>
        <w:t>) nebo</w:t>
      </w:r>
      <w:r w:rsidR="00042D5A" w:rsidRPr="003D520D">
        <w:rPr>
          <w:szCs w:val="22"/>
          <w:lang w:val="cs-CZ" w:eastAsia="en-US"/>
        </w:rPr>
        <w:t>li</w:t>
      </w:r>
      <w:r w:rsidRPr="003D520D">
        <w:rPr>
          <w:szCs w:val="22"/>
          <w:lang w:val="cs-CZ" w:eastAsia="en-US"/>
        </w:rPr>
        <w:t xml:space="preserve"> syndrom </w:t>
      </w:r>
      <w:proofErr w:type="spellStart"/>
      <w:r w:rsidRPr="003D520D">
        <w:rPr>
          <w:szCs w:val="22"/>
          <w:lang w:val="cs-CZ" w:eastAsia="en-US"/>
        </w:rPr>
        <w:t>palmoplantární</w:t>
      </w:r>
      <w:proofErr w:type="spellEnd"/>
      <w:r w:rsidRPr="003D520D">
        <w:rPr>
          <w:szCs w:val="22"/>
          <w:lang w:val="cs-CZ" w:eastAsia="en-US"/>
        </w:rPr>
        <w:t xml:space="preserve"> </w:t>
      </w:r>
      <w:proofErr w:type="spellStart"/>
      <w:r w:rsidRPr="003D520D">
        <w:rPr>
          <w:szCs w:val="22"/>
          <w:lang w:val="cs-CZ" w:eastAsia="en-US"/>
        </w:rPr>
        <w:t>erytrodysest</w:t>
      </w:r>
      <w:r w:rsidR="00230397">
        <w:rPr>
          <w:szCs w:val="22"/>
          <w:lang w:val="cs-CZ" w:eastAsia="en-US"/>
        </w:rPr>
        <w:t>e</w:t>
      </w:r>
      <w:r w:rsidRPr="003D520D">
        <w:rPr>
          <w:szCs w:val="22"/>
          <w:lang w:val="cs-CZ" w:eastAsia="en-US"/>
        </w:rPr>
        <w:t>zie</w:t>
      </w:r>
      <w:proofErr w:type="spellEnd"/>
      <w:r w:rsidRPr="003D520D">
        <w:rPr>
          <w:szCs w:val="22"/>
          <w:lang w:val="cs-CZ" w:eastAsia="en-US"/>
        </w:rPr>
        <w:t xml:space="preserve"> a vyrážka představují nejčastěji pozorované dermatologické nežádoucí účinky přípravku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Pr="003D520D">
        <w:rPr>
          <w:szCs w:val="22"/>
          <w:lang w:val="cs-CZ" w:eastAsia="en-US"/>
        </w:rPr>
        <w:t xml:space="preserve"> (viz bod</w:t>
      </w:r>
      <w:r w:rsidR="00622189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 xml:space="preserve">4.8). </w:t>
      </w:r>
      <w:r w:rsidR="009E2EA4" w:rsidRPr="003D520D">
        <w:rPr>
          <w:szCs w:val="22"/>
          <w:lang w:val="cs-CZ" w:eastAsia="en-US"/>
        </w:rPr>
        <w:t xml:space="preserve">V klinických studiích byla pozorována vyšší incidence HFSR u asijských (zvláště japonských) pacientů léčených přípravkem </w:t>
      </w:r>
      <w:proofErr w:type="spellStart"/>
      <w:r w:rsidR="009E2EA4" w:rsidRPr="003D520D">
        <w:rPr>
          <w:szCs w:val="22"/>
          <w:lang w:val="cs-CZ" w:eastAsia="en-US"/>
        </w:rPr>
        <w:t>Stivarga</w:t>
      </w:r>
      <w:proofErr w:type="spellEnd"/>
      <w:r w:rsidR="009E2EA4" w:rsidRPr="003D520D">
        <w:rPr>
          <w:szCs w:val="22"/>
          <w:lang w:val="cs-CZ" w:eastAsia="en-US"/>
        </w:rPr>
        <w:t xml:space="preserve"> v porovnání s bělošskou populací</w:t>
      </w:r>
      <w:r w:rsidR="00FA786D" w:rsidRPr="003D520D">
        <w:rPr>
          <w:szCs w:val="22"/>
          <w:lang w:val="cs-CZ" w:eastAsia="en-US"/>
        </w:rPr>
        <w:t xml:space="preserve"> (viz bod </w:t>
      </w:r>
      <w:r w:rsidR="007F7945" w:rsidRPr="003D520D">
        <w:rPr>
          <w:szCs w:val="22"/>
          <w:lang w:val="cs-CZ" w:eastAsia="en-US"/>
        </w:rPr>
        <w:t xml:space="preserve">4.2). </w:t>
      </w:r>
      <w:r w:rsidR="00230397">
        <w:rPr>
          <w:szCs w:val="22"/>
          <w:lang w:val="cs-CZ" w:eastAsia="en-US"/>
        </w:rPr>
        <w:t>P</w:t>
      </w:r>
      <w:r w:rsidRPr="003D520D">
        <w:rPr>
          <w:szCs w:val="22"/>
          <w:lang w:val="cs-CZ" w:eastAsia="en-US"/>
        </w:rPr>
        <w:t>reven</w:t>
      </w:r>
      <w:r w:rsidR="00230397">
        <w:rPr>
          <w:szCs w:val="22"/>
          <w:lang w:val="cs-CZ" w:eastAsia="en-US"/>
        </w:rPr>
        <w:t>tivní opatření</w:t>
      </w:r>
      <w:r w:rsidRPr="003D520D">
        <w:rPr>
          <w:szCs w:val="22"/>
          <w:lang w:val="cs-CZ" w:eastAsia="en-US"/>
        </w:rPr>
        <w:t xml:space="preserve"> HFSR zahrnují kontrolu</w:t>
      </w:r>
      <w:r w:rsidR="006348D8" w:rsidRPr="003D520D">
        <w:rPr>
          <w:szCs w:val="22"/>
          <w:lang w:val="cs-CZ" w:eastAsia="en-US"/>
        </w:rPr>
        <w:t xml:space="preserve"> ztvrdlé kůže</w:t>
      </w:r>
      <w:r w:rsidRPr="003D520D">
        <w:rPr>
          <w:szCs w:val="22"/>
          <w:lang w:val="cs-CZ" w:eastAsia="en-US"/>
        </w:rPr>
        <w:t xml:space="preserve"> a použití vložek do bot a rukavic</w:t>
      </w:r>
      <w:r w:rsidR="00230397">
        <w:rPr>
          <w:szCs w:val="22"/>
          <w:lang w:val="cs-CZ" w:eastAsia="en-US"/>
        </w:rPr>
        <w:t xml:space="preserve">, aby se </w:t>
      </w:r>
      <w:r w:rsidRPr="003D520D">
        <w:rPr>
          <w:szCs w:val="22"/>
          <w:lang w:val="cs-CZ" w:eastAsia="en-US"/>
        </w:rPr>
        <w:t>zabrán</w:t>
      </w:r>
      <w:r w:rsidR="00230397">
        <w:rPr>
          <w:szCs w:val="22"/>
          <w:lang w:val="cs-CZ" w:eastAsia="en-US"/>
        </w:rPr>
        <w:t>ilo</w:t>
      </w:r>
      <w:r w:rsidRPr="003D520D">
        <w:rPr>
          <w:szCs w:val="22"/>
          <w:lang w:val="cs-CZ" w:eastAsia="en-US"/>
        </w:rPr>
        <w:t xml:space="preserve"> otlaků</w:t>
      </w:r>
      <w:r w:rsidR="00230397">
        <w:rPr>
          <w:szCs w:val="22"/>
          <w:lang w:val="cs-CZ" w:eastAsia="en-US"/>
        </w:rPr>
        <w:t>m</w:t>
      </w:r>
      <w:r w:rsidRPr="003D520D">
        <w:rPr>
          <w:szCs w:val="22"/>
          <w:lang w:val="cs-CZ" w:eastAsia="en-US"/>
        </w:rPr>
        <w:t xml:space="preserve"> chodidel a dlaní. Léčba HFSR může zahrnovat použití </w:t>
      </w:r>
      <w:proofErr w:type="spellStart"/>
      <w:r w:rsidRPr="003D520D">
        <w:rPr>
          <w:szCs w:val="22"/>
          <w:lang w:val="cs-CZ" w:eastAsia="en-US"/>
        </w:rPr>
        <w:t>keratolytických</w:t>
      </w:r>
      <w:proofErr w:type="spellEnd"/>
      <w:r w:rsidRPr="003D520D">
        <w:rPr>
          <w:szCs w:val="22"/>
          <w:lang w:val="cs-CZ" w:eastAsia="en-US"/>
        </w:rPr>
        <w:t xml:space="preserve"> krémů </w:t>
      </w:r>
      <w:r w:rsidR="006221CC" w:rsidRPr="003D520D">
        <w:rPr>
          <w:szCs w:val="22"/>
          <w:lang w:val="cs-CZ" w:eastAsia="en-US"/>
        </w:rPr>
        <w:t>(např.</w:t>
      </w:r>
      <w:r w:rsidRPr="003D520D">
        <w:rPr>
          <w:szCs w:val="22"/>
          <w:lang w:val="cs-CZ" w:eastAsia="en-US"/>
        </w:rPr>
        <w:t xml:space="preserve"> na bázi</w:t>
      </w:r>
      <w:r w:rsidR="006221CC" w:rsidRPr="003D520D">
        <w:rPr>
          <w:szCs w:val="22"/>
          <w:lang w:val="cs-CZ" w:eastAsia="en-US"/>
        </w:rPr>
        <w:t xml:space="preserve"> urey, kyseliny salicylové nebo</w:t>
      </w:r>
      <w:r w:rsidRPr="003D520D">
        <w:rPr>
          <w:szCs w:val="22"/>
          <w:lang w:val="cs-CZ" w:eastAsia="en-US"/>
        </w:rPr>
        <w:t xml:space="preserve"> </w:t>
      </w:r>
      <w:proofErr w:type="spellStart"/>
      <w:r w:rsidRPr="003D520D">
        <w:rPr>
          <w:szCs w:val="22"/>
          <w:lang w:val="cs-CZ" w:eastAsia="en-US"/>
        </w:rPr>
        <w:t>alfahydroxykyselin</w:t>
      </w:r>
      <w:proofErr w:type="spellEnd"/>
      <w:r w:rsidR="006221CC" w:rsidRPr="003D520D">
        <w:rPr>
          <w:szCs w:val="22"/>
          <w:lang w:val="cs-CZ" w:eastAsia="en-US"/>
        </w:rPr>
        <w:t xml:space="preserve"> aplikovaných střídmě </w:t>
      </w:r>
      <w:r w:rsidR="002E42ED" w:rsidRPr="003D520D">
        <w:rPr>
          <w:szCs w:val="22"/>
          <w:lang w:val="cs-CZ" w:eastAsia="en-US"/>
        </w:rPr>
        <w:t xml:space="preserve">pouze </w:t>
      </w:r>
      <w:r w:rsidR="006221CC" w:rsidRPr="003D520D">
        <w:rPr>
          <w:szCs w:val="22"/>
          <w:lang w:val="cs-CZ" w:eastAsia="en-US"/>
        </w:rPr>
        <w:t xml:space="preserve">na postižené plochy) a zvlhčujících </w:t>
      </w:r>
      <w:r w:rsidRPr="003D520D">
        <w:rPr>
          <w:szCs w:val="22"/>
          <w:lang w:val="cs-CZ" w:eastAsia="en-US"/>
        </w:rPr>
        <w:t>krém</w:t>
      </w:r>
      <w:r w:rsidR="006221CC" w:rsidRPr="003D520D">
        <w:rPr>
          <w:szCs w:val="22"/>
          <w:lang w:val="cs-CZ" w:eastAsia="en-US"/>
        </w:rPr>
        <w:t>ů (</w:t>
      </w:r>
      <w:r w:rsidRPr="003D520D">
        <w:rPr>
          <w:szCs w:val="22"/>
          <w:lang w:val="cs-CZ" w:eastAsia="en-US"/>
        </w:rPr>
        <w:t>aplikovan</w:t>
      </w:r>
      <w:r w:rsidR="006221CC" w:rsidRPr="003D520D">
        <w:rPr>
          <w:szCs w:val="22"/>
          <w:lang w:val="cs-CZ" w:eastAsia="en-US"/>
        </w:rPr>
        <w:t>ých</w:t>
      </w:r>
      <w:r w:rsidRPr="003D520D">
        <w:rPr>
          <w:szCs w:val="22"/>
          <w:lang w:val="cs-CZ" w:eastAsia="en-US"/>
        </w:rPr>
        <w:t xml:space="preserve"> hojně</w:t>
      </w:r>
      <w:r w:rsidR="006221CC" w:rsidRPr="003D520D">
        <w:rPr>
          <w:szCs w:val="22"/>
          <w:lang w:val="cs-CZ" w:eastAsia="en-US"/>
        </w:rPr>
        <w:t>)</w:t>
      </w:r>
      <w:r w:rsidRPr="003D520D">
        <w:rPr>
          <w:szCs w:val="22"/>
          <w:lang w:val="cs-CZ" w:eastAsia="en-US"/>
        </w:rPr>
        <w:t xml:space="preserve"> pro symptomatickou úlevu. Mělo by </w:t>
      </w:r>
      <w:r w:rsidR="00DD7B67">
        <w:rPr>
          <w:szCs w:val="22"/>
          <w:lang w:val="cs-CZ" w:eastAsia="en-US"/>
        </w:rPr>
        <w:t>se</w:t>
      </w:r>
      <w:r w:rsidRPr="003D520D">
        <w:rPr>
          <w:szCs w:val="22"/>
          <w:lang w:val="cs-CZ" w:eastAsia="en-US"/>
        </w:rPr>
        <w:t xml:space="preserve"> zváž</w:t>
      </w:r>
      <w:r w:rsidR="00DD7B67">
        <w:rPr>
          <w:szCs w:val="22"/>
          <w:lang w:val="cs-CZ" w:eastAsia="en-US"/>
        </w:rPr>
        <w:t>it</w:t>
      </w:r>
      <w:r w:rsidRPr="003D520D">
        <w:rPr>
          <w:szCs w:val="22"/>
          <w:lang w:val="cs-CZ" w:eastAsia="en-US"/>
        </w:rPr>
        <w:t xml:space="preserve"> snížení dávky a/nebo dočasné přerušení léčby nebo v závažných a neustupujících případech trvalé vysazení léčby přípravkem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Pr="003D520D">
        <w:rPr>
          <w:szCs w:val="22"/>
          <w:lang w:val="cs-CZ" w:eastAsia="en-US"/>
        </w:rPr>
        <w:t xml:space="preserve"> (viz bod</w:t>
      </w:r>
      <w:r w:rsidR="003F0E03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 xml:space="preserve">4.2). </w:t>
      </w:r>
    </w:p>
    <w:p w14:paraId="7D457539" w14:textId="77777777" w:rsidR="00356F6E" w:rsidRPr="003D520D" w:rsidRDefault="00356F6E" w:rsidP="00D707AB">
      <w:pPr>
        <w:spacing w:after="0"/>
        <w:rPr>
          <w:szCs w:val="22"/>
          <w:lang w:val="cs-CZ" w:eastAsia="en-US"/>
        </w:rPr>
      </w:pPr>
    </w:p>
    <w:p w14:paraId="7D45753A" w14:textId="77777777" w:rsidR="00356F6E" w:rsidRPr="007320BE" w:rsidRDefault="00356F6E" w:rsidP="007320BE">
      <w:pPr>
        <w:pStyle w:val="Zkladntext"/>
        <w:kinsoku w:val="0"/>
        <w:overflowPunct w:val="0"/>
        <w:ind w:right="94"/>
        <w:rPr>
          <w:i w:val="0"/>
          <w:color w:val="auto"/>
          <w:szCs w:val="22"/>
          <w:u w:val="single"/>
          <w:lang w:val="cs-CZ"/>
        </w:rPr>
      </w:pPr>
      <w:r w:rsidRPr="007320BE">
        <w:rPr>
          <w:i w:val="0"/>
          <w:color w:val="auto"/>
          <w:szCs w:val="22"/>
          <w:u w:val="single"/>
          <w:lang w:val="cs-CZ"/>
        </w:rPr>
        <w:t>Abnormality biochemických a metabolických laboratorních vyšetření</w:t>
      </w:r>
    </w:p>
    <w:p w14:paraId="7D45753B" w14:textId="77777777" w:rsidR="00236BA6" w:rsidRPr="003D520D" w:rsidRDefault="00356F6E" w:rsidP="00D707AB">
      <w:pPr>
        <w:pStyle w:val="Textkomente"/>
        <w:spacing w:after="0"/>
        <w:rPr>
          <w:sz w:val="22"/>
          <w:szCs w:val="22"/>
          <w:lang w:val="cs-CZ" w:eastAsia="en-US"/>
        </w:rPr>
      </w:pPr>
      <w:r w:rsidRPr="003D520D">
        <w:rPr>
          <w:sz w:val="22"/>
          <w:szCs w:val="22"/>
          <w:lang w:val="cs-CZ" w:eastAsia="en-US"/>
        </w:rPr>
        <w:t xml:space="preserve">Přípravek </w:t>
      </w:r>
      <w:proofErr w:type="spellStart"/>
      <w:r w:rsidRPr="003D520D">
        <w:rPr>
          <w:sz w:val="22"/>
          <w:szCs w:val="22"/>
          <w:lang w:val="cs-CZ" w:eastAsia="en-US"/>
        </w:rPr>
        <w:t>Stivarga</w:t>
      </w:r>
      <w:proofErr w:type="spellEnd"/>
      <w:r w:rsidRPr="003D520D">
        <w:rPr>
          <w:sz w:val="22"/>
          <w:szCs w:val="22"/>
          <w:lang w:val="cs-CZ" w:eastAsia="en-US"/>
        </w:rPr>
        <w:t xml:space="preserve"> </w:t>
      </w:r>
      <w:r w:rsidR="002F241B" w:rsidRPr="003D520D">
        <w:rPr>
          <w:sz w:val="22"/>
          <w:szCs w:val="22"/>
          <w:lang w:val="cs-CZ" w:eastAsia="en-US"/>
        </w:rPr>
        <w:t>byl spoj</w:t>
      </w:r>
      <w:r w:rsidR="006348D8" w:rsidRPr="003D520D">
        <w:rPr>
          <w:sz w:val="22"/>
          <w:szCs w:val="22"/>
          <w:lang w:val="cs-CZ" w:eastAsia="en-US"/>
        </w:rPr>
        <w:t>en</w:t>
      </w:r>
      <w:r w:rsidRPr="003D520D">
        <w:rPr>
          <w:sz w:val="22"/>
          <w:szCs w:val="22"/>
          <w:lang w:val="cs-CZ" w:eastAsia="en-US"/>
        </w:rPr>
        <w:t xml:space="preserve"> se zvýšeným výskytem abnormalit </w:t>
      </w:r>
      <w:r w:rsidR="00DD7B67">
        <w:rPr>
          <w:sz w:val="22"/>
          <w:szCs w:val="22"/>
          <w:lang w:val="cs-CZ" w:eastAsia="en-US"/>
        </w:rPr>
        <w:t xml:space="preserve">elektrolytů </w:t>
      </w:r>
      <w:r w:rsidRPr="003D520D">
        <w:rPr>
          <w:sz w:val="22"/>
          <w:szCs w:val="22"/>
          <w:lang w:val="cs-CZ" w:eastAsia="en-US"/>
        </w:rPr>
        <w:t xml:space="preserve">(včetně </w:t>
      </w:r>
      <w:proofErr w:type="spellStart"/>
      <w:r w:rsidRPr="003D520D">
        <w:rPr>
          <w:sz w:val="22"/>
          <w:szCs w:val="22"/>
          <w:lang w:val="cs-CZ" w:eastAsia="en-US"/>
        </w:rPr>
        <w:t>hypofosfat</w:t>
      </w:r>
      <w:r w:rsidR="00434FDE">
        <w:rPr>
          <w:sz w:val="22"/>
          <w:szCs w:val="22"/>
          <w:lang w:val="cs-CZ" w:eastAsia="en-US"/>
        </w:rPr>
        <w:t>e</w:t>
      </w:r>
      <w:r w:rsidRPr="003D520D">
        <w:rPr>
          <w:sz w:val="22"/>
          <w:szCs w:val="22"/>
          <w:lang w:val="cs-CZ" w:eastAsia="en-US"/>
        </w:rPr>
        <w:t>mie</w:t>
      </w:r>
      <w:proofErr w:type="spellEnd"/>
      <w:r w:rsidRPr="003D520D">
        <w:rPr>
          <w:sz w:val="22"/>
          <w:szCs w:val="22"/>
          <w:lang w:val="cs-CZ" w:eastAsia="en-US"/>
        </w:rPr>
        <w:t xml:space="preserve">, </w:t>
      </w:r>
      <w:proofErr w:type="spellStart"/>
      <w:r w:rsidRPr="003D520D">
        <w:rPr>
          <w:sz w:val="22"/>
          <w:szCs w:val="22"/>
          <w:lang w:val="cs-CZ" w:eastAsia="en-US"/>
        </w:rPr>
        <w:t>hypokalc</w:t>
      </w:r>
      <w:r w:rsidR="00434FDE">
        <w:rPr>
          <w:sz w:val="22"/>
          <w:szCs w:val="22"/>
          <w:lang w:val="cs-CZ" w:eastAsia="en-US"/>
        </w:rPr>
        <w:t>e</w:t>
      </w:r>
      <w:r w:rsidRPr="003D520D">
        <w:rPr>
          <w:sz w:val="22"/>
          <w:szCs w:val="22"/>
          <w:lang w:val="cs-CZ" w:eastAsia="en-US"/>
        </w:rPr>
        <w:t>mie</w:t>
      </w:r>
      <w:proofErr w:type="spellEnd"/>
      <w:r w:rsidRPr="003D520D">
        <w:rPr>
          <w:sz w:val="22"/>
          <w:szCs w:val="22"/>
          <w:lang w:val="cs-CZ" w:eastAsia="en-US"/>
        </w:rPr>
        <w:t xml:space="preserve">, </w:t>
      </w:r>
      <w:proofErr w:type="spellStart"/>
      <w:r w:rsidRPr="003D520D">
        <w:rPr>
          <w:sz w:val="22"/>
          <w:szCs w:val="22"/>
          <w:lang w:val="cs-CZ" w:eastAsia="en-US"/>
        </w:rPr>
        <w:t>hyponatr</w:t>
      </w:r>
      <w:r w:rsidR="00434FDE">
        <w:rPr>
          <w:sz w:val="22"/>
          <w:szCs w:val="22"/>
          <w:lang w:val="cs-CZ" w:eastAsia="en-US"/>
        </w:rPr>
        <w:t>e</w:t>
      </w:r>
      <w:r w:rsidRPr="003D520D">
        <w:rPr>
          <w:sz w:val="22"/>
          <w:szCs w:val="22"/>
          <w:lang w:val="cs-CZ" w:eastAsia="en-US"/>
        </w:rPr>
        <w:t>mie</w:t>
      </w:r>
      <w:proofErr w:type="spellEnd"/>
      <w:r w:rsidRPr="003D520D">
        <w:rPr>
          <w:sz w:val="22"/>
          <w:szCs w:val="22"/>
          <w:lang w:val="cs-CZ" w:eastAsia="en-US"/>
        </w:rPr>
        <w:t xml:space="preserve"> a </w:t>
      </w:r>
      <w:proofErr w:type="spellStart"/>
      <w:r w:rsidRPr="003D520D">
        <w:rPr>
          <w:sz w:val="22"/>
          <w:szCs w:val="22"/>
          <w:lang w:val="cs-CZ" w:eastAsia="en-US"/>
        </w:rPr>
        <w:t>hypokal</w:t>
      </w:r>
      <w:r w:rsidR="00434FDE">
        <w:rPr>
          <w:sz w:val="22"/>
          <w:szCs w:val="22"/>
          <w:lang w:val="cs-CZ" w:eastAsia="en-US"/>
        </w:rPr>
        <w:t>e</w:t>
      </w:r>
      <w:r w:rsidRPr="003D520D">
        <w:rPr>
          <w:sz w:val="22"/>
          <w:szCs w:val="22"/>
          <w:lang w:val="cs-CZ" w:eastAsia="en-US"/>
        </w:rPr>
        <w:t>mie</w:t>
      </w:r>
      <w:proofErr w:type="spellEnd"/>
      <w:r w:rsidRPr="003D520D">
        <w:rPr>
          <w:sz w:val="22"/>
          <w:szCs w:val="22"/>
          <w:lang w:val="cs-CZ" w:eastAsia="en-US"/>
        </w:rPr>
        <w:t xml:space="preserve">) a metabolických abnormalit (včetně zvýšení hladiny TSH, lipázy a amylázy). Abnormality jsou obecně </w:t>
      </w:r>
      <w:r w:rsidR="00DB3F49">
        <w:rPr>
          <w:sz w:val="22"/>
          <w:szCs w:val="22"/>
          <w:lang w:val="cs-CZ" w:eastAsia="en-US"/>
        </w:rPr>
        <w:t>lehké</w:t>
      </w:r>
      <w:r w:rsidRPr="003D520D">
        <w:rPr>
          <w:sz w:val="22"/>
          <w:szCs w:val="22"/>
          <w:lang w:val="cs-CZ" w:eastAsia="en-US"/>
        </w:rPr>
        <w:t xml:space="preserve"> až středně </w:t>
      </w:r>
      <w:r w:rsidR="00DB3F49">
        <w:rPr>
          <w:sz w:val="22"/>
          <w:szCs w:val="22"/>
          <w:lang w:val="cs-CZ" w:eastAsia="en-US"/>
        </w:rPr>
        <w:t>těžké</w:t>
      </w:r>
      <w:r w:rsidRPr="003D520D">
        <w:rPr>
          <w:sz w:val="22"/>
          <w:szCs w:val="22"/>
          <w:lang w:val="cs-CZ" w:eastAsia="en-US"/>
        </w:rPr>
        <w:t xml:space="preserve">, nesouvisí s klinickými projevy a obvykle nevyžadují přerušení </w:t>
      </w:r>
      <w:r w:rsidR="006348D8" w:rsidRPr="003D520D">
        <w:rPr>
          <w:sz w:val="22"/>
          <w:szCs w:val="22"/>
          <w:lang w:val="cs-CZ" w:eastAsia="en-US"/>
        </w:rPr>
        <w:t xml:space="preserve">podávání </w:t>
      </w:r>
      <w:r w:rsidRPr="003D520D">
        <w:rPr>
          <w:sz w:val="22"/>
          <w:szCs w:val="22"/>
          <w:lang w:val="cs-CZ" w:eastAsia="en-US"/>
        </w:rPr>
        <w:t>nebo snížení dávk</w:t>
      </w:r>
      <w:r w:rsidR="00DD7B67">
        <w:rPr>
          <w:sz w:val="22"/>
          <w:szCs w:val="22"/>
          <w:lang w:val="cs-CZ" w:eastAsia="en-US"/>
        </w:rPr>
        <w:t>y</w:t>
      </w:r>
      <w:r w:rsidRPr="003D520D">
        <w:rPr>
          <w:sz w:val="22"/>
          <w:szCs w:val="22"/>
          <w:lang w:val="cs-CZ" w:eastAsia="en-US"/>
        </w:rPr>
        <w:t xml:space="preserve">. Doporučuje se sledovat biochemické a metabolické parametry během léčby přípravkem </w:t>
      </w:r>
      <w:proofErr w:type="spellStart"/>
      <w:r w:rsidRPr="003D520D">
        <w:rPr>
          <w:sz w:val="22"/>
          <w:szCs w:val="22"/>
          <w:lang w:val="cs-CZ" w:eastAsia="en-US"/>
        </w:rPr>
        <w:t>Stivarga</w:t>
      </w:r>
      <w:proofErr w:type="spellEnd"/>
      <w:r w:rsidRPr="003D520D">
        <w:rPr>
          <w:sz w:val="22"/>
          <w:szCs w:val="22"/>
          <w:lang w:val="cs-CZ" w:eastAsia="en-US"/>
        </w:rPr>
        <w:t xml:space="preserve"> a zahájit vhodnou substituční léčbu podle standardní klinické praxe, je-li potřeba. Přerušení nebo snížení dávk</w:t>
      </w:r>
      <w:r w:rsidR="00DD7B67">
        <w:rPr>
          <w:sz w:val="22"/>
          <w:szCs w:val="22"/>
          <w:lang w:val="cs-CZ" w:eastAsia="en-US"/>
        </w:rPr>
        <w:t>y</w:t>
      </w:r>
      <w:r w:rsidRPr="003D520D">
        <w:rPr>
          <w:sz w:val="22"/>
          <w:szCs w:val="22"/>
          <w:lang w:val="cs-CZ" w:eastAsia="en-US"/>
        </w:rPr>
        <w:t xml:space="preserve"> nebo trvalé vysazení léčby přípravkem </w:t>
      </w:r>
      <w:proofErr w:type="spellStart"/>
      <w:r w:rsidRPr="003D520D">
        <w:rPr>
          <w:sz w:val="22"/>
          <w:szCs w:val="22"/>
          <w:lang w:val="cs-CZ" w:eastAsia="en-US"/>
        </w:rPr>
        <w:t>Stivarga</w:t>
      </w:r>
      <w:proofErr w:type="spellEnd"/>
      <w:r w:rsidRPr="003D520D">
        <w:rPr>
          <w:sz w:val="22"/>
          <w:szCs w:val="22"/>
          <w:lang w:val="cs-CZ" w:eastAsia="en-US"/>
        </w:rPr>
        <w:t xml:space="preserve"> </w:t>
      </w:r>
      <w:r w:rsidR="00DD7B67">
        <w:rPr>
          <w:sz w:val="22"/>
          <w:szCs w:val="22"/>
          <w:lang w:val="cs-CZ" w:eastAsia="en-US"/>
        </w:rPr>
        <w:t>má</w:t>
      </w:r>
      <w:r w:rsidRPr="003D520D">
        <w:rPr>
          <w:sz w:val="22"/>
          <w:szCs w:val="22"/>
          <w:lang w:val="cs-CZ" w:eastAsia="en-US"/>
        </w:rPr>
        <w:t xml:space="preserve"> být zváženo v případě trvalých nebo recidivujících významných abnormalit (viz bod</w:t>
      </w:r>
      <w:r w:rsidR="002E30F7" w:rsidRPr="003D520D">
        <w:rPr>
          <w:sz w:val="22"/>
          <w:szCs w:val="22"/>
          <w:lang w:val="cs-CZ" w:eastAsia="en-US"/>
        </w:rPr>
        <w:t> </w:t>
      </w:r>
      <w:r w:rsidRPr="003D520D">
        <w:rPr>
          <w:sz w:val="22"/>
          <w:szCs w:val="22"/>
          <w:lang w:val="cs-CZ" w:eastAsia="en-US"/>
        </w:rPr>
        <w:t>4.2).</w:t>
      </w:r>
    </w:p>
    <w:p w14:paraId="7D45753C" w14:textId="77777777" w:rsidR="00236BA6" w:rsidRPr="003D520D" w:rsidRDefault="00236BA6" w:rsidP="00D707AB">
      <w:pPr>
        <w:pStyle w:val="Textkomente"/>
        <w:spacing w:after="0"/>
        <w:rPr>
          <w:sz w:val="22"/>
          <w:szCs w:val="22"/>
          <w:lang w:val="cs-CZ" w:eastAsia="en-US"/>
        </w:rPr>
      </w:pPr>
    </w:p>
    <w:p w14:paraId="7D45753D" w14:textId="77777777" w:rsidR="00356F6E" w:rsidRPr="003D520D" w:rsidRDefault="00236BA6" w:rsidP="00D707AB">
      <w:pPr>
        <w:pStyle w:val="Textkomente"/>
        <w:spacing w:after="0"/>
        <w:rPr>
          <w:sz w:val="22"/>
          <w:szCs w:val="22"/>
          <w:u w:val="single"/>
          <w:lang w:val="cs-CZ" w:eastAsia="en-US"/>
        </w:rPr>
      </w:pPr>
      <w:r w:rsidRPr="003D520D">
        <w:rPr>
          <w:sz w:val="22"/>
          <w:szCs w:val="22"/>
          <w:u w:val="single"/>
          <w:lang w:val="cs-CZ" w:eastAsia="en-US"/>
        </w:rPr>
        <w:t>Důležité informace o některých složkách</w:t>
      </w:r>
      <w:r w:rsidR="00953C30" w:rsidRPr="003D520D">
        <w:rPr>
          <w:sz w:val="22"/>
          <w:szCs w:val="22"/>
          <w:u w:val="single"/>
          <w:lang w:val="cs-CZ" w:eastAsia="en-US"/>
        </w:rPr>
        <w:t xml:space="preserve"> přípravku</w:t>
      </w:r>
      <w:r w:rsidR="00356F6E" w:rsidRPr="003D520D">
        <w:rPr>
          <w:sz w:val="22"/>
          <w:szCs w:val="22"/>
          <w:u w:val="single"/>
          <w:lang w:val="cs-CZ" w:eastAsia="en-US"/>
        </w:rPr>
        <w:t xml:space="preserve"> </w:t>
      </w:r>
    </w:p>
    <w:p w14:paraId="7D45753E" w14:textId="1236245A" w:rsidR="007320BE" w:rsidRDefault="008B4161" w:rsidP="007320BE">
      <w:pPr>
        <w:autoSpaceDE w:val="0"/>
        <w:autoSpaceDN w:val="0"/>
        <w:adjustRightInd w:val="0"/>
        <w:spacing w:after="0"/>
        <w:rPr>
          <w:szCs w:val="22"/>
          <w:lang w:val="cs-CZ" w:eastAsia="zh-CN"/>
        </w:rPr>
      </w:pPr>
      <w:r>
        <w:rPr>
          <w:szCs w:val="22"/>
          <w:lang w:val="cs-CZ" w:eastAsia="en-US"/>
        </w:rPr>
        <w:t xml:space="preserve">Tento léčivý přípravek obsahuje </w:t>
      </w:r>
      <w:r w:rsidR="00163FA5">
        <w:rPr>
          <w:szCs w:val="22"/>
          <w:lang w:val="cs-CZ" w:eastAsia="en-US"/>
        </w:rPr>
        <w:t>56,06</w:t>
      </w:r>
      <w:r>
        <w:rPr>
          <w:szCs w:val="22"/>
          <w:lang w:val="cs-CZ" w:eastAsia="en-US"/>
        </w:rPr>
        <w:t xml:space="preserve"> mg sodíku</w:t>
      </w:r>
      <w:r w:rsidR="00DD7B67">
        <w:rPr>
          <w:szCs w:val="22"/>
          <w:lang w:val="cs-CZ" w:eastAsia="en-US"/>
        </w:rPr>
        <w:t xml:space="preserve"> v denní dávce</w:t>
      </w:r>
      <w:r w:rsidR="00EA0189">
        <w:rPr>
          <w:szCs w:val="22"/>
          <w:lang w:val="cs-CZ" w:eastAsia="en-US"/>
        </w:rPr>
        <w:t xml:space="preserve"> 160 mg</w:t>
      </w:r>
      <w:r w:rsidR="005F7ABD">
        <w:rPr>
          <w:szCs w:val="22"/>
          <w:lang w:val="cs-CZ" w:eastAsia="en-US"/>
        </w:rPr>
        <w:t>, což odpovídá 3</w:t>
      </w:r>
      <w:r w:rsidR="00FE09BF">
        <w:rPr>
          <w:szCs w:val="22"/>
          <w:lang w:val="cs-CZ" w:eastAsia="en-US"/>
        </w:rPr>
        <w:t xml:space="preserve"> </w:t>
      </w:r>
      <w:r w:rsidR="005F7ABD">
        <w:rPr>
          <w:szCs w:val="22"/>
          <w:lang w:val="cs-CZ" w:eastAsia="en-US"/>
        </w:rPr>
        <w:t>% doporučené</w:t>
      </w:r>
      <w:r w:rsidR="00EA0189">
        <w:rPr>
          <w:szCs w:val="22"/>
          <w:lang w:val="cs-CZ" w:eastAsia="en-US"/>
        </w:rPr>
        <w:t>ho</w:t>
      </w:r>
      <w:r w:rsidR="005F7ABD">
        <w:rPr>
          <w:szCs w:val="22"/>
          <w:lang w:val="cs-CZ" w:eastAsia="en-US"/>
        </w:rPr>
        <w:t xml:space="preserve"> maximální</w:t>
      </w:r>
      <w:r w:rsidR="00EA0189">
        <w:rPr>
          <w:szCs w:val="22"/>
          <w:lang w:val="cs-CZ" w:eastAsia="en-US"/>
        </w:rPr>
        <w:t>ho</w:t>
      </w:r>
      <w:r w:rsidR="005F7ABD">
        <w:rPr>
          <w:szCs w:val="22"/>
          <w:lang w:val="cs-CZ" w:eastAsia="en-US"/>
        </w:rPr>
        <w:t xml:space="preserve"> denní</w:t>
      </w:r>
      <w:r w:rsidR="00EA0189">
        <w:rPr>
          <w:szCs w:val="22"/>
          <w:lang w:val="cs-CZ" w:eastAsia="en-US"/>
        </w:rPr>
        <w:t>ho</w:t>
      </w:r>
      <w:r w:rsidR="005F7ABD">
        <w:rPr>
          <w:szCs w:val="22"/>
          <w:lang w:val="cs-CZ" w:eastAsia="en-US"/>
        </w:rPr>
        <w:t xml:space="preserve"> příjmu sodíku </w:t>
      </w:r>
      <w:r w:rsidR="00EA0189">
        <w:rPr>
          <w:szCs w:val="22"/>
          <w:lang w:val="cs-CZ" w:eastAsia="en-US"/>
        </w:rPr>
        <w:t xml:space="preserve">potravou podle WHO </w:t>
      </w:r>
      <w:r w:rsidR="005F7ABD">
        <w:rPr>
          <w:szCs w:val="22"/>
          <w:lang w:val="cs-CZ" w:eastAsia="en-US"/>
        </w:rPr>
        <w:t>pro dospělé</w:t>
      </w:r>
      <w:r w:rsidR="00EA0189">
        <w:rPr>
          <w:szCs w:val="22"/>
          <w:lang w:val="cs-CZ" w:eastAsia="en-US"/>
        </w:rPr>
        <w:t>ho, který činí 2 g sodíku</w:t>
      </w:r>
      <w:r w:rsidR="005F7ABD">
        <w:rPr>
          <w:szCs w:val="22"/>
          <w:lang w:val="cs-CZ" w:eastAsia="en-US"/>
        </w:rPr>
        <w:t xml:space="preserve">. </w:t>
      </w:r>
      <w:r w:rsidR="00A34919" w:rsidRPr="002B3DDC">
        <w:rPr>
          <w:szCs w:val="22"/>
          <w:lang w:val="cs-CZ" w:eastAsia="zh-CN"/>
        </w:rPr>
        <w:t>Jedna denní dávka 160 mg obsahuje 1,68 </w:t>
      </w:r>
      <w:r w:rsidR="00953C30" w:rsidRPr="002B3DDC">
        <w:rPr>
          <w:szCs w:val="22"/>
          <w:lang w:val="cs-CZ" w:eastAsia="zh-CN"/>
        </w:rPr>
        <w:t xml:space="preserve">mg </w:t>
      </w:r>
      <w:r w:rsidR="00D5250D" w:rsidRPr="002B3DDC">
        <w:rPr>
          <w:szCs w:val="22"/>
          <w:lang w:val="cs-CZ" w:eastAsia="zh-CN"/>
        </w:rPr>
        <w:t xml:space="preserve">sójového </w:t>
      </w:r>
      <w:proofErr w:type="spellStart"/>
      <w:r w:rsidR="00953C30" w:rsidRPr="002B3DDC">
        <w:rPr>
          <w:szCs w:val="22"/>
          <w:lang w:val="cs-CZ" w:eastAsia="zh-CN"/>
        </w:rPr>
        <w:t>lecit</w:t>
      </w:r>
      <w:r w:rsidR="00D5250D" w:rsidRPr="002B3DDC">
        <w:rPr>
          <w:szCs w:val="22"/>
          <w:lang w:val="cs-CZ" w:eastAsia="zh-CN"/>
        </w:rPr>
        <w:t>h</w:t>
      </w:r>
      <w:r w:rsidR="00953C30" w:rsidRPr="002B3DDC">
        <w:rPr>
          <w:szCs w:val="22"/>
          <w:lang w:val="cs-CZ" w:eastAsia="zh-CN"/>
        </w:rPr>
        <w:t>inu</w:t>
      </w:r>
      <w:proofErr w:type="spellEnd"/>
      <w:r w:rsidR="00953C30" w:rsidRPr="002B3DDC">
        <w:rPr>
          <w:szCs w:val="22"/>
          <w:lang w:val="cs-CZ" w:eastAsia="zh-CN"/>
        </w:rPr>
        <w:t>.</w:t>
      </w:r>
    </w:p>
    <w:p w14:paraId="7D45753F" w14:textId="77777777" w:rsidR="007320BE" w:rsidRDefault="007320BE" w:rsidP="007320BE">
      <w:pPr>
        <w:autoSpaceDE w:val="0"/>
        <w:autoSpaceDN w:val="0"/>
        <w:adjustRightInd w:val="0"/>
        <w:spacing w:after="0"/>
        <w:rPr>
          <w:szCs w:val="22"/>
          <w:lang w:val="cs-CZ" w:eastAsia="zh-CN"/>
        </w:rPr>
      </w:pPr>
    </w:p>
    <w:p w14:paraId="7D457543" w14:textId="77777777" w:rsidR="007320BE" w:rsidRDefault="007320BE" w:rsidP="0001612B">
      <w:pPr>
        <w:autoSpaceDE w:val="0"/>
        <w:autoSpaceDN w:val="0"/>
        <w:adjustRightInd w:val="0"/>
        <w:spacing w:after="0"/>
        <w:outlineLvl w:val="2"/>
        <w:rPr>
          <w:b/>
          <w:szCs w:val="22"/>
          <w:lang w:val="cs-CZ"/>
        </w:rPr>
      </w:pPr>
      <w:r w:rsidRPr="007320BE">
        <w:rPr>
          <w:b/>
          <w:color w:val="222222"/>
          <w:szCs w:val="22"/>
          <w:lang w:val="cs-CZ"/>
        </w:rPr>
        <w:lastRenderedPageBreak/>
        <w:t>4.5</w:t>
      </w:r>
      <w:r w:rsidRPr="007320BE">
        <w:rPr>
          <w:b/>
          <w:color w:val="222222"/>
          <w:szCs w:val="22"/>
          <w:lang w:val="cs-CZ"/>
        </w:rPr>
        <w:tab/>
      </w:r>
      <w:r w:rsidR="00356F6E" w:rsidRPr="007320BE">
        <w:rPr>
          <w:b/>
          <w:szCs w:val="22"/>
          <w:lang w:val="cs-CZ"/>
        </w:rPr>
        <w:t>Interakce s jinými léčivými přípravky a jiné formy interakce</w:t>
      </w:r>
    </w:p>
    <w:p w14:paraId="7D457544" w14:textId="77777777" w:rsidR="007320BE" w:rsidRDefault="007320BE" w:rsidP="007320BE">
      <w:pPr>
        <w:autoSpaceDE w:val="0"/>
        <w:autoSpaceDN w:val="0"/>
        <w:adjustRightInd w:val="0"/>
        <w:spacing w:after="0"/>
        <w:rPr>
          <w:b/>
          <w:szCs w:val="22"/>
          <w:lang w:val="cs-CZ"/>
        </w:rPr>
      </w:pPr>
    </w:p>
    <w:p w14:paraId="7D457545" w14:textId="77777777" w:rsidR="00356F6E" w:rsidRPr="007320BE" w:rsidRDefault="00356F6E" w:rsidP="007320BE">
      <w:pPr>
        <w:autoSpaceDE w:val="0"/>
        <w:autoSpaceDN w:val="0"/>
        <w:adjustRightInd w:val="0"/>
        <w:spacing w:after="0"/>
        <w:rPr>
          <w:b/>
          <w:iCs/>
          <w:szCs w:val="22"/>
          <w:lang w:val="cs-CZ" w:eastAsia="zh-CN"/>
        </w:rPr>
      </w:pPr>
      <w:r w:rsidRPr="007320BE">
        <w:rPr>
          <w:iCs/>
          <w:szCs w:val="22"/>
          <w:u w:val="single"/>
          <w:lang w:val="cs-CZ"/>
        </w:rPr>
        <w:t>Inhibitory</w:t>
      </w:r>
      <w:r w:rsidR="005C0B56" w:rsidRPr="007320BE">
        <w:rPr>
          <w:iCs/>
          <w:szCs w:val="22"/>
          <w:u w:val="single"/>
          <w:lang w:val="cs-CZ"/>
        </w:rPr>
        <w:t xml:space="preserve"> CYP3A4 a UGT1A9</w:t>
      </w:r>
      <w:r w:rsidRPr="007320BE">
        <w:rPr>
          <w:iCs/>
          <w:szCs w:val="22"/>
          <w:u w:val="single"/>
          <w:lang w:val="cs-CZ"/>
        </w:rPr>
        <w:t>/induktory CYP3A4</w:t>
      </w:r>
    </w:p>
    <w:p w14:paraId="7D457546" w14:textId="77777777" w:rsidR="00356F6E" w:rsidRPr="003D520D" w:rsidRDefault="00356F6E" w:rsidP="00D707AB">
      <w:pPr>
        <w:spacing w:after="0"/>
        <w:rPr>
          <w:szCs w:val="22"/>
          <w:lang w:val="cs-CZ"/>
        </w:rPr>
      </w:pPr>
      <w:r w:rsidRPr="003D520D">
        <w:rPr>
          <w:i/>
          <w:iCs/>
          <w:szCs w:val="22"/>
          <w:lang w:val="cs-CZ"/>
        </w:rPr>
        <w:t>In vitro</w:t>
      </w:r>
      <w:r w:rsidRPr="003D520D">
        <w:rPr>
          <w:szCs w:val="22"/>
          <w:lang w:val="cs-CZ"/>
        </w:rPr>
        <w:t xml:space="preserve"> údaje ukazují, že </w:t>
      </w:r>
      <w:proofErr w:type="spellStart"/>
      <w:r w:rsidRPr="003D520D">
        <w:rPr>
          <w:szCs w:val="22"/>
          <w:lang w:val="cs-CZ"/>
        </w:rPr>
        <w:t>regorafenib</w:t>
      </w:r>
      <w:proofErr w:type="spellEnd"/>
      <w:r w:rsidRPr="003D520D">
        <w:rPr>
          <w:szCs w:val="22"/>
          <w:lang w:val="cs-CZ"/>
        </w:rPr>
        <w:t xml:space="preserve"> je metabolizovaný cytochromem CYP3A4 a </w:t>
      </w:r>
      <w:proofErr w:type="spellStart"/>
      <w:r w:rsidRPr="003D520D">
        <w:rPr>
          <w:szCs w:val="22"/>
          <w:lang w:val="cs-CZ"/>
        </w:rPr>
        <w:t>uridindifosfátglukuronyltransferázou</w:t>
      </w:r>
      <w:proofErr w:type="spellEnd"/>
      <w:r w:rsidRPr="003D520D">
        <w:rPr>
          <w:szCs w:val="22"/>
          <w:lang w:val="cs-CZ"/>
        </w:rPr>
        <w:t xml:space="preserve"> UGT1A9. </w:t>
      </w:r>
    </w:p>
    <w:p w14:paraId="7D457547" w14:textId="77777777" w:rsidR="00356F6E" w:rsidRPr="003D520D" w:rsidRDefault="00356F6E" w:rsidP="00D707AB">
      <w:pPr>
        <w:spacing w:after="0"/>
        <w:rPr>
          <w:szCs w:val="22"/>
          <w:lang w:val="cs-CZ"/>
        </w:rPr>
      </w:pPr>
    </w:p>
    <w:p w14:paraId="7D457548" w14:textId="77777777" w:rsidR="005C0B56" w:rsidRPr="003D520D" w:rsidRDefault="00356F6E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Podání </w:t>
      </w:r>
      <w:proofErr w:type="spellStart"/>
      <w:r w:rsidRPr="003D520D">
        <w:rPr>
          <w:szCs w:val="22"/>
          <w:lang w:val="cs-CZ"/>
        </w:rPr>
        <w:t>ketokonazolu</w:t>
      </w:r>
      <w:proofErr w:type="spellEnd"/>
      <w:r w:rsidRPr="003D520D">
        <w:rPr>
          <w:szCs w:val="22"/>
          <w:lang w:val="cs-CZ"/>
        </w:rPr>
        <w:t xml:space="preserve"> (400</w:t>
      </w:r>
      <w:r w:rsidR="00A34919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mg po dobu 18</w:t>
      </w:r>
      <w:r w:rsidR="00A34919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dnů), což je silný inhibitor CYP3A4</w:t>
      </w:r>
      <w:r w:rsidR="008919DF" w:rsidRPr="003D520D">
        <w:rPr>
          <w:szCs w:val="22"/>
          <w:lang w:val="cs-CZ"/>
        </w:rPr>
        <w:t>,</w:t>
      </w:r>
      <w:r w:rsidRPr="003D520D">
        <w:rPr>
          <w:szCs w:val="22"/>
          <w:lang w:val="cs-CZ"/>
        </w:rPr>
        <w:t xml:space="preserve"> s jednou dávkou </w:t>
      </w:r>
      <w:proofErr w:type="spellStart"/>
      <w:r w:rsidRPr="003D520D">
        <w:rPr>
          <w:szCs w:val="22"/>
          <w:lang w:val="cs-CZ"/>
        </w:rPr>
        <w:t>regorafenibu</w:t>
      </w:r>
      <w:proofErr w:type="spellEnd"/>
      <w:r w:rsidRPr="003D520D">
        <w:rPr>
          <w:szCs w:val="22"/>
          <w:lang w:val="cs-CZ"/>
        </w:rPr>
        <w:t xml:space="preserve"> (160</w:t>
      </w:r>
      <w:r w:rsidR="002E30F7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mg v</w:t>
      </w:r>
      <w:r w:rsidR="00A34919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den</w:t>
      </w:r>
      <w:r w:rsidR="00A34919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5) vedlo ke zvýšení průměrné expozice (AUC)</w:t>
      </w:r>
      <w:r w:rsidR="005C5E9F" w:rsidRPr="003D520D">
        <w:rPr>
          <w:szCs w:val="22"/>
          <w:lang w:val="cs-CZ"/>
        </w:rPr>
        <w:t xml:space="preserve"> </w:t>
      </w:r>
      <w:proofErr w:type="spellStart"/>
      <w:r w:rsidR="005C5E9F" w:rsidRPr="003D520D">
        <w:rPr>
          <w:szCs w:val="22"/>
          <w:lang w:val="cs-CZ"/>
        </w:rPr>
        <w:t>regorafenibu</w:t>
      </w:r>
      <w:proofErr w:type="spellEnd"/>
      <w:r w:rsidRPr="003D520D">
        <w:rPr>
          <w:szCs w:val="22"/>
          <w:lang w:val="cs-CZ"/>
        </w:rPr>
        <w:t xml:space="preserve"> o přibližně 33</w:t>
      </w:r>
      <w:r w:rsidR="002E30F7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% a snížení průměrné expozice aktivním metabolitům, M</w:t>
      </w:r>
      <w:r w:rsidR="00A34919" w:rsidRPr="003D520D">
        <w:rPr>
          <w:szCs w:val="22"/>
          <w:lang w:val="cs-CZ"/>
        </w:rPr>
        <w:noBreakHyphen/>
      </w:r>
      <w:r w:rsidRPr="003D520D">
        <w:rPr>
          <w:szCs w:val="22"/>
          <w:lang w:val="cs-CZ"/>
        </w:rPr>
        <w:t>2 (N</w:t>
      </w:r>
      <w:r w:rsidR="00A34919" w:rsidRPr="003D520D">
        <w:rPr>
          <w:szCs w:val="22"/>
          <w:lang w:val="cs-CZ"/>
        </w:rPr>
        <w:noBreakHyphen/>
      </w:r>
      <w:r w:rsidRPr="003D520D">
        <w:rPr>
          <w:szCs w:val="22"/>
          <w:lang w:val="cs-CZ"/>
        </w:rPr>
        <w:t>oxid) a M</w:t>
      </w:r>
      <w:r w:rsidR="00A34919" w:rsidRPr="003D520D">
        <w:rPr>
          <w:szCs w:val="22"/>
          <w:lang w:val="cs-CZ"/>
        </w:rPr>
        <w:noBreakHyphen/>
      </w:r>
      <w:r w:rsidRPr="003D520D">
        <w:rPr>
          <w:szCs w:val="22"/>
          <w:lang w:val="cs-CZ"/>
        </w:rPr>
        <w:t>5 (N</w:t>
      </w:r>
      <w:r w:rsidR="00A34919" w:rsidRPr="003D520D">
        <w:rPr>
          <w:szCs w:val="22"/>
          <w:lang w:val="cs-CZ"/>
        </w:rPr>
        <w:noBreakHyphen/>
      </w:r>
      <w:r w:rsidRPr="003D520D">
        <w:rPr>
          <w:szCs w:val="22"/>
          <w:lang w:val="cs-CZ"/>
        </w:rPr>
        <w:t>oxid a N</w:t>
      </w:r>
      <w:r w:rsidR="00A34919" w:rsidRPr="003D520D">
        <w:rPr>
          <w:szCs w:val="22"/>
          <w:lang w:val="cs-CZ"/>
        </w:rPr>
        <w:noBreakHyphen/>
      </w:r>
      <w:proofErr w:type="spellStart"/>
      <w:r w:rsidRPr="003D520D">
        <w:rPr>
          <w:szCs w:val="22"/>
          <w:lang w:val="cs-CZ"/>
        </w:rPr>
        <w:t>desmethyl</w:t>
      </w:r>
      <w:proofErr w:type="spellEnd"/>
      <w:r w:rsidRPr="003D520D">
        <w:rPr>
          <w:szCs w:val="22"/>
          <w:lang w:val="cs-CZ"/>
        </w:rPr>
        <w:t>)</w:t>
      </w:r>
      <w:r w:rsidR="008919DF" w:rsidRPr="003D520D">
        <w:rPr>
          <w:szCs w:val="22"/>
          <w:lang w:val="cs-CZ"/>
        </w:rPr>
        <w:t>,</w:t>
      </w:r>
      <w:r w:rsidRPr="003D520D">
        <w:rPr>
          <w:szCs w:val="22"/>
          <w:lang w:val="cs-CZ"/>
        </w:rPr>
        <w:t xml:space="preserve"> asi o 90</w:t>
      </w:r>
      <w:r w:rsidR="002E30F7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%.</w:t>
      </w:r>
      <w:r w:rsidR="005C0B56" w:rsidRPr="003D520D">
        <w:rPr>
          <w:szCs w:val="22"/>
          <w:lang w:val="cs-CZ"/>
        </w:rPr>
        <w:t xml:space="preserve"> Doporučuje se vyhnout se současnému podávání</w:t>
      </w:r>
      <w:r w:rsidR="00940814" w:rsidRPr="003D520D">
        <w:rPr>
          <w:szCs w:val="22"/>
          <w:lang w:val="cs-CZ"/>
        </w:rPr>
        <w:t xml:space="preserve"> silných inhibitorů </w:t>
      </w:r>
      <w:r w:rsidR="00080F68" w:rsidRPr="003D520D">
        <w:rPr>
          <w:szCs w:val="22"/>
          <w:lang w:val="cs-CZ"/>
        </w:rPr>
        <w:t xml:space="preserve">aktivity </w:t>
      </w:r>
      <w:r w:rsidR="00940814" w:rsidRPr="003D520D">
        <w:rPr>
          <w:szCs w:val="22"/>
          <w:lang w:val="cs-CZ"/>
        </w:rPr>
        <w:t xml:space="preserve">CYP3A4 (např. </w:t>
      </w:r>
      <w:proofErr w:type="spellStart"/>
      <w:r w:rsidR="00940814" w:rsidRPr="003D520D">
        <w:rPr>
          <w:szCs w:val="22"/>
          <w:lang w:val="cs-CZ"/>
        </w:rPr>
        <w:t>klaritromycin</w:t>
      </w:r>
      <w:proofErr w:type="spellEnd"/>
      <w:r w:rsidR="00940814" w:rsidRPr="003D520D">
        <w:rPr>
          <w:szCs w:val="22"/>
          <w:lang w:val="cs-CZ"/>
        </w:rPr>
        <w:t xml:space="preserve">, grapefruitová šťáva, </w:t>
      </w:r>
      <w:proofErr w:type="spellStart"/>
      <w:r w:rsidR="00940814" w:rsidRPr="003D520D">
        <w:rPr>
          <w:szCs w:val="22"/>
          <w:lang w:val="cs-CZ"/>
        </w:rPr>
        <w:t>itrakonazol</w:t>
      </w:r>
      <w:proofErr w:type="spellEnd"/>
      <w:r w:rsidR="00940814" w:rsidRPr="003D520D">
        <w:rPr>
          <w:szCs w:val="22"/>
          <w:lang w:val="cs-CZ"/>
        </w:rPr>
        <w:t xml:space="preserve">, </w:t>
      </w:r>
      <w:proofErr w:type="spellStart"/>
      <w:r w:rsidR="005C0B56" w:rsidRPr="003D520D">
        <w:rPr>
          <w:szCs w:val="22"/>
          <w:lang w:val="cs-CZ"/>
        </w:rPr>
        <w:t>ketokonazol</w:t>
      </w:r>
      <w:proofErr w:type="spellEnd"/>
      <w:r w:rsidR="005C0B56" w:rsidRPr="003D520D">
        <w:rPr>
          <w:szCs w:val="22"/>
          <w:lang w:val="cs-CZ"/>
        </w:rPr>
        <w:t xml:space="preserve">, </w:t>
      </w:r>
      <w:proofErr w:type="spellStart"/>
      <w:r w:rsidR="005C0B56" w:rsidRPr="003D520D">
        <w:rPr>
          <w:szCs w:val="22"/>
          <w:lang w:val="cs-CZ"/>
        </w:rPr>
        <w:t>posakonazol</w:t>
      </w:r>
      <w:proofErr w:type="spellEnd"/>
      <w:r w:rsidR="005C0B56" w:rsidRPr="003D520D">
        <w:rPr>
          <w:szCs w:val="22"/>
          <w:lang w:val="cs-CZ"/>
        </w:rPr>
        <w:t xml:space="preserve">, </w:t>
      </w:r>
      <w:proofErr w:type="spellStart"/>
      <w:r w:rsidR="005C0B56" w:rsidRPr="003D520D">
        <w:rPr>
          <w:szCs w:val="22"/>
          <w:lang w:val="cs-CZ"/>
        </w:rPr>
        <w:t>telithromycin</w:t>
      </w:r>
      <w:proofErr w:type="spellEnd"/>
      <w:r w:rsidR="005C0B56" w:rsidRPr="003D520D">
        <w:rPr>
          <w:szCs w:val="22"/>
          <w:lang w:val="cs-CZ"/>
        </w:rPr>
        <w:t xml:space="preserve"> a </w:t>
      </w:r>
      <w:proofErr w:type="spellStart"/>
      <w:r w:rsidR="005C0B56" w:rsidRPr="003D520D">
        <w:rPr>
          <w:szCs w:val="22"/>
          <w:lang w:val="cs-CZ"/>
        </w:rPr>
        <w:t>vorikonazol</w:t>
      </w:r>
      <w:proofErr w:type="spellEnd"/>
      <w:r w:rsidR="005C0B56" w:rsidRPr="003D520D">
        <w:rPr>
          <w:szCs w:val="22"/>
          <w:lang w:val="cs-CZ"/>
        </w:rPr>
        <w:t xml:space="preserve">), protože jejich vliv na expozici </w:t>
      </w:r>
      <w:proofErr w:type="spellStart"/>
      <w:r w:rsidR="005C0B56" w:rsidRPr="003D520D">
        <w:rPr>
          <w:szCs w:val="22"/>
          <w:lang w:val="cs-CZ"/>
        </w:rPr>
        <w:t>regorafen</w:t>
      </w:r>
      <w:r w:rsidR="006348D8" w:rsidRPr="003D520D">
        <w:rPr>
          <w:szCs w:val="22"/>
          <w:lang w:val="cs-CZ"/>
        </w:rPr>
        <w:t>i</w:t>
      </w:r>
      <w:r w:rsidR="005C0B56" w:rsidRPr="003D520D">
        <w:rPr>
          <w:szCs w:val="22"/>
          <w:lang w:val="cs-CZ"/>
        </w:rPr>
        <w:t>bu</w:t>
      </w:r>
      <w:proofErr w:type="spellEnd"/>
      <w:r w:rsidR="005C0B56" w:rsidRPr="003D520D">
        <w:rPr>
          <w:szCs w:val="22"/>
          <w:lang w:val="cs-CZ"/>
        </w:rPr>
        <w:t xml:space="preserve"> </w:t>
      </w:r>
      <w:r w:rsidR="006348D8" w:rsidRPr="003D520D">
        <w:rPr>
          <w:szCs w:val="22"/>
          <w:lang w:val="cs-CZ"/>
        </w:rPr>
        <w:t xml:space="preserve">a jeho metabolitům v </w:t>
      </w:r>
      <w:r w:rsidR="005C0B56" w:rsidRPr="003D520D">
        <w:rPr>
          <w:szCs w:val="22"/>
          <w:lang w:val="cs-CZ"/>
        </w:rPr>
        <w:t xml:space="preserve">ustáleném stavu nebyl </w:t>
      </w:r>
      <w:r w:rsidR="008E4B74">
        <w:rPr>
          <w:szCs w:val="22"/>
          <w:lang w:val="cs-CZ"/>
        </w:rPr>
        <w:t>studován</w:t>
      </w:r>
      <w:r w:rsidR="005C0B56" w:rsidRPr="003D520D">
        <w:rPr>
          <w:szCs w:val="22"/>
          <w:lang w:val="cs-CZ"/>
        </w:rPr>
        <w:t>.</w:t>
      </w:r>
    </w:p>
    <w:p w14:paraId="7D457549" w14:textId="77777777" w:rsidR="005C0B56" w:rsidRPr="003D520D" w:rsidRDefault="005C0B56" w:rsidP="00D707AB">
      <w:pPr>
        <w:spacing w:after="0"/>
        <w:rPr>
          <w:szCs w:val="22"/>
          <w:lang w:val="cs-CZ"/>
        </w:rPr>
      </w:pPr>
    </w:p>
    <w:p w14:paraId="7D45754A" w14:textId="77777777" w:rsidR="00356F6E" w:rsidRPr="003D520D" w:rsidRDefault="005C0B56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>Současné podávání silného inhibitoru UGT1A9 (např. kyselin</w:t>
      </w:r>
      <w:r w:rsidR="008E4B74">
        <w:rPr>
          <w:szCs w:val="22"/>
          <w:lang w:val="cs-CZ"/>
        </w:rPr>
        <w:t>a</w:t>
      </w:r>
      <w:r w:rsidRPr="003D520D">
        <w:rPr>
          <w:szCs w:val="22"/>
          <w:lang w:val="cs-CZ"/>
        </w:rPr>
        <w:t xml:space="preserve"> </w:t>
      </w:r>
      <w:proofErr w:type="spellStart"/>
      <w:r w:rsidRPr="003D520D">
        <w:rPr>
          <w:szCs w:val="22"/>
          <w:lang w:val="cs-CZ"/>
        </w:rPr>
        <w:t>mefenamov</w:t>
      </w:r>
      <w:r w:rsidR="008E4B74">
        <w:rPr>
          <w:szCs w:val="22"/>
          <w:lang w:val="cs-CZ"/>
        </w:rPr>
        <w:t>á</w:t>
      </w:r>
      <w:proofErr w:type="spellEnd"/>
      <w:r w:rsidRPr="003D520D">
        <w:rPr>
          <w:szCs w:val="22"/>
          <w:lang w:val="cs-CZ"/>
        </w:rPr>
        <w:t xml:space="preserve">, </w:t>
      </w:r>
      <w:proofErr w:type="spellStart"/>
      <w:r w:rsidRPr="003D520D">
        <w:rPr>
          <w:szCs w:val="22"/>
          <w:lang w:val="cs-CZ"/>
        </w:rPr>
        <w:t>diflunisal</w:t>
      </w:r>
      <w:proofErr w:type="spellEnd"/>
      <w:r w:rsidRPr="003D520D">
        <w:rPr>
          <w:szCs w:val="22"/>
          <w:lang w:val="cs-CZ"/>
        </w:rPr>
        <w:t xml:space="preserve"> a kyselin</w:t>
      </w:r>
      <w:r w:rsidR="008E4B74">
        <w:rPr>
          <w:szCs w:val="22"/>
          <w:lang w:val="cs-CZ"/>
        </w:rPr>
        <w:t>a</w:t>
      </w:r>
      <w:r w:rsidRPr="003D520D">
        <w:rPr>
          <w:szCs w:val="22"/>
          <w:lang w:val="cs-CZ"/>
        </w:rPr>
        <w:t xml:space="preserve"> </w:t>
      </w:r>
      <w:proofErr w:type="spellStart"/>
      <w:r w:rsidRPr="003D520D">
        <w:rPr>
          <w:szCs w:val="22"/>
          <w:lang w:val="cs-CZ"/>
        </w:rPr>
        <w:t>niflumov</w:t>
      </w:r>
      <w:r w:rsidR="008E4B74">
        <w:rPr>
          <w:szCs w:val="22"/>
          <w:lang w:val="cs-CZ"/>
        </w:rPr>
        <w:t>á</w:t>
      </w:r>
      <w:proofErr w:type="spellEnd"/>
      <w:r w:rsidRPr="003D520D">
        <w:rPr>
          <w:szCs w:val="22"/>
          <w:lang w:val="cs-CZ"/>
        </w:rPr>
        <w:t xml:space="preserve">) během léčby </w:t>
      </w:r>
      <w:proofErr w:type="spellStart"/>
      <w:r w:rsidRPr="003D520D">
        <w:rPr>
          <w:szCs w:val="22"/>
          <w:lang w:val="cs-CZ"/>
        </w:rPr>
        <w:t>regorafenibem</w:t>
      </w:r>
      <w:proofErr w:type="spellEnd"/>
      <w:r w:rsidRPr="003D520D">
        <w:rPr>
          <w:szCs w:val="22"/>
          <w:lang w:val="cs-CZ"/>
        </w:rPr>
        <w:t xml:space="preserve"> nem</w:t>
      </w:r>
      <w:r w:rsidR="008E4B74">
        <w:rPr>
          <w:szCs w:val="22"/>
          <w:lang w:val="cs-CZ"/>
        </w:rPr>
        <w:t>á</w:t>
      </w:r>
      <w:r w:rsidRPr="003D520D">
        <w:rPr>
          <w:szCs w:val="22"/>
          <w:lang w:val="cs-CZ"/>
        </w:rPr>
        <w:t xml:space="preserve"> být prováděno, protože jejich vliv na expozici </w:t>
      </w:r>
      <w:proofErr w:type="spellStart"/>
      <w:r w:rsidRPr="003D520D">
        <w:rPr>
          <w:szCs w:val="22"/>
          <w:lang w:val="cs-CZ"/>
        </w:rPr>
        <w:t>regorafenibu</w:t>
      </w:r>
      <w:proofErr w:type="spellEnd"/>
      <w:r w:rsidRPr="003D520D">
        <w:rPr>
          <w:szCs w:val="22"/>
          <w:lang w:val="cs-CZ"/>
        </w:rPr>
        <w:t xml:space="preserve"> </w:t>
      </w:r>
      <w:r w:rsidR="006348D8" w:rsidRPr="003D520D">
        <w:rPr>
          <w:szCs w:val="22"/>
          <w:lang w:val="cs-CZ"/>
        </w:rPr>
        <w:t xml:space="preserve">a jeho metabolitů v </w:t>
      </w:r>
      <w:r w:rsidRPr="003D520D">
        <w:rPr>
          <w:szCs w:val="22"/>
          <w:lang w:val="cs-CZ"/>
        </w:rPr>
        <w:t xml:space="preserve">ustáleném stavu nebyl </w:t>
      </w:r>
      <w:r w:rsidR="008E4B74">
        <w:rPr>
          <w:szCs w:val="22"/>
          <w:lang w:val="cs-CZ"/>
        </w:rPr>
        <w:t>studován</w:t>
      </w:r>
      <w:r w:rsidRPr="003D520D">
        <w:rPr>
          <w:szCs w:val="22"/>
          <w:lang w:val="cs-CZ"/>
        </w:rPr>
        <w:t>.</w:t>
      </w:r>
    </w:p>
    <w:p w14:paraId="7D45754B" w14:textId="77777777" w:rsidR="00356F6E" w:rsidRPr="003D520D" w:rsidRDefault="00356F6E" w:rsidP="00D707AB">
      <w:pPr>
        <w:spacing w:after="0"/>
        <w:rPr>
          <w:szCs w:val="22"/>
          <w:lang w:val="cs-CZ"/>
        </w:rPr>
      </w:pPr>
    </w:p>
    <w:p w14:paraId="7D45754C" w14:textId="77777777" w:rsidR="007320BE" w:rsidRDefault="00356F6E" w:rsidP="007320BE">
      <w:pPr>
        <w:spacing w:after="0"/>
        <w:rPr>
          <w:szCs w:val="22"/>
          <w:lang w:val="cs-CZ"/>
        </w:rPr>
      </w:pPr>
      <w:r w:rsidRPr="00706DCA">
        <w:rPr>
          <w:szCs w:val="22"/>
          <w:lang w:val="cs-CZ"/>
        </w:rPr>
        <w:t xml:space="preserve">Podání </w:t>
      </w:r>
      <w:proofErr w:type="spellStart"/>
      <w:r w:rsidRPr="00706DCA">
        <w:rPr>
          <w:szCs w:val="22"/>
          <w:lang w:val="cs-CZ"/>
        </w:rPr>
        <w:t>rifampicinu</w:t>
      </w:r>
      <w:proofErr w:type="spellEnd"/>
      <w:r w:rsidRPr="00706DCA">
        <w:rPr>
          <w:szCs w:val="22"/>
          <w:lang w:val="cs-CZ"/>
        </w:rPr>
        <w:t xml:space="preserve"> (600</w:t>
      </w:r>
      <w:r w:rsidR="002E30F7" w:rsidRPr="00706DCA">
        <w:rPr>
          <w:szCs w:val="22"/>
          <w:lang w:val="cs-CZ"/>
        </w:rPr>
        <w:t> </w:t>
      </w:r>
      <w:r w:rsidRPr="00706DCA">
        <w:rPr>
          <w:szCs w:val="22"/>
          <w:lang w:val="cs-CZ"/>
        </w:rPr>
        <w:t>mg po dobu 9</w:t>
      </w:r>
      <w:r w:rsidR="002E30F7" w:rsidRPr="00706DCA">
        <w:rPr>
          <w:szCs w:val="22"/>
          <w:lang w:val="cs-CZ"/>
        </w:rPr>
        <w:t> </w:t>
      </w:r>
      <w:r w:rsidRPr="00706DCA">
        <w:rPr>
          <w:szCs w:val="22"/>
          <w:lang w:val="cs-CZ"/>
        </w:rPr>
        <w:t xml:space="preserve">dnů), silného induktoru CYP3A4, s jednou dávkou </w:t>
      </w:r>
      <w:proofErr w:type="spellStart"/>
      <w:r w:rsidRPr="00706DCA">
        <w:rPr>
          <w:szCs w:val="22"/>
          <w:lang w:val="cs-CZ"/>
        </w:rPr>
        <w:t>regorafenibu</w:t>
      </w:r>
      <w:proofErr w:type="spellEnd"/>
      <w:r w:rsidRPr="00706DCA">
        <w:rPr>
          <w:szCs w:val="22"/>
          <w:lang w:val="cs-CZ"/>
        </w:rPr>
        <w:t xml:space="preserve"> (160</w:t>
      </w:r>
      <w:r w:rsidR="002E30F7" w:rsidRPr="00706DCA">
        <w:rPr>
          <w:szCs w:val="22"/>
          <w:lang w:val="cs-CZ"/>
        </w:rPr>
        <w:t> </w:t>
      </w:r>
      <w:r w:rsidRPr="00706DCA">
        <w:rPr>
          <w:szCs w:val="22"/>
          <w:lang w:val="cs-CZ"/>
        </w:rPr>
        <w:t>mg v den</w:t>
      </w:r>
      <w:r w:rsidR="002E30F7" w:rsidRPr="00706DCA">
        <w:rPr>
          <w:szCs w:val="22"/>
          <w:lang w:val="cs-CZ"/>
        </w:rPr>
        <w:t> </w:t>
      </w:r>
      <w:r w:rsidRPr="00706DCA">
        <w:rPr>
          <w:szCs w:val="22"/>
          <w:lang w:val="cs-CZ"/>
        </w:rPr>
        <w:t>7) vedlo ke snížení AUC</w:t>
      </w:r>
      <w:r w:rsidR="000750A0" w:rsidRPr="00706DCA">
        <w:rPr>
          <w:szCs w:val="22"/>
          <w:lang w:val="cs-CZ"/>
        </w:rPr>
        <w:t xml:space="preserve"> </w:t>
      </w:r>
      <w:proofErr w:type="spellStart"/>
      <w:r w:rsidR="000750A0" w:rsidRPr="00706DCA">
        <w:rPr>
          <w:szCs w:val="22"/>
          <w:lang w:val="cs-CZ"/>
        </w:rPr>
        <w:t>regorafenibu</w:t>
      </w:r>
      <w:proofErr w:type="spellEnd"/>
      <w:r w:rsidRPr="00706DCA">
        <w:rPr>
          <w:szCs w:val="22"/>
          <w:lang w:val="cs-CZ"/>
        </w:rPr>
        <w:t xml:space="preserve"> asi o 50</w:t>
      </w:r>
      <w:r w:rsidR="002E30F7" w:rsidRPr="00706DCA">
        <w:rPr>
          <w:szCs w:val="22"/>
          <w:lang w:val="cs-CZ"/>
        </w:rPr>
        <w:t> </w:t>
      </w:r>
      <w:r w:rsidRPr="00706DCA">
        <w:rPr>
          <w:szCs w:val="22"/>
          <w:lang w:val="cs-CZ"/>
        </w:rPr>
        <w:t>%, 3</w:t>
      </w:r>
      <w:r w:rsidR="008E4B74" w:rsidRPr="00706DCA">
        <w:rPr>
          <w:szCs w:val="22"/>
          <w:lang w:val="cs-CZ"/>
        </w:rPr>
        <w:t>-</w:t>
      </w:r>
      <w:r w:rsidRPr="00706DCA">
        <w:rPr>
          <w:szCs w:val="22"/>
          <w:lang w:val="cs-CZ"/>
        </w:rPr>
        <w:t xml:space="preserve"> až 4násobnému zvýšení průměrné expozice aktivnímu metabolitu M</w:t>
      </w:r>
      <w:r w:rsidR="00A34919" w:rsidRPr="00706DCA">
        <w:rPr>
          <w:szCs w:val="22"/>
          <w:lang w:val="cs-CZ"/>
        </w:rPr>
        <w:noBreakHyphen/>
      </w:r>
      <w:r w:rsidRPr="00706DCA">
        <w:rPr>
          <w:szCs w:val="22"/>
          <w:lang w:val="cs-CZ"/>
        </w:rPr>
        <w:t>5 a k žádné změně v expozici aktivnímu metabolitu M</w:t>
      </w:r>
      <w:r w:rsidR="00A34919" w:rsidRPr="00706DCA">
        <w:rPr>
          <w:szCs w:val="22"/>
          <w:lang w:val="cs-CZ"/>
        </w:rPr>
        <w:noBreakHyphen/>
      </w:r>
      <w:r w:rsidRPr="00706DCA">
        <w:rPr>
          <w:szCs w:val="22"/>
          <w:lang w:val="cs-CZ"/>
        </w:rPr>
        <w:t>2.</w:t>
      </w:r>
      <w:r w:rsidRPr="003D520D">
        <w:rPr>
          <w:szCs w:val="22"/>
          <w:lang w:val="cs-CZ"/>
        </w:rPr>
        <w:t xml:space="preserve"> Další silné induktory CYP3A4 (např. </w:t>
      </w:r>
      <w:proofErr w:type="spellStart"/>
      <w:r w:rsidRPr="003D520D">
        <w:rPr>
          <w:szCs w:val="22"/>
          <w:lang w:val="cs-CZ"/>
        </w:rPr>
        <w:t>fenytoin</w:t>
      </w:r>
      <w:proofErr w:type="spellEnd"/>
      <w:r w:rsidRPr="003D520D">
        <w:rPr>
          <w:szCs w:val="22"/>
          <w:lang w:val="cs-CZ"/>
        </w:rPr>
        <w:t xml:space="preserve">, </w:t>
      </w:r>
      <w:proofErr w:type="spellStart"/>
      <w:r w:rsidRPr="003D520D">
        <w:rPr>
          <w:szCs w:val="22"/>
          <w:lang w:val="cs-CZ"/>
        </w:rPr>
        <w:t>karbamazepin</w:t>
      </w:r>
      <w:proofErr w:type="spellEnd"/>
      <w:r w:rsidRPr="003D520D">
        <w:rPr>
          <w:szCs w:val="22"/>
          <w:lang w:val="cs-CZ"/>
        </w:rPr>
        <w:t xml:space="preserve"> a fenobarbital</w:t>
      </w:r>
      <w:r w:rsidR="000750A0" w:rsidRPr="003D520D">
        <w:rPr>
          <w:szCs w:val="22"/>
          <w:lang w:val="cs-CZ"/>
        </w:rPr>
        <w:t xml:space="preserve"> a třezalka tečkovaná</w:t>
      </w:r>
      <w:r w:rsidRPr="003D520D">
        <w:rPr>
          <w:szCs w:val="22"/>
          <w:lang w:val="cs-CZ"/>
        </w:rPr>
        <w:t xml:space="preserve">) mohou také zvyšovat metabolismus </w:t>
      </w:r>
      <w:proofErr w:type="spellStart"/>
      <w:r w:rsidRPr="003D520D">
        <w:rPr>
          <w:szCs w:val="22"/>
          <w:lang w:val="cs-CZ"/>
        </w:rPr>
        <w:t>regorafenibu</w:t>
      </w:r>
      <w:proofErr w:type="spellEnd"/>
      <w:r w:rsidRPr="003D520D">
        <w:rPr>
          <w:szCs w:val="22"/>
          <w:lang w:val="cs-CZ"/>
        </w:rPr>
        <w:t xml:space="preserve">. </w:t>
      </w:r>
      <w:r w:rsidR="000750A0" w:rsidRPr="003D520D">
        <w:rPr>
          <w:szCs w:val="22"/>
          <w:lang w:val="cs-CZ"/>
        </w:rPr>
        <w:t>S</w:t>
      </w:r>
      <w:r w:rsidRPr="003D520D">
        <w:rPr>
          <w:szCs w:val="22"/>
          <w:lang w:val="cs-CZ"/>
        </w:rPr>
        <w:t xml:space="preserve">ilné induktory CYP3A4 </w:t>
      </w:r>
      <w:r w:rsidR="00706DCA">
        <w:rPr>
          <w:szCs w:val="22"/>
          <w:lang w:val="cs-CZ"/>
        </w:rPr>
        <w:t xml:space="preserve">se </w:t>
      </w:r>
      <w:r w:rsidR="000750A0" w:rsidRPr="003D520D">
        <w:rPr>
          <w:szCs w:val="22"/>
          <w:lang w:val="cs-CZ"/>
        </w:rPr>
        <w:t>nem</w:t>
      </w:r>
      <w:r w:rsidR="00706DCA">
        <w:rPr>
          <w:szCs w:val="22"/>
          <w:lang w:val="cs-CZ"/>
        </w:rPr>
        <w:t>ají</w:t>
      </w:r>
      <w:r w:rsidR="000750A0" w:rsidRPr="003D520D">
        <w:rPr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>použív</w:t>
      </w:r>
      <w:r w:rsidR="00706DCA">
        <w:rPr>
          <w:szCs w:val="22"/>
          <w:lang w:val="cs-CZ"/>
        </w:rPr>
        <w:t>at</w:t>
      </w:r>
      <w:r w:rsidRPr="003D520D">
        <w:rPr>
          <w:szCs w:val="22"/>
          <w:lang w:val="cs-CZ"/>
        </w:rPr>
        <w:t xml:space="preserve"> nebo </w:t>
      </w:r>
      <w:r w:rsidR="00706DCA">
        <w:rPr>
          <w:szCs w:val="22"/>
          <w:lang w:val="cs-CZ"/>
        </w:rPr>
        <w:t>má</w:t>
      </w:r>
      <w:r w:rsidRPr="003D520D">
        <w:rPr>
          <w:szCs w:val="22"/>
          <w:lang w:val="cs-CZ"/>
        </w:rPr>
        <w:t xml:space="preserve"> být zvážena volba náhradního, současně podávaného </w:t>
      </w:r>
      <w:r w:rsidR="000750A0" w:rsidRPr="003D520D">
        <w:rPr>
          <w:szCs w:val="22"/>
          <w:lang w:val="cs-CZ"/>
        </w:rPr>
        <w:t xml:space="preserve">léčivého </w:t>
      </w:r>
      <w:r w:rsidRPr="003D520D">
        <w:rPr>
          <w:szCs w:val="22"/>
          <w:lang w:val="cs-CZ"/>
        </w:rPr>
        <w:t>přípravku s žádn</w:t>
      </w:r>
      <w:r w:rsidR="007B24E1" w:rsidRPr="003D520D">
        <w:rPr>
          <w:szCs w:val="22"/>
          <w:lang w:val="cs-CZ"/>
        </w:rPr>
        <w:t>ým</w:t>
      </w:r>
      <w:r w:rsidRPr="003D520D">
        <w:rPr>
          <w:szCs w:val="22"/>
          <w:lang w:val="cs-CZ"/>
        </w:rPr>
        <w:t xml:space="preserve"> nebo s minimální</w:t>
      </w:r>
      <w:r w:rsidR="007B24E1" w:rsidRPr="003D520D">
        <w:rPr>
          <w:szCs w:val="22"/>
          <w:lang w:val="cs-CZ"/>
        </w:rPr>
        <w:t>m</w:t>
      </w:r>
      <w:r w:rsidRPr="003D520D">
        <w:rPr>
          <w:szCs w:val="22"/>
          <w:lang w:val="cs-CZ"/>
        </w:rPr>
        <w:t xml:space="preserve"> </w:t>
      </w:r>
      <w:r w:rsidR="007B24E1" w:rsidRPr="003D520D">
        <w:rPr>
          <w:szCs w:val="22"/>
          <w:lang w:val="cs-CZ"/>
        </w:rPr>
        <w:t>potenciálem</w:t>
      </w:r>
      <w:r w:rsidRPr="003D520D">
        <w:rPr>
          <w:szCs w:val="22"/>
          <w:lang w:val="cs-CZ"/>
        </w:rPr>
        <w:t xml:space="preserve"> indukce CYP3A4.</w:t>
      </w:r>
      <w:bookmarkStart w:id="0" w:name="_Toc262800425"/>
    </w:p>
    <w:p w14:paraId="7D45754D" w14:textId="77777777" w:rsidR="007320BE" w:rsidRDefault="007320BE" w:rsidP="007320BE">
      <w:pPr>
        <w:spacing w:after="0"/>
        <w:rPr>
          <w:szCs w:val="22"/>
          <w:lang w:val="cs-CZ"/>
        </w:rPr>
      </w:pPr>
    </w:p>
    <w:p w14:paraId="7D45754E" w14:textId="77777777" w:rsidR="00356F6E" w:rsidRPr="007320BE" w:rsidRDefault="00356F6E" w:rsidP="007320BE">
      <w:pPr>
        <w:spacing w:after="0"/>
        <w:rPr>
          <w:iCs/>
          <w:szCs w:val="22"/>
          <w:lang w:val="cs-CZ"/>
        </w:rPr>
      </w:pPr>
      <w:r w:rsidRPr="007320BE">
        <w:rPr>
          <w:iCs/>
          <w:szCs w:val="22"/>
          <w:u w:val="single"/>
          <w:lang w:val="cs-CZ"/>
        </w:rPr>
        <w:t>Substráty pro UGT1A1 a UGT1A9</w:t>
      </w:r>
    </w:p>
    <w:p w14:paraId="7D45754F" w14:textId="77777777" w:rsidR="007320BE" w:rsidRDefault="00356F6E" w:rsidP="007320BE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i/>
          <w:iCs/>
          <w:sz w:val="22"/>
          <w:szCs w:val="22"/>
          <w:lang w:val="cs-CZ"/>
        </w:rPr>
        <w:t>In vitro</w:t>
      </w:r>
      <w:r w:rsidRPr="003D520D">
        <w:rPr>
          <w:sz w:val="22"/>
          <w:szCs w:val="22"/>
          <w:lang w:val="cs-CZ"/>
        </w:rPr>
        <w:t xml:space="preserve"> údaje ukazují, že </w:t>
      </w:r>
      <w:proofErr w:type="spellStart"/>
      <w:r w:rsidRPr="003D520D">
        <w:rPr>
          <w:sz w:val="22"/>
          <w:szCs w:val="22"/>
          <w:lang w:val="cs-CZ"/>
        </w:rPr>
        <w:t>regorafenib</w:t>
      </w:r>
      <w:proofErr w:type="spellEnd"/>
      <w:r w:rsidRPr="003D520D">
        <w:rPr>
          <w:sz w:val="22"/>
          <w:szCs w:val="22"/>
          <w:lang w:val="cs-CZ"/>
        </w:rPr>
        <w:t xml:space="preserve"> a rovněž jeho aktivní metabolit M</w:t>
      </w:r>
      <w:r w:rsidR="00A34919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 xml:space="preserve">2 inhibují </w:t>
      </w:r>
      <w:proofErr w:type="spellStart"/>
      <w:r w:rsidRPr="003D520D">
        <w:rPr>
          <w:sz w:val="22"/>
          <w:szCs w:val="22"/>
          <w:lang w:val="cs-CZ"/>
        </w:rPr>
        <w:t>glukuronidaci</w:t>
      </w:r>
      <w:proofErr w:type="spellEnd"/>
      <w:r w:rsidRPr="003D520D">
        <w:rPr>
          <w:sz w:val="22"/>
          <w:szCs w:val="22"/>
          <w:lang w:val="cs-CZ"/>
        </w:rPr>
        <w:t xml:space="preserve"> zprostředkovanou UGT1A1 a UGT1A9</w:t>
      </w:r>
      <w:r w:rsidR="00A34919" w:rsidRPr="003D520D">
        <w:rPr>
          <w:sz w:val="22"/>
          <w:szCs w:val="22"/>
          <w:lang w:val="cs-CZ"/>
        </w:rPr>
        <w:t>, zatímco M</w:t>
      </w:r>
      <w:r w:rsidR="00A34919" w:rsidRPr="003D520D">
        <w:rPr>
          <w:sz w:val="22"/>
          <w:szCs w:val="22"/>
          <w:lang w:val="cs-CZ"/>
        </w:rPr>
        <w:noBreakHyphen/>
      </w:r>
      <w:r w:rsidR="00A803D6" w:rsidRPr="003D520D">
        <w:rPr>
          <w:sz w:val="22"/>
          <w:szCs w:val="22"/>
          <w:lang w:val="cs-CZ"/>
        </w:rPr>
        <w:t>5 inhibuje po</w:t>
      </w:r>
      <w:r w:rsidR="002529D6" w:rsidRPr="003D520D">
        <w:rPr>
          <w:sz w:val="22"/>
          <w:szCs w:val="22"/>
          <w:lang w:val="cs-CZ"/>
        </w:rPr>
        <w:t>u</w:t>
      </w:r>
      <w:r w:rsidR="00A803D6" w:rsidRPr="003D520D">
        <w:rPr>
          <w:sz w:val="22"/>
          <w:szCs w:val="22"/>
          <w:lang w:val="cs-CZ"/>
        </w:rPr>
        <w:t>ze UGT1A1</w:t>
      </w:r>
      <w:r w:rsidRPr="003D520D">
        <w:rPr>
          <w:sz w:val="22"/>
          <w:szCs w:val="22"/>
          <w:lang w:val="cs-CZ"/>
        </w:rPr>
        <w:t xml:space="preserve"> při koncentracích, které jsou dosaženy </w:t>
      </w:r>
      <w:r w:rsidRPr="003D520D">
        <w:rPr>
          <w:i/>
          <w:iCs/>
          <w:sz w:val="22"/>
          <w:szCs w:val="22"/>
          <w:lang w:val="cs-CZ"/>
        </w:rPr>
        <w:t xml:space="preserve">in </w:t>
      </w:r>
      <w:proofErr w:type="spellStart"/>
      <w:r w:rsidRPr="003D520D">
        <w:rPr>
          <w:i/>
          <w:iCs/>
          <w:sz w:val="22"/>
          <w:szCs w:val="22"/>
          <w:lang w:val="cs-CZ"/>
        </w:rPr>
        <w:t>vivo</w:t>
      </w:r>
      <w:proofErr w:type="spellEnd"/>
      <w:r w:rsidRPr="003D520D">
        <w:rPr>
          <w:sz w:val="22"/>
          <w:szCs w:val="22"/>
          <w:lang w:val="cs-CZ"/>
        </w:rPr>
        <w:t xml:space="preserve"> </w:t>
      </w:r>
      <w:r w:rsidR="007B24E1" w:rsidRPr="003D520D">
        <w:rPr>
          <w:sz w:val="22"/>
          <w:szCs w:val="22"/>
          <w:lang w:val="cs-CZ"/>
        </w:rPr>
        <w:t xml:space="preserve">v </w:t>
      </w:r>
      <w:r w:rsidRPr="003D520D">
        <w:rPr>
          <w:sz w:val="22"/>
          <w:szCs w:val="22"/>
          <w:lang w:val="cs-CZ"/>
        </w:rPr>
        <w:t>ustáleném stavu.</w:t>
      </w:r>
      <w:r w:rsidR="00A803D6" w:rsidRPr="003D520D">
        <w:rPr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 xml:space="preserve">Podání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s 5denní pauzou před podáním </w:t>
      </w:r>
      <w:proofErr w:type="spellStart"/>
      <w:r w:rsidRPr="003D520D">
        <w:rPr>
          <w:sz w:val="22"/>
          <w:szCs w:val="22"/>
          <w:lang w:val="cs-CZ"/>
        </w:rPr>
        <w:t>irinotekanu</w:t>
      </w:r>
      <w:proofErr w:type="spellEnd"/>
      <w:r w:rsidRPr="003D520D">
        <w:rPr>
          <w:sz w:val="22"/>
          <w:szCs w:val="22"/>
          <w:lang w:val="cs-CZ"/>
        </w:rPr>
        <w:t xml:space="preserve"> vedlo přibližně k</w:t>
      </w:r>
      <w:r w:rsidR="004455E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44</w:t>
      </w:r>
      <w:r w:rsidR="004455E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% zvýšení AUC</w:t>
      </w:r>
      <w:r w:rsidR="00A803D6" w:rsidRPr="003D520D">
        <w:rPr>
          <w:sz w:val="22"/>
          <w:szCs w:val="22"/>
          <w:lang w:val="cs-CZ"/>
        </w:rPr>
        <w:t xml:space="preserve"> u</w:t>
      </w:r>
      <w:r w:rsidRPr="003D520D">
        <w:rPr>
          <w:sz w:val="22"/>
          <w:szCs w:val="22"/>
          <w:lang w:val="cs-CZ"/>
        </w:rPr>
        <w:t xml:space="preserve"> SN</w:t>
      </w:r>
      <w:r w:rsidR="00A34919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 xml:space="preserve">38, což je substrát UGT1A1 a aktivní metabolit </w:t>
      </w:r>
      <w:proofErr w:type="spellStart"/>
      <w:r w:rsidRPr="003D520D">
        <w:rPr>
          <w:sz w:val="22"/>
          <w:szCs w:val="22"/>
          <w:lang w:val="cs-CZ"/>
        </w:rPr>
        <w:t>irinotekanu</w:t>
      </w:r>
      <w:proofErr w:type="spellEnd"/>
      <w:r w:rsidRPr="003D520D">
        <w:rPr>
          <w:sz w:val="22"/>
          <w:szCs w:val="22"/>
          <w:lang w:val="cs-CZ"/>
        </w:rPr>
        <w:t xml:space="preserve">. Bylo </w:t>
      </w:r>
      <w:r w:rsidR="00A803D6" w:rsidRPr="003D520D">
        <w:rPr>
          <w:sz w:val="22"/>
          <w:szCs w:val="22"/>
          <w:lang w:val="cs-CZ"/>
        </w:rPr>
        <w:t xml:space="preserve">také </w:t>
      </w:r>
      <w:r w:rsidRPr="003D520D">
        <w:rPr>
          <w:sz w:val="22"/>
          <w:szCs w:val="22"/>
          <w:lang w:val="cs-CZ"/>
        </w:rPr>
        <w:t xml:space="preserve">pozorováno zvýšení </w:t>
      </w:r>
      <w:r w:rsidR="00A803D6" w:rsidRPr="003D520D">
        <w:rPr>
          <w:sz w:val="22"/>
          <w:szCs w:val="22"/>
          <w:lang w:val="cs-CZ"/>
        </w:rPr>
        <w:t>AUC</w:t>
      </w:r>
      <w:r w:rsidR="004455EB" w:rsidRPr="003D520D">
        <w:rPr>
          <w:sz w:val="22"/>
          <w:szCs w:val="22"/>
          <w:lang w:val="cs-CZ"/>
        </w:rPr>
        <w:t xml:space="preserve"> </w:t>
      </w:r>
      <w:proofErr w:type="spellStart"/>
      <w:r w:rsidR="004455EB" w:rsidRPr="003D520D">
        <w:rPr>
          <w:sz w:val="22"/>
          <w:szCs w:val="22"/>
          <w:lang w:val="cs-CZ"/>
        </w:rPr>
        <w:t>irinotekanu</w:t>
      </w:r>
      <w:proofErr w:type="spellEnd"/>
      <w:r w:rsidR="004455EB" w:rsidRPr="003D520D">
        <w:rPr>
          <w:sz w:val="22"/>
          <w:szCs w:val="22"/>
          <w:lang w:val="cs-CZ"/>
        </w:rPr>
        <w:t xml:space="preserve"> asi o 28 </w:t>
      </w:r>
      <w:r w:rsidRPr="003D520D">
        <w:rPr>
          <w:sz w:val="22"/>
          <w:szCs w:val="22"/>
          <w:lang w:val="cs-CZ"/>
        </w:rPr>
        <w:t xml:space="preserve">%. To ukazuje, že současné podávání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může zvýšit systémovou expozici substrátů pro UGT1A1 a UGT1A9.</w:t>
      </w:r>
    </w:p>
    <w:p w14:paraId="7D457550" w14:textId="77777777" w:rsidR="007320BE" w:rsidRDefault="007320BE" w:rsidP="007320BE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551" w14:textId="77777777" w:rsidR="007320BE" w:rsidRDefault="00356F6E" w:rsidP="007320BE">
      <w:pPr>
        <w:pStyle w:val="BayerBodyTextFull"/>
        <w:spacing w:before="0" w:after="0"/>
        <w:rPr>
          <w:iCs/>
          <w:sz w:val="22"/>
          <w:szCs w:val="22"/>
          <w:u w:val="single"/>
          <w:lang w:val="cs-CZ" w:eastAsia="en-GB"/>
        </w:rPr>
      </w:pPr>
      <w:r w:rsidRPr="007320BE">
        <w:rPr>
          <w:iCs/>
          <w:sz w:val="22"/>
          <w:szCs w:val="22"/>
          <w:u w:val="single"/>
          <w:lang w:val="cs-CZ" w:eastAsia="en-GB"/>
        </w:rPr>
        <w:t xml:space="preserve">Substráty pro </w:t>
      </w:r>
      <w:r w:rsidR="00CF737A" w:rsidRPr="007320BE">
        <w:rPr>
          <w:iCs/>
          <w:sz w:val="22"/>
          <w:szCs w:val="22"/>
          <w:u w:val="single"/>
          <w:lang w:val="cs-CZ" w:eastAsia="en-GB"/>
        </w:rPr>
        <w:t>protein rezistence karcinomu prsu (</w:t>
      </w:r>
      <w:r w:rsidRPr="007320BE">
        <w:rPr>
          <w:iCs/>
          <w:sz w:val="22"/>
          <w:szCs w:val="22"/>
          <w:u w:val="single"/>
          <w:lang w:val="cs-CZ" w:eastAsia="en-GB"/>
        </w:rPr>
        <w:t>BCRP</w:t>
      </w:r>
      <w:r w:rsidR="00CF737A" w:rsidRPr="007320BE">
        <w:rPr>
          <w:iCs/>
          <w:sz w:val="22"/>
          <w:szCs w:val="22"/>
          <w:u w:val="single"/>
          <w:lang w:val="cs-CZ" w:eastAsia="en-GB"/>
        </w:rPr>
        <w:t>)</w:t>
      </w:r>
      <w:r w:rsidRPr="007320BE">
        <w:rPr>
          <w:iCs/>
          <w:sz w:val="22"/>
          <w:szCs w:val="22"/>
          <w:u w:val="single"/>
          <w:lang w:val="cs-CZ" w:eastAsia="en-GB"/>
        </w:rPr>
        <w:t xml:space="preserve"> a P-glykoprotein</w:t>
      </w:r>
    </w:p>
    <w:p w14:paraId="7D457552" w14:textId="77777777" w:rsidR="007320BE" w:rsidRPr="007320BE" w:rsidRDefault="007320BE" w:rsidP="007320BE">
      <w:pPr>
        <w:pStyle w:val="BayerBodyTextFull"/>
        <w:spacing w:before="0" w:after="0"/>
        <w:rPr>
          <w:sz w:val="22"/>
          <w:lang w:val="cs-CZ" w:eastAsia="en-GB"/>
        </w:rPr>
      </w:pPr>
    </w:p>
    <w:p w14:paraId="7D457553" w14:textId="77777777" w:rsidR="00881069" w:rsidRPr="007320BE" w:rsidRDefault="00881069" w:rsidP="007320BE">
      <w:pPr>
        <w:pStyle w:val="BayerBodyTextFull"/>
        <w:spacing w:before="0" w:after="0"/>
        <w:rPr>
          <w:sz w:val="22"/>
          <w:lang w:val="cs-CZ" w:eastAsia="en-GB"/>
        </w:rPr>
      </w:pPr>
      <w:r w:rsidRPr="007320BE">
        <w:rPr>
          <w:sz w:val="22"/>
          <w:lang w:val="cs-CZ" w:eastAsia="en-GB"/>
        </w:rPr>
        <w:t xml:space="preserve">Podávání </w:t>
      </w:r>
      <w:proofErr w:type="spellStart"/>
      <w:r w:rsidRPr="007320BE">
        <w:rPr>
          <w:sz w:val="22"/>
          <w:lang w:val="cs-CZ" w:eastAsia="en-GB"/>
        </w:rPr>
        <w:t>regorafenibu</w:t>
      </w:r>
      <w:proofErr w:type="spellEnd"/>
      <w:r w:rsidRPr="007320BE">
        <w:rPr>
          <w:sz w:val="22"/>
          <w:lang w:val="cs-CZ" w:eastAsia="en-GB"/>
        </w:rPr>
        <w:t xml:space="preserve"> (160 mg 14 dní) před podáním jednotlivé dávky </w:t>
      </w:r>
      <w:proofErr w:type="spellStart"/>
      <w:r w:rsidRPr="007320BE">
        <w:rPr>
          <w:sz w:val="22"/>
          <w:lang w:val="cs-CZ" w:eastAsia="en-GB"/>
        </w:rPr>
        <w:t>rosuvastatinu</w:t>
      </w:r>
      <w:proofErr w:type="spellEnd"/>
      <w:r w:rsidRPr="007320BE">
        <w:rPr>
          <w:sz w:val="22"/>
          <w:lang w:val="cs-CZ" w:eastAsia="en-GB"/>
        </w:rPr>
        <w:t xml:space="preserve"> (5 mg), BCRP substrátu, mělo za následek 3,8krát zvýšení průměrné expozice (AUC) </w:t>
      </w:r>
      <w:proofErr w:type="spellStart"/>
      <w:r w:rsidRPr="007320BE">
        <w:rPr>
          <w:sz w:val="22"/>
          <w:lang w:val="cs-CZ" w:eastAsia="en-GB"/>
        </w:rPr>
        <w:t>rosuvastatinu</w:t>
      </w:r>
      <w:proofErr w:type="spellEnd"/>
      <w:r w:rsidRPr="007320BE">
        <w:rPr>
          <w:sz w:val="22"/>
          <w:lang w:val="cs-CZ" w:eastAsia="en-GB"/>
        </w:rPr>
        <w:t xml:space="preserve"> a </w:t>
      </w:r>
      <w:r w:rsidR="002D2A89" w:rsidRPr="007320BE">
        <w:rPr>
          <w:sz w:val="22"/>
          <w:lang w:val="cs-CZ" w:eastAsia="en-GB"/>
        </w:rPr>
        <w:t xml:space="preserve">4,6krát zvýšení </w:t>
      </w:r>
      <w:proofErr w:type="spellStart"/>
      <w:r w:rsidR="002D2A89" w:rsidRPr="007320BE">
        <w:rPr>
          <w:sz w:val="22"/>
          <w:lang w:val="cs-CZ" w:eastAsia="en-GB"/>
        </w:rPr>
        <w:t>C</w:t>
      </w:r>
      <w:r w:rsidR="007320BE" w:rsidRPr="00D80B55">
        <w:rPr>
          <w:i/>
          <w:szCs w:val="22"/>
          <w:vertAlign w:val="subscript"/>
          <w:lang w:val="cs-CZ"/>
        </w:rPr>
        <w:t>max</w:t>
      </w:r>
      <w:proofErr w:type="spellEnd"/>
      <w:r w:rsidR="002D2A89" w:rsidRPr="007320BE">
        <w:rPr>
          <w:sz w:val="22"/>
          <w:lang w:val="cs-CZ" w:eastAsia="en-GB"/>
        </w:rPr>
        <w:t>.</w:t>
      </w:r>
      <w:r w:rsidRPr="007320BE">
        <w:rPr>
          <w:sz w:val="22"/>
          <w:lang w:val="cs-CZ" w:eastAsia="en-GB"/>
        </w:rPr>
        <w:t xml:space="preserve"> </w:t>
      </w:r>
    </w:p>
    <w:p w14:paraId="7D457554" w14:textId="77777777" w:rsidR="002D2A89" w:rsidRDefault="002D2A89" w:rsidP="00D707AB">
      <w:pPr>
        <w:spacing w:after="0"/>
        <w:rPr>
          <w:lang w:val="cs-CZ"/>
        </w:rPr>
      </w:pPr>
    </w:p>
    <w:p w14:paraId="7D457555" w14:textId="77777777" w:rsidR="002D2A89" w:rsidRDefault="002D2A89" w:rsidP="00D707AB">
      <w:pPr>
        <w:spacing w:after="0"/>
        <w:rPr>
          <w:lang w:val="cs-CZ"/>
        </w:rPr>
      </w:pPr>
      <w:r>
        <w:rPr>
          <w:lang w:val="cs-CZ"/>
        </w:rPr>
        <w:t xml:space="preserve">To znamená, že současné podávání </w:t>
      </w:r>
      <w:proofErr w:type="spellStart"/>
      <w:r>
        <w:rPr>
          <w:lang w:val="cs-CZ"/>
        </w:rPr>
        <w:t>regorafenibu</w:t>
      </w:r>
      <w:proofErr w:type="spellEnd"/>
      <w:r>
        <w:rPr>
          <w:lang w:val="cs-CZ"/>
        </w:rPr>
        <w:t xml:space="preserve"> může zvýšit plazmatickou koncentraci souběžných BCRP substrátů (např. </w:t>
      </w:r>
      <w:proofErr w:type="spellStart"/>
      <w:r>
        <w:rPr>
          <w:lang w:val="cs-CZ"/>
        </w:rPr>
        <w:t>metotrexát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fluvastatin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atorvastatin</w:t>
      </w:r>
      <w:proofErr w:type="spellEnd"/>
      <w:r>
        <w:rPr>
          <w:lang w:val="cs-CZ"/>
        </w:rPr>
        <w:t>). Proto se doporučuje u pacientů pozorně sledovat známky a příznaky zvýšené expozice BCRP substrátům.</w:t>
      </w:r>
    </w:p>
    <w:p w14:paraId="7D457556" w14:textId="77777777" w:rsidR="002D2A89" w:rsidRDefault="002D2A89" w:rsidP="00D707AB">
      <w:pPr>
        <w:spacing w:after="0"/>
        <w:rPr>
          <w:lang w:val="cs-CZ"/>
        </w:rPr>
      </w:pPr>
    </w:p>
    <w:p w14:paraId="7D457557" w14:textId="77777777" w:rsidR="007320BE" w:rsidRDefault="002D2A89" w:rsidP="007320BE">
      <w:pPr>
        <w:spacing w:after="0"/>
        <w:rPr>
          <w:lang w:val="cs-CZ"/>
        </w:rPr>
      </w:pPr>
      <w:r>
        <w:rPr>
          <w:lang w:val="cs-CZ"/>
        </w:rPr>
        <w:t xml:space="preserve">Klinické údaje ukazují, že </w:t>
      </w:r>
      <w:proofErr w:type="spellStart"/>
      <w:r>
        <w:rPr>
          <w:lang w:val="cs-CZ"/>
        </w:rPr>
        <w:t>regorafenib</w:t>
      </w:r>
      <w:proofErr w:type="spellEnd"/>
      <w:r>
        <w:rPr>
          <w:lang w:val="cs-CZ"/>
        </w:rPr>
        <w:t xml:space="preserve"> nemá vliv na farmakokinetiku digoxinu, proto může být současně podáván se substráty P-glykoproteinu, jako je digoxin, bez klinicky významných lékových interakcí</w:t>
      </w:r>
      <w:r w:rsidR="007320BE">
        <w:rPr>
          <w:lang w:val="cs-CZ"/>
        </w:rPr>
        <w:t>.</w:t>
      </w:r>
    </w:p>
    <w:p w14:paraId="7D457558" w14:textId="77777777" w:rsidR="007320BE" w:rsidRDefault="007320BE" w:rsidP="007320BE">
      <w:pPr>
        <w:spacing w:after="0"/>
        <w:rPr>
          <w:lang w:val="cs-CZ"/>
        </w:rPr>
      </w:pPr>
    </w:p>
    <w:p w14:paraId="7D457559" w14:textId="77777777" w:rsidR="003667A4" w:rsidRPr="007320BE" w:rsidRDefault="001267E9" w:rsidP="007320BE">
      <w:pPr>
        <w:spacing w:after="0"/>
        <w:rPr>
          <w:iCs/>
          <w:lang w:val="cs-CZ"/>
        </w:rPr>
      </w:pPr>
      <w:r w:rsidRPr="007320BE">
        <w:rPr>
          <w:iCs/>
          <w:szCs w:val="22"/>
          <w:u w:val="single"/>
          <w:lang w:val="cs-CZ"/>
        </w:rPr>
        <w:t xml:space="preserve">Inhibitory </w:t>
      </w:r>
      <w:r w:rsidR="003667A4" w:rsidRPr="007320BE">
        <w:rPr>
          <w:iCs/>
          <w:szCs w:val="22"/>
          <w:u w:val="single"/>
          <w:lang w:val="cs-CZ"/>
        </w:rPr>
        <w:t>P</w:t>
      </w:r>
      <w:r w:rsidR="00B34C1B" w:rsidRPr="007320BE">
        <w:rPr>
          <w:iCs/>
          <w:szCs w:val="22"/>
          <w:u w:val="single"/>
          <w:lang w:val="cs-CZ"/>
        </w:rPr>
        <w:noBreakHyphen/>
      </w:r>
      <w:r w:rsidR="003667A4" w:rsidRPr="007320BE">
        <w:rPr>
          <w:iCs/>
          <w:szCs w:val="22"/>
          <w:u w:val="single"/>
          <w:lang w:val="cs-CZ"/>
        </w:rPr>
        <w:t>gly</w:t>
      </w:r>
      <w:r w:rsidRPr="007320BE">
        <w:rPr>
          <w:iCs/>
          <w:szCs w:val="22"/>
          <w:u w:val="single"/>
          <w:lang w:val="cs-CZ"/>
        </w:rPr>
        <w:t>k</w:t>
      </w:r>
      <w:r w:rsidR="003667A4" w:rsidRPr="007320BE">
        <w:rPr>
          <w:iCs/>
          <w:szCs w:val="22"/>
          <w:u w:val="single"/>
          <w:lang w:val="cs-CZ"/>
        </w:rPr>
        <w:t>oprotein</w:t>
      </w:r>
      <w:r w:rsidRPr="007320BE">
        <w:rPr>
          <w:iCs/>
          <w:szCs w:val="22"/>
          <w:u w:val="single"/>
          <w:lang w:val="cs-CZ"/>
        </w:rPr>
        <w:t xml:space="preserve">u a </w:t>
      </w:r>
      <w:r w:rsidR="003667A4" w:rsidRPr="007320BE">
        <w:rPr>
          <w:iCs/>
          <w:szCs w:val="22"/>
          <w:u w:val="single"/>
          <w:lang w:val="cs-CZ"/>
        </w:rPr>
        <w:t>BCRP/</w:t>
      </w:r>
      <w:r w:rsidRPr="007320BE">
        <w:rPr>
          <w:iCs/>
          <w:szCs w:val="22"/>
          <w:u w:val="single"/>
          <w:lang w:val="cs-CZ"/>
        </w:rPr>
        <w:t xml:space="preserve">induktory </w:t>
      </w:r>
      <w:r w:rsidR="003667A4" w:rsidRPr="007320BE">
        <w:rPr>
          <w:iCs/>
          <w:szCs w:val="22"/>
          <w:u w:val="single"/>
          <w:lang w:val="cs-CZ"/>
        </w:rPr>
        <w:t>P</w:t>
      </w:r>
      <w:r w:rsidR="00B34C1B" w:rsidRPr="007320BE">
        <w:rPr>
          <w:iCs/>
          <w:szCs w:val="22"/>
          <w:u w:val="single"/>
          <w:lang w:val="cs-CZ"/>
        </w:rPr>
        <w:noBreakHyphen/>
      </w:r>
      <w:r w:rsidR="003667A4" w:rsidRPr="007320BE">
        <w:rPr>
          <w:iCs/>
          <w:szCs w:val="22"/>
          <w:u w:val="single"/>
          <w:lang w:val="cs-CZ"/>
        </w:rPr>
        <w:t>gly</w:t>
      </w:r>
      <w:r w:rsidRPr="007320BE">
        <w:rPr>
          <w:iCs/>
          <w:szCs w:val="22"/>
          <w:u w:val="single"/>
          <w:lang w:val="cs-CZ"/>
        </w:rPr>
        <w:t>k</w:t>
      </w:r>
      <w:r w:rsidR="003667A4" w:rsidRPr="007320BE">
        <w:rPr>
          <w:iCs/>
          <w:szCs w:val="22"/>
          <w:u w:val="single"/>
          <w:lang w:val="cs-CZ"/>
        </w:rPr>
        <w:t>oprotein</w:t>
      </w:r>
      <w:r w:rsidRPr="007320BE">
        <w:rPr>
          <w:iCs/>
          <w:szCs w:val="22"/>
          <w:u w:val="single"/>
          <w:lang w:val="cs-CZ"/>
        </w:rPr>
        <w:t>u</w:t>
      </w:r>
      <w:r w:rsidR="003667A4" w:rsidRPr="007320BE">
        <w:rPr>
          <w:iCs/>
          <w:szCs w:val="22"/>
          <w:u w:val="single"/>
          <w:lang w:val="cs-CZ"/>
        </w:rPr>
        <w:t xml:space="preserve"> a BCRP</w:t>
      </w:r>
    </w:p>
    <w:p w14:paraId="7D45755A" w14:textId="77777777" w:rsidR="007320BE" w:rsidRDefault="00442974" w:rsidP="007320BE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i/>
          <w:iCs/>
          <w:sz w:val="22"/>
          <w:szCs w:val="22"/>
          <w:lang w:val="cs-CZ"/>
        </w:rPr>
        <w:t>In </w:t>
      </w:r>
      <w:r w:rsidR="003667A4" w:rsidRPr="003D520D">
        <w:rPr>
          <w:i/>
          <w:iCs/>
          <w:sz w:val="22"/>
          <w:szCs w:val="22"/>
          <w:lang w:val="cs-CZ"/>
        </w:rPr>
        <w:t>vitro</w:t>
      </w:r>
      <w:r w:rsidR="003667A4" w:rsidRPr="003D520D">
        <w:rPr>
          <w:sz w:val="22"/>
          <w:szCs w:val="22"/>
          <w:lang w:val="cs-CZ"/>
        </w:rPr>
        <w:t xml:space="preserve"> </w:t>
      </w:r>
      <w:r w:rsidR="001267E9" w:rsidRPr="003D520D">
        <w:rPr>
          <w:sz w:val="22"/>
          <w:szCs w:val="22"/>
          <w:lang w:val="cs-CZ"/>
        </w:rPr>
        <w:t>studie ukazují, že</w:t>
      </w:r>
      <w:r w:rsidR="00904AB3" w:rsidRPr="003D520D">
        <w:rPr>
          <w:sz w:val="22"/>
          <w:szCs w:val="22"/>
          <w:lang w:val="cs-CZ"/>
        </w:rPr>
        <w:t xml:space="preserve"> aktivní metabolity</w:t>
      </w:r>
      <w:r w:rsidR="003667A4" w:rsidRPr="003D520D">
        <w:rPr>
          <w:sz w:val="22"/>
          <w:szCs w:val="22"/>
          <w:lang w:val="cs-CZ"/>
        </w:rPr>
        <w:t xml:space="preserve"> M</w:t>
      </w:r>
      <w:r w:rsidR="00B34C1B" w:rsidRPr="003D520D">
        <w:rPr>
          <w:sz w:val="22"/>
          <w:szCs w:val="22"/>
          <w:lang w:val="cs-CZ"/>
        </w:rPr>
        <w:noBreakHyphen/>
      </w:r>
      <w:r w:rsidR="003667A4" w:rsidRPr="003D520D">
        <w:rPr>
          <w:sz w:val="22"/>
          <w:szCs w:val="22"/>
          <w:lang w:val="cs-CZ"/>
        </w:rPr>
        <w:t>2 a M</w:t>
      </w:r>
      <w:r w:rsidR="00B34C1B" w:rsidRPr="003D520D">
        <w:rPr>
          <w:sz w:val="22"/>
          <w:szCs w:val="22"/>
          <w:lang w:val="cs-CZ"/>
        </w:rPr>
        <w:noBreakHyphen/>
      </w:r>
      <w:r w:rsidR="003667A4" w:rsidRPr="003D520D">
        <w:rPr>
          <w:sz w:val="22"/>
          <w:szCs w:val="22"/>
          <w:lang w:val="cs-CZ"/>
        </w:rPr>
        <w:t xml:space="preserve">5 </w:t>
      </w:r>
      <w:r w:rsidR="001267E9" w:rsidRPr="003D520D">
        <w:rPr>
          <w:sz w:val="22"/>
          <w:szCs w:val="22"/>
          <w:lang w:val="cs-CZ"/>
        </w:rPr>
        <w:t xml:space="preserve">jsou substráty </w:t>
      </w:r>
      <w:r w:rsidR="003667A4" w:rsidRPr="003D520D">
        <w:rPr>
          <w:sz w:val="22"/>
          <w:szCs w:val="22"/>
          <w:lang w:val="cs-CZ"/>
        </w:rPr>
        <w:t>P</w:t>
      </w:r>
      <w:r w:rsidR="00B34C1B" w:rsidRPr="003D520D">
        <w:rPr>
          <w:sz w:val="22"/>
          <w:szCs w:val="22"/>
          <w:lang w:val="cs-CZ"/>
        </w:rPr>
        <w:noBreakHyphen/>
      </w:r>
      <w:r w:rsidR="003667A4" w:rsidRPr="003D520D">
        <w:rPr>
          <w:sz w:val="22"/>
          <w:szCs w:val="22"/>
          <w:lang w:val="cs-CZ"/>
        </w:rPr>
        <w:t>gly</w:t>
      </w:r>
      <w:r w:rsidR="001267E9" w:rsidRPr="003D520D">
        <w:rPr>
          <w:sz w:val="22"/>
          <w:szCs w:val="22"/>
          <w:lang w:val="cs-CZ"/>
        </w:rPr>
        <w:t>k</w:t>
      </w:r>
      <w:r w:rsidR="003667A4" w:rsidRPr="003D520D">
        <w:rPr>
          <w:sz w:val="22"/>
          <w:szCs w:val="22"/>
          <w:lang w:val="cs-CZ"/>
        </w:rPr>
        <w:t>oprotein</w:t>
      </w:r>
      <w:r w:rsidR="001267E9" w:rsidRPr="003D520D">
        <w:rPr>
          <w:sz w:val="22"/>
          <w:szCs w:val="22"/>
          <w:lang w:val="cs-CZ"/>
        </w:rPr>
        <w:t xml:space="preserve">u a </w:t>
      </w:r>
      <w:r w:rsidR="003667A4" w:rsidRPr="003D520D">
        <w:rPr>
          <w:sz w:val="22"/>
          <w:szCs w:val="22"/>
          <w:lang w:val="cs-CZ"/>
        </w:rPr>
        <w:t>BCRP. Inhibitor</w:t>
      </w:r>
      <w:r w:rsidR="001267E9" w:rsidRPr="003D520D">
        <w:rPr>
          <w:sz w:val="22"/>
          <w:szCs w:val="22"/>
          <w:lang w:val="cs-CZ"/>
        </w:rPr>
        <w:t>y</w:t>
      </w:r>
      <w:r w:rsidR="003667A4" w:rsidRPr="003D520D">
        <w:rPr>
          <w:sz w:val="22"/>
          <w:szCs w:val="22"/>
          <w:lang w:val="cs-CZ"/>
        </w:rPr>
        <w:t xml:space="preserve"> a indu</w:t>
      </w:r>
      <w:r w:rsidR="001267E9" w:rsidRPr="003D520D">
        <w:rPr>
          <w:sz w:val="22"/>
          <w:szCs w:val="22"/>
          <w:lang w:val="cs-CZ"/>
        </w:rPr>
        <w:t>ktory</w:t>
      </w:r>
      <w:r w:rsidR="003667A4" w:rsidRPr="003D520D">
        <w:rPr>
          <w:sz w:val="22"/>
          <w:szCs w:val="22"/>
          <w:lang w:val="cs-CZ"/>
        </w:rPr>
        <w:t xml:space="preserve"> BCRP a P</w:t>
      </w:r>
      <w:r w:rsidR="00B34C1B" w:rsidRPr="003D520D">
        <w:rPr>
          <w:sz w:val="22"/>
          <w:szCs w:val="22"/>
          <w:lang w:val="cs-CZ"/>
        </w:rPr>
        <w:noBreakHyphen/>
      </w:r>
      <w:r w:rsidR="003667A4" w:rsidRPr="003D520D">
        <w:rPr>
          <w:sz w:val="22"/>
          <w:szCs w:val="22"/>
          <w:lang w:val="cs-CZ"/>
        </w:rPr>
        <w:t>gly</w:t>
      </w:r>
      <w:r w:rsidR="001267E9" w:rsidRPr="003D520D">
        <w:rPr>
          <w:sz w:val="22"/>
          <w:szCs w:val="22"/>
          <w:lang w:val="cs-CZ"/>
        </w:rPr>
        <w:t>k</w:t>
      </w:r>
      <w:r w:rsidR="003667A4" w:rsidRPr="003D520D">
        <w:rPr>
          <w:sz w:val="22"/>
          <w:szCs w:val="22"/>
          <w:lang w:val="cs-CZ"/>
        </w:rPr>
        <w:t>oprotein</w:t>
      </w:r>
      <w:r w:rsidR="001267E9" w:rsidRPr="003D520D">
        <w:rPr>
          <w:sz w:val="22"/>
          <w:szCs w:val="22"/>
          <w:lang w:val="cs-CZ"/>
        </w:rPr>
        <w:t xml:space="preserve">u mohou ovlivňovat expozici </w:t>
      </w:r>
      <w:r w:rsidR="003667A4" w:rsidRPr="003D520D">
        <w:rPr>
          <w:sz w:val="22"/>
          <w:szCs w:val="22"/>
          <w:lang w:val="cs-CZ"/>
        </w:rPr>
        <w:t>M</w:t>
      </w:r>
      <w:r w:rsidR="00B34C1B" w:rsidRPr="003D520D">
        <w:rPr>
          <w:sz w:val="22"/>
          <w:szCs w:val="22"/>
          <w:lang w:val="cs-CZ"/>
        </w:rPr>
        <w:noBreakHyphen/>
      </w:r>
      <w:r w:rsidR="003667A4" w:rsidRPr="003D520D">
        <w:rPr>
          <w:sz w:val="22"/>
          <w:szCs w:val="22"/>
          <w:lang w:val="cs-CZ"/>
        </w:rPr>
        <w:t>2 a M</w:t>
      </w:r>
      <w:r w:rsidR="00B34C1B" w:rsidRPr="003D520D">
        <w:rPr>
          <w:sz w:val="22"/>
          <w:szCs w:val="22"/>
          <w:lang w:val="cs-CZ"/>
        </w:rPr>
        <w:noBreakHyphen/>
      </w:r>
      <w:r w:rsidR="003667A4" w:rsidRPr="003D520D">
        <w:rPr>
          <w:sz w:val="22"/>
          <w:szCs w:val="22"/>
          <w:lang w:val="cs-CZ"/>
        </w:rPr>
        <w:t xml:space="preserve">5. </w:t>
      </w:r>
      <w:r w:rsidR="001267E9" w:rsidRPr="003D520D">
        <w:rPr>
          <w:sz w:val="22"/>
          <w:szCs w:val="22"/>
          <w:lang w:val="cs-CZ"/>
        </w:rPr>
        <w:t>Klinický význam těchto zjištění není znám</w:t>
      </w:r>
      <w:r w:rsidR="00F91537">
        <w:rPr>
          <w:sz w:val="22"/>
          <w:szCs w:val="22"/>
          <w:lang w:val="cs-CZ"/>
        </w:rPr>
        <w:t xml:space="preserve"> (viz také bod 5.2)</w:t>
      </w:r>
      <w:r w:rsidR="003667A4" w:rsidRPr="003D520D">
        <w:rPr>
          <w:sz w:val="22"/>
          <w:szCs w:val="22"/>
          <w:lang w:val="cs-CZ"/>
        </w:rPr>
        <w:t>.</w:t>
      </w:r>
    </w:p>
    <w:p w14:paraId="7D45755B" w14:textId="77777777" w:rsidR="007320BE" w:rsidRDefault="007320BE" w:rsidP="007320BE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55C" w14:textId="77777777" w:rsidR="00356F6E" w:rsidRPr="007320BE" w:rsidRDefault="00356F6E" w:rsidP="007320BE">
      <w:pPr>
        <w:pStyle w:val="BayerBodyTextFull"/>
        <w:spacing w:before="0" w:after="0"/>
        <w:rPr>
          <w:iCs/>
          <w:sz w:val="22"/>
          <w:szCs w:val="22"/>
          <w:u w:val="single"/>
          <w:lang w:val="cs-CZ" w:eastAsia="en-GB"/>
        </w:rPr>
      </w:pPr>
      <w:r w:rsidRPr="007320BE">
        <w:rPr>
          <w:iCs/>
          <w:sz w:val="22"/>
          <w:szCs w:val="22"/>
          <w:u w:val="single"/>
          <w:lang w:val="cs-CZ" w:eastAsia="en-GB"/>
        </w:rPr>
        <w:t xml:space="preserve">Selektivní substráty pro </w:t>
      </w:r>
      <w:proofErr w:type="spellStart"/>
      <w:r w:rsidRPr="007320BE">
        <w:rPr>
          <w:iCs/>
          <w:sz w:val="22"/>
          <w:szCs w:val="22"/>
          <w:u w:val="single"/>
          <w:lang w:val="cs-CZ" w:eastAsia="en-GB"/>
        </w:rPr>
        <w:t>isoformy</w:t>
      </w:r>
      <w:proofErr w:type="spellEnd"/>
      <w:r w:rsidRPr="007320BE">
        <w:rPr>
          <w:iCs/>
          <w:sz w:val="22"/>
          <w:szCs w:val="22"/>
          <w:u w:val="single"/>
          <w:lang w:val="cs-CZ" w:eastAsia="en-GB"/>
        </w:rPr>
        <w:t xml:space="preserve"> CYP </w:t>
      </w:r>
      <w:bookmarkEnd w:id="0"/>
    </w:p>
    <w:p w14:paraId="7D45755D" w14:textId="77777777" w:rsidR="00356F6E" w:rsidRPr="003D520D" w:rsidRDefault="00356F6E" w:rsidP="00D707AB">
      <w:pPr>
        <w:pStyle w:val="GlobalBayerBodyText"/>
        <w:spacing w:before="0" w:after="0"/>
        <w:rPr>
          <w:szCs w:val="22"/>
          <w:lang w:val="cs-CZ" w:eastAsia="en-US"/>
        </w:rPr>
      </w:pPr>
      <w:r w:rsidRPr="003D520D">
        <w:rPr>
          <w:i/>
          <w:iCs/>
          <w:szCs w:val="22"/>
          <w:lang w:val="cs-CZ"/>
        </w:rPr>
        <w:lastRenderedPageBreak/>
        <w:t>In vitro</w:t>
      </w:r>
      <w:r w:rsidRPr="003D520D">
        <w:rPr>
          <w:szCs w:val="22"/>
          <w:lang w:val="cs-CZ"/>
        </w:rPr>
        <w:t xml:space="preserve"> údaje ukazují, že </w:t>
      </w:r>
      <w:proofErr w:type="spellStart"/>
      <w:r w:rsidRPr="003D520D">
        <w:rPr>
          <w:szCs w:val="22"/>
          <w:lang w:val="cs-CZ"/>
        </w:rPr>
        <w:t>regorafenib</w:t>
      </w:r>
      <w:proofErr w:type="spellEnd"/>
      <w:r w:rsidRPr="003D520D">
        <w:rPr>
          <w:szCs w:val="22"/>
          <w:lang w:val="cs-CZ"/>
        </w:rPr>
        <w:t xml:space="preserve"> je kompetitivní inhibitor cytochromů CYP2C8 (</w:t>
      </w:r>
      <w:proofErr w:type="spellStart"/>
      <w:r w:rsidRPr="003D520D">
        <w:rPr>
          <w:szCs w:val="22"/>
          <w:lang w:val="cs-CZ"/>
        </w:rPr>
        <w:t>K</w:t>
      </w:r>
      <w:r w:rsidRPr="003D520D">
        <w:rPr>
          <w:szCs w:val="22"/>
          <w:vertAlign w:val="subscript"/>
          <w:lang w:val="cs-CZ"/>
        </w:rPr>
        <w:t>i</w:t>
      </w:r>
      <w:proofErr w:type="spellEnd"/>
      <w:r w:rsidRPr="003D520D">
        <w:rPr>
          <w:szCs w:val="22"/>
          <w:lang w:val="cs-CZ"/>
        </w:rPr>
        <w:t xml:space="preserve"> hodnota 0,6</w:t>
      </w:r>
      <w:r w:rsidR="0056657D" w:rsidRPr="003D520D">
        <w:rPr>
          <w:szCs w:val="22"/>
          <w:lang w:val="cs-CZ"/>
        </w:rPr>
        <w:t> </w:t>
      </w:r>
      <w:proofErr w:type="spellStart"/>
      <w:r w:rsidRPr="003D520D">
        <w:rPr>
          <w:szCs w:val="22"/>
          <w:lang w:val="cs-CZ"/>
        </w:rPr>
        <w:t>μ</w:t>
      </w:r>
      <w:r w:rsidR="000346AD" w:rsidRPr="003D520D">
        <w:rPr>
          <w:szCs w:val="22"/>
          <w:lang w:val="cs-CZ"/>
        </w:rPr>
        <w:t>mol</w:t>
      </w:r>
      <w:proofErr w:type="spellEnd"/>
      <w:r w:rsidR="000346AD" w:rsidRPr="003D520D">
        <w:rPr>
          <w:szCs w:val="22"/>
          <w:lang w:val="cs-CZ"/>
        </w:rPr>
        <w:t>/l</w:t>
      </w:r>
      <w:r w:rsidRPr="003D520D">
        <w:rPr>
          <w:szCs w:val="22"/>
          <w:lang w:val="cs-CZ"/>
        </w:rPr>
        <w:t>), CYP2C9 (</w:t>
      </w:r>
      <w:proofErr w:type="spellStart"/>
      <w:r w:rsidRPr="003D520D">
        <w:rPr>
          <w:szCs w:val="22"/>
          <w:lang w:val="cs-CZ"/>
        </w:rPr>
        <w:t>K</w:t>
      </w:r>
      <w:r w:rsidRPr="003D520D">
        <w:rPr>
          <w:szCs w:val="22"/>
          <w:vertAlign w:val="subscript"/>
          <w:lang w:val="cs-CZ"/>
        </w:rPr>
        <w:t>i</w:t>
      </w:r>
      <w:proofErr w:type="spellEnd"/>
      <w:r w:rsidRPr="003D520D">
        <w:rPr>
          <w:szCs w:val="22"/>
          <w:lang w:val="cs-CZ"/>
        </w:rPr>
        <w:t xml:space="preserve"> hodnota 4,7</w:t>
      </w:r>
      <w:r w:rsidR="0056657D" w:rsidRPr="003D520D">
        <w:rPr>
          <w:szCs w:val="22"/>
          <w:lang w:val="cs-CZ"/>
        </w:rPr>
        <w:t> </w:t>
      </w:r>
      <w:proofErr w:type="spellStart"/>
      <w:r w:rsidRPr="003D520D">
        <w:rPr>
          <w:szCs w:val="22"/>
          <w:lang w:val="cs-CZ"/>
        </w:rPr>
        <w:t>μ</w:t>
      </w:r>
      <w:r w:rsidR="000346AD" w:rsidRPr="003D520D">
        <w:rPr>
          <w:szCs w:val="22"/>
          <w:lang w:val="cs-CZ"/>
        </w:rPr>
        <w:t>mol</w:t>
      </w:r>
      <w:proofErr w:type="spellEnd"/>
      <w:r w:rsidR="000346AD" w:rsidRPr="003D520D">
        <w:rPr>
          <w:szCs w:val="22"/>
          <w:lang w:val="cs-CZ"/>
        </w:rPr>
        <w:t>/l</w:t>
      </w:r>
      <w:r w:rsidRPr="003D520D">
        <w:rPr>
          <w:szCs w:val="22"/>
          <w:lang w:val="cs-CZ"/>
        </w:rPr>
        <w:t>), CYP2B6 (</w:t>
      </w:r>
      <w:proofErr w:type="spellStart"/>
      <w:r w:rsidRPr="003D520D">
        <w:rPr>
          <w:szCs w:val="22"/>
          <w:lang w:val="cs-CZ"/>
        </w:rPr>
        <w:t>K</w:t>
      </w:r>
      <w:r w:rsidRPr="003D520D">
        <w:rPr>
          <w:szCs w:val="22"/>
          <w:vertAlign w:val="subscript"/>
          <w:lang w:val="cs-CZ"/>
        </w:rPr>
        <w:t>i</w:t>
      </w:r>
      <w:proofErr w:type="spellEnd"/>
      <w:r w:rsidRPr="003D520D">
        <w:rPr>
          <w:szCs w:val="22"/>
          <w:lang w:val="cs-CZ"/>
        </w:rPr>
        <w:t xml:space="preserve"> hodnota 5,2</w:t>
      </w:r>
      <w:r w:rsidR="0056657D" w:rsidRPr="003D520D">
        <w:rPr>
          <w:szCs w:val="22"/>
          <w:lang w:val="cs-CZ"/>
        </w:rPr>
        <w:t> </w:t>
      </w:r>
      <w:proofErr w:type="spellStart"/>
      <w:r w:rsidRPr="003D520D">
        <w:rPr>
          <w:szCs w:val="22"/>
          <w:lang w:val="cs-CZ"/>
        </w:rPr>
        <w:t>μ</w:t>
      </w:r>
      <w:r w:rsidR="000346AD" w:rsidRPr="003D520D">
        <w:rPr>
          <w:szCs w:val="22"/>
          <w:lang w:val="cs-CZ"/>
        </w:rPr>
        <w:t>mol</w:t>
      </w:r>
      <w:proofErr w:type="spellEnd"/>
      <w:r w:rsidR="000346AD" w:rsidRPr="003D520D">
        <w:rPr>
          <w:szCs w:val="22"/>
          <w:lang w:val="cs-CZ"/>
        </w:rPr>
        <w:t>/l</w:t>
      </w:r>
      <w:r w:rsidRPr="003D520D">
        <w:rPr>
          <w:szCs w:val="22"/>
          <w:lang w:val="cs-CZ"/>
        </w:rPr>
        <w:t xml:space="preserve">) při koncentracích, které jsou dosaženy </w:t>
      </w:r>
      <w:r w:rsidRPr="003D520D">
        <w:rPr>
          <w:i/>
          <w:iCs/>
          <w:szCs w:val="22"/>
          <w:lang w:val="cs-CZ"/>
        </w:rPr>
        <w:t xml:space="preserve">in </w:t>
      </w:r>
      <w:proofErr w:type="spellStart"/>
      <w:r w:rsidRPr="003D520D">
        <w:rPr>
          <w:i/>
          <w:iCs/>
          <w:szCs w:val="22"/>
          <w:lang w:val="cs-CZ"/>
        </w:rPr>
        <w:t>vivo</w:t>
      </w:r>
      <w:proofErr w:type="spellEnd"/>
      <w:r w:rsidRPr="003D520D">
        <w:rPr>
          <w:szCs w:val="22"/>
          <w:lang w:val="cs-CZ"/>
        </w:rPr>
        <w:t xml:space="preserve"> v ustáleném stavu (maximální </w:t>
      </w:r>
      <w:proofErr w:type="gramStart"/>
      <w:r w:rsidRPr="003D520D">
        <w:rPr>
          <w:szCs w:val="22"/>
          <w:lang w:val="cs-CZ"/>
        </w:rPr>
        <w:t>plasmatická</w:t>
      </w:r>
      <w:proofErr w:type="gramEnd"/>
      <w:r w:rsidRPr="003D520D">
        <w:rPr>
          <w:szCs w:val="22"/>
          <w:lang w:val="cs-CZ"/>
        </w:rPr>
        <w:t xml:space="preserve"> koncentrace 8,1</w:t>
      </w:r>
      <w:r w:rsidR="0056657D" w:rsidRPr="003D520D">
        <w:rPr>
          <w:szCs w:val="22"/>
          <w:lang w:val="cs-CZ"/>
        </w:rPr>
        <w:t> </w:t>
      </w:r>
      <w:proofErr w:type="spellStart"/>
      <w:r w:rsidRPr="003D520D">
        <w:rPr>
          <w:szCs w:val="22"/>
          <w:lang w:val="cs-CZ"/>
        </w:rPr>
        <w:t>μ</w:t>
      </w:r>
      <w:r w:rsidR="008357C5" w:rsidRPr="003D520D">
        <w:rPr>
          <w:szCs w:val="22"/>
          <w:lang w:val="cs-CZ"/>
        </w:rPr>
        <w:t>mol</w:t>
      </w:r>
      <w:proofErr w:type="spellEnd"/>
      <w:r w:rsidR="008357C5" w:rsidRPr="003D520D">
        <w:rPr>
          <w:szCs w:val="22"/>
          <w:lang w:val="cs-CZ"/>
        </w:rPr>
        <w:t>/l</w:t>
      </w:r>
      <w:r w:rsidRPr="003D520D">
        <w:rPr>
          <w:szCs w:val="22"/>
          <w:lang w:val="cs-CZ"/>
        </w:rPr>
        <w:t xml:space="preserve">). </w:t>
      </w:r>
      <w:r w:rsidRPr="003D520D">
        <w:rPr>
          <w:i/>
          <w:iCs/>
          <w:szCs w:val="22"/>
          <w:lang w:val="cs-CZ"/>
        </w:rPr>
        <w:t xml:space="preserve">In vitro </w:t>
      </w:r>
      <w:r w:rsidRPr="003D520D">
        <w:rPr>
          <w:szCs w:val="22"/>
          <w:lang w:val="cs-CZ"/>
        </w:rPr>
        <w:t>inhibiční potenciál vůči CYP3A4 (</w:t>
      </w:r>
      <w:proofErr w:type="spellStart"/>
      <w:r w:rsidRPr="003D520D">
        <w:rPr>
          <w:szCs w:val="22"/>
          <w:lang w:val="cs-CZ"/>
        </w:rPr>
        <w:t>K</w:t>
      </w:r>
      <w:r w:rsidRPr="003D520D">
        <w:rPr>
          <w:szCs w:val="22"/>
          <w:vertAlign w:val="subscript"/>
          <w:lang w:val="cs-CZ"/>
        </w:rPr>
        <w:t>i</w:t>
      </w:r>
      <w:proofErr w:type="spellEnd"/>
      <w:r w:rsidR="002D390A" w:rsidRPr="003D520D">
        <w:rPr>
          <w:szCs w:val="22"/>
          <w:vertAlign w:val="subscript"/>
          <w:lang w:val="cs-CZ"/>
        </w:rPr>
        <w:t xml:space="preserve"> </w:t>
      </w:r>
      <w:r w:rsidRPr="003D520D">
        <w:rPr>
          <w:szCs w:val="22"/>
          <w:lang w:val="cs-CZ"/>
        </w:rPr>
        <w:t>hodnota 11,1</w:t>
      </w:r>
      <w:r w:rsidR="0056657D" w:rsidRPr="003D520D">
        <w:rPr>
          <w:szCs w:val="22"/>
          <w:lang w:val="cs-CZ"/>
        </w:rPr>
        <w:t> </w:t>
      </w:r>
      <w:proofErr w:type="spellStart"/>
      <w:r w:rsidRPr="003D520D">
        <w:rPr>
          <w:szCs w:val="22"/>
          <w:lang w:val="cs-CZ"/>
        </w:rPr>
        <w:t>μ</w:t>
      </w:r>
      <w:r w:rsidR="008357C5" w:rsidRPr="003D520D">
        <w:rPr>
          <w:szCs w:val="22"/>
          <w:lang w:val="cs-CZ"/>
        </w:rPr>
        <w:t>mol</w:t>
      </w:r>
      <w:proofErr w:type="spellEnd"/>
      <w:r w:rsidR="008357C5" w:rsidRPr="003D520D">
        <w:rPr>
          <w:szCs w:val="22"/>
          <w:lang w:val="cs-CZ"/>
        </w:rPr>
        <w:t>/l</w:t>
      </w:r>
      <w:r w:rsidRPr="003D520D">
        <w:rPr>
          <w:szCs w:val="22"/>
          <w:lang w:val="cs-CZ"/>
        </w:rPr>
        <w:t>) a CYP2C19 (</w:t>
      </w:r>
      <w:proofErr w:type="spellStart"/>
      <w:r w:rsidRPr="003D520D">
        <w:rPr>
          <w:szCs w:val="22"/>
          <w:lang w:val="cs-CZ"/>
        </w:rPr>
        <w:t>K</w:t>
      </w:r>
      <w:r w:rsidRPr="003D520D">
        <w:rPr>
          <w:szCs w:val="22"/>
          <w:vertAlign w:val="subscript"/>
          <w:lang w:val="cs-CZ"/>
        </w:rPr>
        <w:t>i</w:t>
      </w:r>
      <w:proofErr w:type="spellEnd"/>
      <w:r w:rsidRPr="003D520D">
        <w:rPr>
          <w:szCs w:val="22"/>
          <w:lang w:val="cs-CZ"/>
        </w:rPr>
        <w:t xml:space="preserve"> hodnota 16,4</w:t>
      </w:r>
      <w:r w:rsidR="0056657D" w:rsidRPr="003D520D">
        <w:rPr>
          <w:szCs w:val="22"/>
          <w:lang w:val="cs-CZ"/>
        </w:rPr>
        <w:t> </w:t>
      </w:r>
      <w:proofErr w:type="spellStart"/>
      <w:r w:rsidRPr="003D520D">
        <w:rPr>
          <w:szCs w:val="22"/>
          <w:lang w:val="cs-CZ"/>
        </w:rPr>
        <w:t>μ</w:t>
      </w:r>
      <w:r w:rsidR="008357C5" w:rsidRPr="003D520D">
        <w:rPr>
          <w:szCs w:val="22"/>
          <w:lang w:val="cs-CZ"/>
        </w:rPr>
        <w:t>mol</w:t>
      </w:r>
      <w:proofErr w:type="spellEnd"/>
      <w:r w:rsidR="008357C5" w:rsidRPr="003D520D">
        <w:rPr>
          <w:szCs w:val="22"/>
          <w:lang w:val="cs-CZ"/>
        </w:rPr>
        <w:t>/l</w:t>
      </w:r>
      <w:r w:rsidRPr="003D520D">
        <w:rPr>
          <w:szCs w:val="22"/>
          <w:lang w:val="cs-CZ"/>
        </w:rPr>
        <w:t>) by</w:t>
      </w:r>
      <w:r w:rsidR="002D390A" w:rsidRPr="003D520D">
        <w:rPr>
          <w:szCs w:val="22"/>
          <w:lang w:val="cs-CZ"/>
        </w:rPr>
        <w:t>l</w:t>
      </w:r>
      <w:r w:rsidRPr="003D520D">
        <w:rPr>
          <w:szCs w:val="22"/>
          <w:lang w:val="cs-CZ"/>
        </w:rPr>
        <w:t xml:space="preserve"> méně výrazný. </w:t>
      </w:r>
    </w:p>
    <w:p w14:paraId="7D45755E" w14:textId="77777777" w:rsidR="00356F6E" w:rsidRPr="003D520D" w:rsidRDefault="00356F6E" w:rsidP="00D707AB">
      <w:pPr>
        <w:pStyle w:val="GlobalBayerBodyText"/>
        <w:spacing w:before="0" w:after="0"/>
        <w:rPr>
          <w:szCs w:val="22"/>
          <w:lang w:val="cs-CZ" w:eastAsia="en-US"/>
        </w:rPr>
      </w:pPr>
    </w:p>
    <w:p w14:paraId="7D45755F" w14:textId="77777777" w:rsidR="00FD097F" w:rsidRPr="003D520D" w:rsidRDefault="008357C5" w:rsidP="00D707AB">
      <w:pPr>
        <w:pStyle w:val="GlobalBayerBodyText"/>
        <w:spacing w:before="0" w:after="0"/>
        <w:rPr>
          <w:szCs w:val="22"/>
          <w:lang w:val="cs-CZ" w:eastAsia="en-US"/>
        </w:rPr>
      </w:pPr>
      <w:r w:rsidRPr="003D520D">
        <w:rPr>
          <w:szCs w:val="22"/>
          <w:lang w:val="cs-CZ"/>
        </w:rPr>
        <w:t>Byla provedena studie</w:t>
      </w:r>
      <w:r w:rsidR="00356F6E" w:rsidRPr="003D520D">
        <w:rPr>
          <w:szCs w:val="22"/>
          <w:lang w:val="cs-CZ"/>
        </w:rPr>
        <w:t xml:space="preserve"> hodnotící účinek 14denního podávání dávky 160</w:t>
      </w:r>
      <w:r w:rsidR="0056657D" w:rsidRPr="003D520D">
        <w:rPr>
          <w:szCs w:val="22"/>
          <w:lang w:val="cs-CZ"/>
        </w:rPr>
        <w:t> </w:t>
      </w:r>
      <w:r w:rsidR="00356F6E" w:rsidRPr="003D520D">
        <w:rPr>
          <w:szCs w:val="22"/>
          <w:lang w:val="cs-CZ"/>
        </w:rPr>
        <w:t xml:space="preserve">mg </w:t>
      </w:r>
      <w:proofErr w:type="spellStart"/>
      <w:r w:rsidR="00356F6E" w:rsidRPr="003D520D">
        <w:rPr>
          <w:szCs w:val="22"/>
          <w:lang w:val="cs-CZ"/>
        </w:rPr>
        <w:t>regorafenibu</w:t>
      </w:r>
      <w:proofErr w:type="spellEnd"/>
      <w:r w:rsidR="00356F6E" w:rsidRPr="003D520D">
        <w:rPr>
          <w:szCs w:val="22"/>
          <w:lang w:val="cs-CZ"/>
        </w:rPr>
        <w:t xml:space="preserve"> na farmakokinetiku </w:t>
      </w:r>
      <w:r w:rsidR="00FD097F" w:rsidRPr="003D520D">
        <w:rPr>
          <w:szCs w:val="22"/>
          <w:lang w:val="cs-CZ"/>
        </w:rPr>
        <w:t xml:space="preserve">zkoumaných </w:t>
      </w:r>
      <w:r w:rsidR="00356F6E" w:rsidRPr="003D520D">
        <w:rPr>
          <w:szCs w:val="22"/>
          <w:lang w:val="cs-CZ"/>
        </w:rPr>
        <w:t>substrátů CYP</w:t>
      </w:r>
      <w:r w:rsidR="00FD097F" w:rsidRPr="003D520D">
        <w:rPr>
          <w:szCs w:val="22"/>
          <w:lang w:val="cs-CZ"/>
        </w:rPr>
        <w:t>2C8 (</w:t>
      </w:r>
      <w:proofErr w:type="spellStart"/>
      <w:r w:rsidR="00356F6E" w:rsidRPr="003D520D">
        <w:rPr>
          <w:szCs w:val="22"/>
          <w:lang w:val="cs-CZ"/>
        </w:rPr>
        <w:t>rosiglitazon</w:t>
      </w:r>
      <w:proofErr w:type="spellEnd"/>
      <w:r w:rsidR="00FD097F" w:rsidRPr="003D520D">
        <w:rPr>
          <w:szCs w:val="22"/>
          <w:lang w:val="cs-CZ"/>
        </w:rPr>
        <w:t>),</w:t>
      </w:r>
      <w:r w:rsidR="00356F6E" w:rsidRPr="003D520D">
        <w:rPr>
          <w:szCs w:val="22"/>
          <w:lang w:val="cs-CZ"/>
        </w:rPr>
        <w:t xml:space="preserve"> (CYP2C</w:t>
      </w:r>
      <w:r w:rsidR="00FD097F" w:rsidRPr="003D520D">
        <w:rPr>
          <w:szCs w:val="22"/>
          <w:lang w:val="cs-CZ"/>
        </w:rPr>
        <w:t>9</w:t>
      </w:r>
      <w:r w:rsidR="00356F6E" w:rsidRPr="003D520D">
        <w:rPr>
          <w:szCs w:val="22"/>
          <w:lang w:val="cs-CZ"/>
        </w:rPr>
        <w:t>)</w:t>
      </w:r>
      <w:r w:rsidR="00FD097F" w:rsidRPr="003D520D">
        <w:rPr>
          <w:szCs w:val="22"/>
          <w:lang w:val="cs-CZ"/>
        </w:rPr>
        <w:t xml:space="preserve"> </w:t>
      </w:r>
      <w:r w:rsidR="00FD097F" w:rsidRPr="003D520D">
        <w:rPr>
          <w:szCs w:val="22"/>
          <w:lang w:val="cs-CZ" w:eastAsia="en-US"/>
        </w:rPr>
        <w:t>(S</w:t>
      </w:r>
      <w:r w:rsidR="00E36269" w:rsidRPr="003D520D">
        <w:rPr>
          <w:szCs w:val="22"/>
          <w:lang w:val="cs-CZ" w:eastAsia="en-US"/>
        </w:rPr>
        <w:noBreakHyphen/>
      </w:r>
      <w:proofErr w:type="spellStart"/>
      <w:r w:rsidR="00356F6E" w:rsidRPr="003D520D">
        <w:rPr>
          <w:szCs w:val="22"/>
          <w:lang w:val="cs-CZ" w:eastAsia="en-US"/>
        </w:rPr>
        <w:t>warfarin</w:t>
      </w:r>
      <w:proofErr w:type="spellEnd"/>
      <w:r w:rsidR="00FD097F" w:rsidRPr="003D520D">
        <w:rPr>
          <w:szCs w:val="22"/>
          <w:lang w:val="cs-CZ" w:eastAsia="en-US"/>
        </w:rPr>
        <w:t xml:space="preserve">), </w:t>
      </w:r>
      <w:r w:rsidR="00356F6E" w:rsidRPr="003D520D">
        <w:rPr>
          <w:szCs w:val="22"/>
          <w:lang w:val="cs-CZ" w:eastAsia="en-US"/>
        </w:rPr>
        <w:t>CYP2C</w:t>
      </w:r>
      <w:r w:rsidR="00FD097F" w:rsidRPr="003D520D">
        <w:rPr>
          <w:szCs w:val="22"/>
          <w:lang w:val="cs-CZ" w:eastAsia="en-US"/>
        </w:rPr>
        <w:t>1</w:t>
      </w:r>
      <w:r w:rsidR="00356F6E" w:rsidRPr="003D520D">
        <w:rPr>
          <w:szCs w:val="22"/>
          <w:lang w:val="cs-CZ" w:eastAsia="en-US"/>
        </w:rPr>
        <w:t>9</w:t>
      </w:r>
      <w:r w:rsidR="00FD097F" w:rsidRPr="003D520D">
        <w:rPr>
          <w:szCs w:val="22"/>
          <w:lang w:val="cs-CZ" w:eastAsia="en-US"/>
        </w:rPr>
        <w:t xml:space="preserve"> (</w:t>
      </w:r>
      <w:proofErr w:type="spellStart"/>
      <w:r w:rsidR="00FD097F" w:rsidRPr="003D520D">
        <w:rPr>
          <w:szCs w:val="22"/>
          <w:lang w:val="cs-CZ" w:eastAsia="en-US"/>
        </w:rPr>
        <w:t>omeprazol</w:t>
      </w:r>
      <w:proofErr w:type="spellEnd"/>
      <w:r w:rsidR="00FD097F" w:rsidRPr="003D520D">
        <w:rPr>
          <w:szCs w:val="22"/>
          <w:lang w:val="cs-CZ" w:eastAsia="en-US"/>
        </w:rPr>
        <w:t>) a CYP3A4 (</w:t>
      </w:r>
      <w:r w:rsidR="00356F6E" w:rsidRPr="003D520D">
        <w:rPr>
          <w:szCs w:val="22"/>
          <w:lang w:val="cs-CZ" w:eastAsia="en-US"/>
        </w:rPr>
        <w:t>midazolam</w:t>
      </w:r>
      <w:r w:rsidR="00FD097F" w:rsidRPr="003D520D">
        <w:rPr>
          <w:szCs w:val="22"/>
          <w:lang w:val="cs-CZ" w:eastAsia="en-US"/>
        </w:rPr>
        <w:t>).</w:t>
      </w:r>
    </w:p>
    <w:p w14:paraId="7D457560" w14:textId="77777777" w:rsidR="00FD097F" w:rsidRPr="003D520D" w:rsidRDefault="00FD097F" w:rsidP="00D707AB">
      <w:pPr>
        <w:pStyle w:val="GlobalBayerBodyText"/>
        <w:spacing w:before="0" w:after="0"/>
        <w:rPr>
          <w:szCs w:val="22"/>
          <w:lang w:val="cs-CZ" w:eastAsia="en-US"/>
        </w:rPr>
      </w:pPr>
    </w:p>
    <w:p w14:paraId="7D457561" w14:textId="77777777" w:rsidR="007320BE" w:rsidRDefault="00FD097F" w:rsidP="007320BE">
      <w:pPr>
        <w:pStyle w:val="GlobalBayerBodyText"/>
        <w:spacing w:before="0"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>Farmakokinetické údaje ukazují,</w:t>
      </w:r>
      <w:r w:rsidR="00372EAE" w:rsidRPr="003D520D">
        <w:rPr>
          <w:szCs w:val="22"/>
          <w:lang w:val="cs-CZ" w:eastAsia="en-US"/>
        </w:rPr>
        <w:t xml:space="preserve"> </w:t>
      </w:r>
      <w:r w:rsidRPr="003D520D">
        <w:rPr>
          <w:szCs w:val="22"/>
          <w:lang w:val="cs-CZ" w:eastAsia="en-US"/>
        </w:rPr>
        <w:t xml:space="preserve">že </w:t>
      </w:r>
      <w:proofErr w:type="spellStart"/>
      <w:r w:rsidRPr="003D520D">
        <w:rPr>
          <w:szCs w:val="22"/>
          <w:lang w:val="cs-CZ" w:eastAsia="en-US"/>
        </w:rPr>
        <w:t>regorafenib</w:t>
      </w:r>
      <w:proofErr w:type="spellEnd"/>
      <w:r w:rsidRPr="003D520D">
        <w:rPr>
          <w:szCs w:val="22"/>
          <w:lang w:val="cs-CZ" w:eastAsia="en-US"/>
        </w:rPr>
        <w:t xml:space="preserve"> může být podáván současně se substráty CYP2C8, CYP2C9, </w:t>
      </w:r>
      <w:r w:rsidR="00356F6E" w:rsidRPr="003D520D">
        <w:rPr>
          <w:szCs w:val="22"/>
          <w:lang w:val="cs-CZ" w:eastAsia="en-US"/>
        </w:rPr>
        <w:t>CYP3A4</w:t>
      </w:r>
      <w:r w:rsidRPr="003D520D">
        <w:rPr>
          <w:szCs w:val="22"/>
          <w:lang w:val="cs-CZ" w:eastAsia="en-US"/>
        </w:rPr>
        <w:t xml:space="preserve"> a CYP2C19 bez klinicky významné</w:t>
      </w:r>
      <w:r w:rsidR="004B35D9" w:rsidRPr="003D520D">
        <w:rPr>
          <w:szCs w:val="22"/>
          <w:lang w:val="cs-CZ" w:eastAsia="en-US"/>
        </w:rPr>
        <w:t xml:space="preserve"> lékové interakce (viz také bod </w:t>
      </w:r>
      <w:r w:rsidRPr="003D520D">
        <w:rPr>
          <w:szCs w:val="22"/>
          <w:lang w:val="cs-CZ" w:eastAsia="en-US"/>
        </w:rPr>
        <w:t>4.4)</w:t>
      </w:r>
      <w:r w:rsidR="00356F6E" w:rsidRPr="003D520D">
        <w:rPr>
          <w:szCs w:val="22"/>
          <w:lang w:val="cs-CZ" w:eastAsia="en-US"/>
        </w:rPr>
        <w:t>.</w:t>
      </w:r>
    </w:p>
    <w:p w14:paraId="7D457562" w14:textId="77777777" w:rsidR="007320BE" w:rsidRDefault="007320BE" w:rsidP="007320BE">
      <w:pPr>
        <w:pStyle w:val="GlobalBayerBodyText"/>
        <w:spacing w:before="0" w:after="0"/>
        <w:rPr>
          <w:szCs w:val="22"/>
          <w:lang w:val="cs-CZ" w:eastAsia="en-US"/>
        </w:rPr>
      </w:pPr>
    </w:p>
    <w:p w14:paraId="7D457563" w14:textId="77777777" w:rsidR="00356F6E" w:rsidRPr="007320BE" w:rsidRDefault="00356F6E" w:rsidP="007320BE">
      <w:pPr>
        <w:pStyle w:val="GlobalBayerBodyText"/>
        <w:spacing w:before="0" w:after="0"/>
        <w:rPr>
          <w:iCs/>
          <w:szCs w:val="22"/>
          <w:lang w:val="cs-CZ" w:eastAsia="en-US"/>
        </w:rPr>
      </w:pPr>
      <w:r w:rsidRPr="007320BE">
        <w:rPr>
          <w:iCs/>
          <w:szCs w:val="22"/>
          <w:u w:val="single"/>
          <w:lang w:val="cs-CZ"/>
        </w:rPr>
        <w:t>Antibiotika</w:t>
      </w:r>
    </w:p>
    <w:p w14:paraId="7D457564" w14:textId="77777777" w:rsidR="007320BE" w:rsidRDefault="00356F6E" w:rsidP="007320BE">
      <w:pPr>
        <w:pStyle w:val="GlobalBayerBodyText"/>
        <w:spacing w:before="0" w:after="0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Profil koncentrace-čas ukazuje, že </w:t>
      </w:r>
      <w:proofErr w:type="spellStart"/>
      <w:r w:rsidRPr="003D520D">
        <w:rPr>
          <w:szCs w:val="22"/>
          <w:lang w:val="cs-CZ"/>
        </w:rPr>
        <w:t>regorafenib</w:t>
      </w:r>
      <w:proofErr w:type="spellEnd"/>
      <w:r w:rsidRPr="003D520D">
        <w:rPr>
          <w:szCs w:val="22"/>
          <w:lang w:val="cs-CZ"/>
        </w:rPr>
        <w:t xml:space="preserve"> a jeho metabolity mohou p</w:t>
      </w:r>
      <w:r w:rsidR="0057023C">
        <w:rPr>
          <w:szCs w:val="22"/>
          <w:lang w:val="cs-CZ"/>
        </w:rPr>
        <w:t>odléhat</w:t>
      </w:r>
      <w:r w:rsidRPr="003D520D">
        <w:rPr>
          <w:szCs w:val="22"/>
          <w:lang w:val="cs-CZ"/>
        </w:rPr>
        <w:t xml:space="preserve"> </w:t>
      </w:r>
      <w:proofErr w:type="spellStart"/>
      <w:r w:rsidRPr="003D520D">
        <w:rPr>
          <w:szCs w:val="22"/>
          <w:lang w:val="cs-CZ"/>
        </w:rPr>
        <w:t>enterohepatální</w:t>
      </w:r>
      <w:proofErr w:type="spellEnd"/>
      <w:r w:rsidRPr="003D520D">
        <w:rPr>
          <w:szCs w:val="22"/>
          <w:lang w:val="cs-CZ"/>
        </w:rPr>
        <w:t xml:space="preserve"> cirkulac</w:t>
      </w:r>
      <w:r w:rsidR="0057023C">
        <w:rPr>
          <w:szCs w:val="22"/>
          <w:lang w:val="cs-CZ"/>
        </w:rPr>
        <w:t>i</w:t>
      </w:r>
      <w:r w:rsidRPr="003D520D">
        <w:rPr>
          <w:szCs w:val="22"/>
          <w:lang w:val="cs-CZ"/>
        </w:rPr>
        <w:t xml:space="preserve"> (viz bod</w:t>
      </w:r>
      <w:r w:rsidR="0056657D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 xml:space="preserve">5.2). Současné podávání </w:t>
      </w:r>
      <w:r w:rsidR="009246B9">
        <w:rPr>
          <w:szCs w:val="22"/>
          <w:lang w:val="cs-CZ"/>
        </w:rPr>
        <w:t>s</w:t>
      </w:r>
      <w:r w:rsidR="009246B9" w:rsidRPr="003D520D">
        <w:rPr>
          <w:szCs w:val="22"/>
          <w:lang w:val="cs-CZ"/>
        </w:rPr>
        <w:t xml:space="preserve"> </w:t>
      </w:r>
      <w:r w:rsidR="009246B9">
        <w:rPr>
          <w:szCs w:val="22"/>
          <w:lang w:val="cs-CZ"/>
        </w:rPr>
        <w:t>neomycinem, špatně vstřebatelnou antimikrobiální látkou, používanou k eradikaci gastrointestinální mikroflóry</w:t>
      </w:r>
      <w:r w:rsidR="009246B9" w:rsidRPr="003D520D">
        <w:rPr>
          <w:szCs w:val="22"/>
          <w:lang w:val="cs-CZ"/>
        </w:rPr>
        <w:t xml:space="preserve"> </w:t>
      </w:r>
      <w:r w:rsidR="009246B9">
        <w:rPr>
          <w:szCs w:val="22"/>
          <w:lang w:val="cs-CZ"/>
        </w:rPr>
        <w:t>(která</w:t>
      </w:r>
      <w:r w:rsidRPr="003D520D">
        <w:rPr>
          <w:szCs w:val="22"/>
          <w:lang w:val="cs-CZ"/>
        </w:rPr>
        <w:t xml:space="preserve"> může ovlivnit </w:t>
      </w:r>
      <w:proofErr w:type="spellStart"/>
      <w:r w:rsidRPr="003D520D">
        <w:rPr>
          <w:szCs w:val="22"/>
          <w:lang w:val="cs-CZ"/>
        </w:rPr>
        <w:t>enterohepatální</w:t>
      </w:r>
      <w:proofErr w:type="spellEnd"/>
      <w:r w:rsidRPr="003D520D">
        <w:rPr>
          <w:szCs w:val="22"/>
          <w:lang w:val="cs-CZ"/>
        </w:rPr>
        <w:t xml:space="preserve"> cirkulaci </w:t>
      </w:r>
      <w:proofErr w:type="spellStart"/>
      <w:r w:rsidRPr="003D520D">
        <w:rPr>
          <w:szCs w:val="22"/>
          <w:lang w:val="cs-CZ"/>
        </w:rPr>
        <w:t>regorafenibu</w:t>
      </w:r>
      <w:proofErr w:type="spellEnd"/>
      <w:r w:rsidR="009246B9">
        <w:rPr>
          <w:szCs w:val="22"/>
          <w:lang w:val="cs-CZ"/>
        </w:rPr>
        <w:t>) nemělo vliv na</w:t>
      </w:r>
      <w:r w:rsidRPr="003D520D">
        <w:rPr>
          <w:szCs w:val="22"/>
          <w:lang w:val="cs-CZ"/>
        </w:rPr>
        <w:t xml:space="preserve"> expozic</w:t>
      </w:r>
      <w:r w:rsidR="009246B9">
        <w:rPr>
          <w:szCs w:val="22"/>
          <w:lang w:val="cs-CZ"/>
        </w:rPr>
        <w:t>i</w:t>
      </w:r>
      <w:r w:rsidRPr="003D520D">
        <w:rPr>
          <w:szCs w:val="22"/>
          <w:lang w:val="cs-CZ"/>
        </w:rPr>
        <w:t xml:space="preserve"> </w:t>
      </w:r>
      <w:proofErr w:type="spellStart"/>
      <w:r w:rsidRPr="003D520D">
        <w:rPr>
          <w:szCs w:val="22"/>
          <w:lang w:val="cs-CZ"/>
        </w:rPr>
        <w:t>regorafenibu</w:t>
      </w:r>
      <w:proofErr w:type="spellEnd"/>
      <w:r w:rsidR="009246B9">
        <w:rPr>
          <w:szCs w:val="22"/>
          <w:lang w:val="cs-CZ"/>
        </w:rPr>
        <w:t>,</w:t>
      </w:r>
      <w:r w:rsidR="00C440B7">
        <w:rPr>
          <w:szCs w:val="22"/>
          <w:lang w:val="cs-CZ"/>
        </w:rPr>
        <w:t xml:space="preserve"> </w:t>
      </w:r>
      <w:r w:rsidR="009246B9">
        <w:rPr>
          <w:szCs w:val="22"/>
          <w:lang w:val="cs-CZ"/>
        </w:rPr>
        <w:t xml:space="preserve">ale došlo přibližně k 80% poklesu expozice aktivních metabolitů M-2 a M-5, které ukázaly </w:t>
      </w:r>
      <w:r w:rsidR="009246B9" w:rsidRPr="00961EA4">
        <w:rPr>
          <w:i/>
          <w:szCs w:val="22"/>
          <w:lang w:val="cs-CZ"/>
        </w:rPr>
        <w:t>in vitro</w:t>
      </w:r>
      <w:r w:rsidR="009246B9">
        <w:rPr>
          <w:szCs w:val="22"/>
          <w:lang w:val="cs-CZ"/>
        </w:rPr>
        <w:t xml:space="preserve"> a </w:t>
      </w:r>
      <w:r w:rsidR="009246B9" w:rsidRPr="00961EA4">
        <w:rPr>
          <w:i/>
          <w:szCs w:val="22"/>
          <w:lang w:val="cs-CZ"/>
        </w:rPr>
        <w:t xml:space="preserve">in </w:t>
      </w:r>
      <w:proofErr w:type="spellStart"/>
      <w:r w:rsidR="009246B9" w:rsidRPr="00961EA4">
        <w:rPr>
          <w:i/>
          <w:szCs w:val="22"/>
          <w:lang w:val="cs-CZ"/>
        </w:rPr>
        <w:t>vivo</w:t>
      </w:r>
      <w:proofErr w:type="spellEnd"/>
      <w:r w:rsidR="009246B9">
        <w:rPr>
          <w:szCs w:val="22"/>
          <w:lang w:val="cs-CZ"/>
        </w:rPr>
        <w:t xml:space="preserve"> farmakologickou aktivitu srovnatelnou s </w:t>
      </w:r>
      <w:proofErr w:type="spellStart"/>
      <w:r w:rsidR="009246B9">
        <w:rPr>
          <w:szCs w:val="22"/>
          <w:lang w:val="cs-CZ"/>
        </w:rPr>
        <w:t>regorafenibem</w:t>
      </w:r>
      <w:proofErr w:type="spellEnd"/>
      <w:r w:rsidR="009246B9">
        <w:rPr>
          <w:szCs w:val="22"/>
          <w:lang w:val="cs-CZ"/>
        </w:rPr>
        <w:t>.</w:t>
      </w:r>
      <w:r w:rsidRPr="003D520D">
        <w:rPr>
          <w:szCs w:val="22"/>
          <w:lang w:val="cs-CZ"/>
        </w:rPr>
        <w:t xml:space="preserve"> Klinický význam </w:t>
      </w:r>
      <w:r w:rsidR="009246B9">
        <w:rPr>
          <w:szCs w:val="22"/>
          <w:lang w:val="cs-CZ"/>
        </w:rPr>
        <w:t>této</w:t>
      </w:r>
      <w:r w:rsidRPr="003D520D">
        <w:rPr>
          <w:szCs w:val="22"/>
          <w:lang w:val="cs-CZ"/>
        </w:rPr>
        <w:t xml:space="preserve"> možn</w:t>
      </w:r>
      <w:r w:rsidR="009246B9">
        <w:rPr>
          <w:szCs w:val="22"/>
          <w:lang w:val="cs-CZ"/>
        </w:rPr>
        <w:t>é</w:t>
      </w:r>
      <w:r w:rsidRPr="003D520D">
        <w:rPr>
          <w:szCs w:val="22"/>
          <w:lang w:val="cs-CZ"/>
        </w:rPr>
        <w:t xml:space="preserve"> interakc</w:t>
      </w:r>
      <w:r w:rsidR="009246B9">
        <w:rPr>
          <w:szCs w:val="22"/>
          <w:lang w:val="cs-CZ"/>
        </w:rPr>
        <w:t>e s neomycinem</w:t>
      </w:r>
      <w:r w:rsidRPr="003D520D">
        <w:rPr>
          <w:szCs w:val="22"/>
          <w:lang w:val="cs-CZ"/>
        </w:rPr>
        <w:t xml:space="preserve"> není znám, ale může vést ke snížení účinnosti </w:t>
      </w:r>
      <w:proofErr w:type="spellStart"/>
      <w:r w:rsidRPr="003D520D">
        <w:rPr>
          <w:szCs w:val="22"/>
          <w:lang w:val="cs-CZ"/>
        </w:rPr>
        <w:t>regorafenibu</w:t>
      </w:r>
      <w:proofErr w:type="spellEnd"/>
      <w:r w:rsidRPr="003D520D">
        <w:rPr>
          <w:szCs w:val="22"/>
          <w:lang w:val="cs-CZ"/>
        </w:rPr>
        <w:t>.</w:t>
      </w:r>
      <w:r w:rsidR="009246B9">
        <w:rPr>
          <w:szCs w:val="22"/>
          <w:lang w:val="cs-CZ"/>
        </w:rPr>
        <w:t xml:space="preserve"> Farmakologické interakce jiných antibiotik nebyly studovány.</w:t>
      </w:r>
    </w:p>
    <w:p w14:paraId="7D457565" w14:textId="77777777" w:rsidR="007320BE" w:rsidRDefault="007320BE" w:rsidP="007320BE">
      <w:pPr>
        <w:pStyle w:val="GlobalBayerBodyText"/>
        <w:spacing w:before="0" w:after="0"/>
        <w:rPr>
          <w:szCs w:val="22"/>
          <w:lang w:val="cs-CZ"/>
        </w:rPr>
      </w:pPr>
    </w:p>
    <w:p w14:paraId="7D457566" w14:textId="77777777" w:rsidR="007320BE" w:rsidRDefault="00F73BF1" w:rsidP="007320BE">
      <w:pPr>
        <w:pStyle w:val="GlobalBayerBodyText"/>
        <w:spacing w:before="0" w:after="0"/>
        <w:rPr>
          <w:szCs w:val="22"/>
          <w:u w:val="single"/>
          <w:lang w:val="cs-CZ"/>
        </w:rPr>
      </w:pPr>
      <w:r w:rsidRPr="007320BE">
        <w:rPr>
          <w:szCs w:val="22"/>
          <w:u w:val="single"/>
          <w:lang w:val="cs-CZ"/>
        </w:rPr>
        <w:t xml:space="preserve">Látky </w:t>
      </w:r>
      <w:proofErr w:type="spellStart"/>
      <w:r w:rsidRPr="007320BE">
        <w:rPr>
          <w:szCs w:val="22"/>
          <w:u w:val="single"/>
          <w:lang w:val="cs-CZ"/>
        </w:rPr>
        <w:t>sekvestrující</w:t>
      </w:r>
      <w:proofErr w:type="spellEnd"/>
      <w:r w:rsidRPr="007320BE">
        <w:rPr>
          <w:szCs w:val="22"/>
          <w:u w:val="single"/>
          <w:lang w:val="cs-CZ"/>
        </w:rPr>
        <w:t xml:space="preserve"> žlučové kyseliny</w:t>
      </w:r>
    </w:p>
    <w:p w14:paraId="7D457567" w14:textId="77777777" w:rsidR="009415A1" w:rsidRDefault="00D0675E" w:rsidP="009415A1">
      <w:pPr>
        <w:pStyle w:val="GlobalBayerBodyText"/>
        <w:spacing w:before="0" w:after="0"/>
        <w:rPr>
          <w:szCs w:val="22"/>
          <w:lang w:val="cs-CZ"/>
        </w:rPr>
      </w:pPr>
      <w:proofErr w:type="spellStart"/>
      <w:r w:rsidRPr="007320BE">
        <w:rPr>
          <w:szCs w:val="22"/>
          <w:lang w:val="cs-CZ"/>
        </w:rPr>
        <w:t>Regorafenib</w:t>
      </w:r>
      <w:proofErr w:type="spellEnd"/>
      <w:r w:rsidRPr="007320BE">
        <w:rPr>
          <w:szCs w:val="22"/>
          <w:lang w:val="cs-CZ"/>
        </w:rPr>
        <w:t xml:space="preserve">, metabolity M-2 a M-5 pravděpodobně podléhají </w:t>
      </w:r>
      <w:proofErr w:type="spellStart"/>
      <w:r w:rsidRPr="007320BE">
        <w:rPr>
          <w:szCs w:val="22"/>
          <w:lang w:val="cs-CZ"/>
        </w:rPr>
        <w:t>enterohepatální</w:t>
      </w:r>
      <w:proofErr w:type="spellEnd"/>
      <w:r w:rsidRPr="007320BE">
        <w:rPr>
          <w:szCs w:val="22"/>
          <w:lang w:val="cs-CZ"/>
        </w:rPr>
        <w:t xml:space="preserve"> cirkulaci (viz bod 5.2). Látky</w:t>
      </w:r>
      <w:r w:rsidR="00F73BF1" w:rsidRPr="007320BE">
        <w:rPr>
          <w:szCs w:val="22"/>
          <w:lang w:val="cs-CZ"/>
        </w:rPr>
        <w:t xml:space="preserve"> </w:t>
      </w:r>
      <w:proofErr w:type="spellStart"/>
      <w:r w:rsidR="00F73BF1" w:rsidRPr="007320BE">
        <w:rPr>
          <w:szCs w:val="22"/>
          <w:lang w:val="cs-CZ"/>
        </w:rPr>
        <w:t>sekvestrující</w:t>
      </w:r>
      <w:proofErr w:type="spellEnd"/>
      <w:r w:rsidRPr="007320BE">
        <w:rPr>
          <w:szCs w:val="22"/>
          <w:lang w:val="cs-CZ"/>
        </w:rPr>
        <w:t xml:space="preserve"> žlučové </w:t>
      </w:r>
      <w:r w:rsidR="00F73BF1" w:rsidRPr="007320BE">
        <w:rPr>
          <w:szCs w:val="22"/>
          <w:lang w:val="cs-CZ"/>
        </w:rPr>
        <w:t>kyseliny</w:t>
      </w:r>
      <w:r w:rsidR="008357C5" w:rsidRPr="007320BE">
        <w:rPr>
          <w:szCs w:val="22"/>
          <w:lang w:val="cs-CZ"/>
        </w:rPr>
        <w:t>,</w:t>
      </w:r>
      <w:r w:rsidRPr="007320BE">
        <w:rPr>
          <w:szCs w:val="22"/>
          <w:lang w:val="cs-CZ"/>
        </w:rPr>
        <w:t xml:space="preserve"> jako </w:t>
      </w:r>
      <w:proofErr w:type="spellStart"/>
      <w:r w:rsidRPr="007320BE">
        <w:rPr>
          <w:szCs w:val="22"/>
          <w:lang w:val="cs-CZ"/>
        </w:rPr>
        <w:t>cholestyramin</w:t>
      </w:r>
      <w:proofErr w:type="spellEnd"/>
      <w:r w:rsidRPr="007320BE">
        <w:rPr>
          <w:szCs w:val="22"/>
          <w:lang w:val="cs-CZ"/>
        </w:rPr>
        <w:t xml:space="preserve"> a </w:t>
      </w:r>
      <w:proofErr w:type="spellStart"/>
      <w:r w:rsidRPr="007320BE">
        <w:rPr>
          <w:szCs w:val="22"/>
          <w:lang w:val="cs-CZ"/>
        </w:rPr>
        <w:t>cholestagel</w:t>
      </w:r>
      <w:proofErr w:type="spellEnd"/>
      <w:r w:rsidR="008357C5" w:rsidRPr="007320BE">
        <w:rPr>
          <w:szCs w:val="22"/>
          <w:lang w:val="cs-CZ"/>
        </w:rPr>
        <w:t>,</w:t>
      </w:r>
      <w:r w:rsidRPr="007320BE">
        <w:rPr>
          <w:szCs w:val="22"/>
          <w:lang w:val="cs-CZ"/>
        </w:rPr>
        <w:t xml:space="preserve"> mohou reagovat s </w:t>
      </w:r>
      <w:proofErr w:type="spellStart"/>
      <w:r w:rsidRPr="007320BE">
        <w:rPr>
          <w:szCs w:val="22"/>
          <w:lang w:val="cs-CZ"/>
        </w:rPr>
        <w:t>regorafenibem</w:t>
      </w:r>
      <w:proofErr w:type="spellEnd"/>
      <w:r w:rsidRPr="007320BE">
        <w:rPr>
          <w:szCs w:val="22"/>
          <w:lang w:val="cs-CZ"/>
        </w:rPr>
        <w:t xml:space="preserve"> tvorbou nerozpustných komplexů, které mohou mít</w:t>
      </w:r>
      <w:r w:rsidR="0035013B" w:rsidRPr="007320BE">
        <w:rPr>
          <w:szCs w:val="22"/>
          <w:lang w:val="cs-CZ"/>
        </w:rPr>
        <w:t xml:space="preserve"> vliv na absorpci (nebo reabso</w:t>
      </w:r>
      <w:r w:rsidR="008357C5" w:rsidRPr="007320BE">
        <w:rPr>
          <w:szCs w:val="22"/>
          <w:lang w:val="cs-CZ"/>
        </w:rPr>
        <w:t>r</w:t>
      </w:r>
      <w:r w:rsidR="0035013B" w:rsidRPr="007320BE">
        <w:rPr>
          <w:szCs w:val="22"/>
          <w:lang w:val="cs-CZ"/>
        </w:rPr>
        <w:t xml:space="preserve">pci), </w:t>
      </w:r>
      <w:r w:rsidR="00F73BF1" w:rsidRPr="007320BE">
        <w:rPr>
          <w:szCs w:val="22"/>
          <w:lang w:val="cs-CZ"/>
        </w:rPr>
        <w:t>což má za následek potenciálně sníženou expozici.</w:t>
      </w:r>
      <w:r w:rsidRPr="007320BE">
        <w:rPr>
          <w:szCs w:val="22"/>
          <w:lang w:val="cs-CZ"/>
        </w:rPr>
        <w:t xml:space="preserve"> </w:t>
      </w:r>
      <w:r w:rsidR="00F73BF1" w:rsidRPr="007320BE">
        <w:rPr>
          <w:szCs w:val="22"/>
          <w:lang w:val="cs-CZ"/>
        </w:rPr>
        <w:t xml:space="preserve"> Klinický význam těchto potenciálních interakcí není znám, ale následkem by mohla být snížená účinnost </w:t>
      </w:r>
      <w:proofErr w:type="spellStart"/>
      <w:r w:rsidR="00F73BF1" w:rsidRPr="007320BE">
        <w:rPr>
          <w:szCs w:val="22"/>
          <w:lang w:val="cs-CZ"/>
        </w:rPr>
        <w:t>regorafenibu</w:t>
      </w:r>
      <w:proofErr w:type="spellEnd"/>
      <w:r w:rsidR="00F73BF1" w:rsidRPr="007320BE">
        <w:rPr>
          <w:szCs w:val="22"/>
          <w:lang w:val="cs-CZ"/>
        </w:rPr>
        <w:t>.</w:t>
      </w:r>
    </w:p>
    <w:p w14:paraId="7D457568" w14:textId="77777777" w:rsidR="00356F6E" w:rsidRDefault="00356F6E" w:rsidP="00D707AB">
      <w:pPr>
        <w:pStyle w:val="Textkomente"/>
        <w:keepNext/>
        <w:keepLines/>
        <w:spacing w:after="0"/>
        <w:rPr>
          <w:sz w:val="22"/>
          <w:szCs w:val="22"/>
          <w:lang w:val="cs-CZ"/>
        </w:rPr>
      </w:pPr>
    </w:p>
    <w:p w14:paraId="7D457569" w14:textId="77777777" w:rsidR="009415A1" w:rsidRDefault="009415A1" w:rsidP="0001612B">
      <w:pPr>
        <w:pStyle w:val="Textkomente"/>
        <w:keepNext/>
        <w:keepLines/>
        <w:spacing w:after="0"/>
        <w:outlineLvl w:val="2"/>
        <w:rPr>
          <w:b/>
          <w:bCs/>
          <w:sz w:val="22"/>
          <w:szCs w:val="22"/>
          <w:lang w:val="cs-CZ"/>
        </w:rPr>
      </w:pPr>
      <w:r w:rsidRPr="009415A1">
        <w:rPr>
          <w:b/>
          <w:bCs/>
          <w:sz w:val="22"/>
          <w:szCs w:val="22"/>
          <w:lang w:val="cs-CZ"/>
        </w:rPr>
        <w:t xml:space="preserve">4.6 </w:t>
      </w:r>
      <w:r>
        <w:rPr>
          <w:b/>
          <w:bCs/>
          <w:sz w:val="22"/>
          <w:szCs w:val="22"/>
          <w:lang w:val="cs-CZ"/>
        </w:rPr>
        <w:tab/>
      </w:r>
      <w:r w:rsidRPr="009415A1">
        <w:rPr>
          <w:b/>
          <w:bCs/>
          <w:sz w:val="22"/>
          <w:szCs w:val="22"/>
          <w:lang w:val="cs-CZ"/>
        </w:rPr>
        <w:t>Fertilita, těhotenství a kojení</w:t>
      </w:r>
    </w:p>
    <w:p w14:paraId="7D45756A" w14:textId="77777777" w:rsidR="009415A1" w:rsidRPr="009415A1" w:rsidRDefault="009415A1" w:rsidP="009415A1">
      <w:pPr>
        <w:pStyle w:val="Textkomente"/>
        <w:keepNext/>
        <w:keepLines/>
        <w:spacing w:after="0"/>
        <w:rPr>
          <w:b/>
          <w:bCs/>
          <w:sz w:val="22"/>
          <w:szCs w:val="22"/>
          <w:lang w:val="cs-CZ"/>
        </w:rPr>
      </w:pPr>
    </w:p>
    <w:p w14:paraId="7D45756B" w14:textId="77777777" w:rsidR="00327BC1" w:rsidRPr="009415A1" w:rsidRDefault="00327BC1" w:rsidP="009415A1">
      <w:pPr>
        <w:pStyle w:val="GlobalBayerBodyText"/>
        <w:spacing w:before="0" w:after="0"/>
        <w:rPr>
          <w:szCs w:val="22"/>
          <w:u w:val="single"/>
          <w:lang w:val="cs-CZ"/>
        </w:rPr>
      </w:pPr>
      <w:r w:rsidRPr="009415A1">
        <w:rPr>
          <w:szCs w:val="22"/>
          <w:u w:val="single"/>
          <w:lang w:val="cs-CZ"/>
        </w:rPr>
        <w:t>Ženy ve fertilním věku / Antikoncepce u mužů a žen</w:t>
      </w:r>
    </w:p>
    <w:p w14:paraId="7D45756C" w14:textId="77777777" w:rsidR="00327BC1" w:rsidRPr="009415A1" w:rsidRDefault="00327BC1" w:rsidP="009415A1">
      <w:pPr>
        <w:pStyle w:val="GlobalBayerBodyText"/>
        <w:spacing w:before="0" w:after="0"/>
        <w:rPr>
          <w:szCs w:val="22"/>
          <w:lang w:val="cs-CZ"/>
        </w:rPr>
      </w:pPr>
      <w:r w:rsidRPr="009415A1">
        <w:rPr>
          <w:szCs w:val="22"/>
          <w:lang w:val="cs-CZ"/>
        </w:rPr>
        <w:t xml:space="preserve">Ženy ve fertilním věku musí být informovány, že </w:t>
      </w:r>
      <w:proofErr w:type="spellStart"/>
      <w:r w:rsidRPr="009415A1">
        <w:rPr>
          <w:szCs w:val="22"/>
          <w:lang w:val="cs-CZ"/>
        </w:rPr>
        <w:t>regorafenib</w:t>
      </w:r>
      <w:proofErr w:type="spellEnd"/>
      <w:r w:rsidRPr="009415A1">
        <w:rPr>
          <w:szCs w:val="22"/>
          <w:lang w:val="cs-CZ"/>
        </w:rPr>
        <w:t xml:space="preserve"> může způsobit poškození plodu.</w:t>
      </w:r>
    </w:p>
    <w:p w14:paraId="7D45756D" w14:textId="77777777" w:rsidR="00327BC1" w:rsidRPr="009415A1" w:rsidRDefault="00327BC1" w:rsidP="009415A1">
      <w:pPr>
        <w:pStyle w:val="GlobalBayerBodyText"/>
        <w:spacing w:before="0" w:after="0"/>
        <w:rPr>
          <w:szCs w:val="22"/>
          <w:lang w:val="cs-CZ"/>
        </w:rPr>
      </w:pPr>
      <w:r w:rsidRPr="009415A1">
        <w:rPr>
          <w:szCs w:val="22"/>
          <w:lang w:val="cs-CZ"/>
        </w:rPr>
        <w:t xml:space="preserve">Ženy ve fertilním věku a muži </w:t>
      </w:r>
      <w:r w:rsidR="0057023C" w:rsidRPr="009415A1">
        <w:rPr>
          <w:szCs w:val="22"/>
          <w:lang w:val="cs-CZ"/>
        </w:rPr>
        <w:t>mají</w:t>
      </w:r>
      <w:r w:rsidRPr="009415A1">
        <w:rPr>
          <w:szCs w:val="22"/>
          <w:lang w:val="cs-CZ"/>
        </w:rPr>
        <w:t xml:space="preserve"> používat účinnou antikoncepci během léčby a až</w:t>
      </w:r>
      <w:r w:rsidR="004B35D9" w:rsidRPr="009415A1">
        <w:rPr>
          <w:szCs w:val="22"/>
          <w:lang w:val="cs-CZ"/>
        </w:rPr>
        <w:t xml:space="preserve"> 8 </w:t>
      </w:r>
      <w:r w:rsidRPr="009415A1">
        <w:rPr>
          <w:szCs w:val="22"/>
          <w:lang w:val="cs-CZ"/>
        </w:rPr>
        <w:t>týdnů po ukončení terapie.</w:t>
      </w:r>
    </w:p>
    <w:p w14:paraId="7D45756E" w14:textId="77777777" w:rsidR="00327BC1" w:rsidRPr="003D520D" w:rsidRDefault="00327BC1" w:rsidP="00D707AB">
      <w:pPr>
        <w:spacing w:after="0"/>
        <w:rPr>
          <w:i/>
          <w:szCs w:val="22"/>
          <w:lang w:val="cs-CZ"/>
        </w:rPr>
      </w:pPr>
    </w:p>
    <w:p w14:paraId="7D45756F" w14:textId="77777777" w:rsidR="00356F6E" w:rsidRPr="00CA33A2" w:rsidRDefault="00356F6E" w:rsidP="00CA33A2">
      <w:pPr>
        <w:pStyle w:val="GlobalBayerBodyText"/>
        <w:spacing w:before="0" w:after="0"/>
        <w:rPr>
          <w:szCs w:val="22"/>
          <w:u w:val="single"/>
          <w:lang w:val="cs-CZ"/>
        </w:rPr>
      </w:pPr>
      <w:r w:rsidRPr="00CA33A2">
        <w:rPr>
          <w:szCs w:val="22"/>
          <w:u w:val="single"/>
          <w:lang w:val="cs-CZ"/>
        </w:rPr>
        <w:t>Těhotenství</w:t>
      </w:r>
    </w:p>
    <w:p w14:paraId="7D457570" w14:textId="77777777" w:rsidR="00356F6E" w:rsidRPr="003D520D" w:rsidRDefault="00356F6E" w:rsidP="00D707AB">
      <w:pPr>
        <w:pStyle w:val="Textkomente"/>
        <w:spacing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Údaje o podávání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těhotným ženám nejsou k dispozici.</w:t>
      </w:r>
    </w:p>
    <w:p w14:paraId="7D457571" w14:textId="77777777" w:rsidR="00356F6E" w:rsidRPr="003D520D" w:rsidRDefault="00356F6E" w:rsidP="00D707AB">
      <w:pPr>
        <w:pStyle w:val="Textkomente"/>
        <w:spacing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Na základě mechanismu účinku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se předpokládá, že působí poškození</w:t>
      </w:r>
      <w:r w:rsidR="00681769" w:rsidRPr="003D520D">
        <w:rPr>
          <w:sz w:val="22"/>
          <w:szCs w:val="22"/>
          <w:lang w:val="cs-CZ"/>
        </w:rPr>
        <w:t xml:space="preserve"> plodu</w:t>
      </w:r>
      <w:r w:rsidRPr="003D520D">
        <w:rPr>
          <w:sz w:val="22"/>
          <w:szCs w:val="22"/>
          <w:lang w:val="cs-CZ"/>
        </w:rPr>
        <w:t>, pokud je podáván během těhotenství.</w:t>
      </w:r>
      <w:r w:rsidR="00327BC1" w:rsidRPr="003D520D">
        <w:rPr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>Studie na zvířatech prokázaly reprodukční toxicitu (viz bod</w:t>
      </w:r>
      <w:r w:rsidR="0045563C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5.3).</w:t>
      </w:r>
    </w:p>
    <w:p w14:paraId="7D457572" w14:textId="77777777" w:rsidR="00356F6E" w:rsidRPr="003D520D" w:rsidRDefault="00356F6E" w:rsidP="00D707AB">
      <w:pPr>
        <w:pStyle w:val="Textkomente"/>
        <w:spacing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Přípravek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="006C17D6" w:rsidRPr="003D520D">
        <w:rPr>
          <w:sz w:val="22"/>
          <w:szCs w:val="22"/>
          <w:lang w:val="cs-CZ"/>
        </w:rPr>
        <w:t xml:space="preserve"> lze v těhotenství použít pouze tehdy, </w:t>
      </w:r>
      <w:r w:rsidRPr="003D520D">
        <w:rPr>
          <w:sz w:val="22"/>
          <w:szCs w:val="22"/>
          <w:lang w:val="cs-CZ"/>
        </w:rPr>
        <w:t xml:space="preserve">pokud to </w:t>
      </w:r>
      <w:r w:rsidR="006C17D6" w:rsidRPr="003D520D">
        <w:rPr>
          <w:sz w:val="22"/>
          <w:szCs w:val="22"/>
          <w:lang w:val="cs-CZ"/>
        </w:rPr>
        <w:t xml:space="preserve">je </w:t>
      </w:r>
      <w:r w:rsidRPr="003D520D">
        <w:rPr>
          <w:sz w:val="22"/>
          <w:szCs w:val="22"/>
          <w:lang w:val="cs-CZ"/>
        </w:rPr>
        <w:t>nezbytně nutné a po pečlivém zvážení přínosů pro matku a rizika pro plod.</w:t>
      </w:r>
    </w:p>
    <w:p w14:paraId="7D457573" w14:textId="77777777" w:rsidR="00356F6E" w:rsidRPr="003D520D" w:rsidRDefault="00356F6E" w:rsidP="00D707AB">
      <w:pPr>
        <w:pStyle w:val="Textkomente"/>
        <w:spacing w:after="0"/>
        <w:rPr>
          <w:sz w:val="22"/>
          <w:szCs w:val="22"/>
          <w:lang w:val="cs-CZ"/>
        </w:rPr>
      </w:pPr>
    </w:p>
    <w:p w14:paraId="7D457574" w14:textId="77777777" w:rsidR="00356F6E" w:rsidRPr="00CA33A2" w:rsidRDefault="00356F6E" w:rsidP="00CA33A2">
      <w:pPr>
        <w:pStyle w:val="GlobalBayerBodyText"/>
        <w:spacing w:before="0" w:after="0"/>
        <w:rPr>
          <w:szCs w:val="22"/>
          <w:u w:val="single"/>
          <w:lang w:val="cs-CZ"/>
        </w:rPr>
      </w:pPr>
      <w:r w:rsidRPr="00CA33A2">
        <w:rPr>
          <w:szCs w:val="22"/>
          <w:u w:val="single"/>
          <w:lang w:val="cs-CZ"/>
        </w:rPr>
        <w:t>Kojení</w:t>
      </w:r>
    </w:p>
    <w:p w14:paraId="7D457575" w14:textId="77777777" w:rsidR="00356F6E" w:rsidRPr="003D520D" w:rsidRDefault="00356F6E" w:rsidP="00D707AB">
      <w:pPr>
        <w:tabs>
          <w:tab w:val="left" w:pos="708"/>
        </w:tabs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 xml:space="preserve">Není známo, zda se </w:t>
      </w:r>
      <w:proofErr w:type="spellStart"/>
      <w:r w:rsidRPr="003D520D">
        <w:rPr>
          <w:szCs w:val="22"/>
          <w:lang w:val="cs-CZ" w:eastAsia="en-US"/>
        </w:rPr>
        <w:t>regorafenib</w:t>
      </w:r>
      <w:proofErr w:type="spellEnd"/>
      <w:r w:rsidR="00327BC1" w:rsidRPr="003D520D">
        <w:rPr>
          <w:szCs w:val="22"/>
          <w:lang w:val="cs-CZ" w:eastAsia="en-US"/>
        </w:rPr>
        <w:t xml:space="preserve"> nebo jeho </w:t>
      </w:r>
      <w:r w:rsidRPr="003D520D">
        <w:rPr>
          <w:szCs w:val="22"/>
          <w:lang w:val="cs-CZ" w:eastAsia="en-US"/>
        </w:rPr>
        <w:t>metabolity vylučují do lidského mateřského mléka.</w:t>
      </w:r>
    </w:p>
    <w:p w14:paraId="7D457576" w14:textId="77777777" w:rsidR="00356F6E" w:rsidRPr="003D520D" w:rsidRDefault="00356F6E" w:rsidP="00D707AB">
      <w:pPr>
        <w:tabs>
          <w:tab w:val="left" w:pos="708"/>
        </w:tabs>
        <w:spacing w:after="0"/>
        <w:rPr>
          <w:szCs w:val="22"/>
          <w:lang w:val="cs-CZ" w:eastAsia="en-US"/>
        </w:rPr>
      </w:pPr>
      <w:proofErr w:type="spellStart"/>
      <w:r w:rsidRPr="003D520D">
        <w:rPr>
          <w:szCs w:val="22"/>
          <w:lang w:val="cs-CZ" w:eastAsia="en-US"/>
        </w:rPr>
        <w:t>Regorafenib</w:t>
      </w:r>
      <w:proofErr w:type="spellEnd"/>
      <w:r w:rsidR="00327BC1" w:rsidRPr="003D520D">
        <w:rPr>
          <w:szCs w:val="22"/>
          <w:lang w:val="cs-CZ" w:eastAsia="en-US"/>
        </w:rPr>
        <w:t xml:space="preserve"> nebo jeho </w:t>
      </w:r>
      <w:r w:rsidRPr="003D520D">
        <w:rPr>
          <w:szCs w:val="22"/>
          <w:lang w:val="cs-CZ" w:eastAsia="en-US"/>
        </w:rPr>
        <w:t xml:space="preserve">metabolity se u potkanů vylučují do mateřského mléka. Riziko pro kojené dítě nelze vyloučit. </w:t>
      </w:r>
      <w:proofErr w:type="spellStart"/>
      <w:r w:rsidRPr="003D520D">
        <w:rPr>
          <w:szCs w:val="22"/>
          <w:lang w:val="cs-CZ" w:eastAsia="en-US"/>
        </w:rPr>
        <w:t>Regorafenib</w:t>
      </w:r>
      <w:proofErr w:type="spellEnd"/>
      <w:r w:rsidRPr="003D520D">
        <w:rPr>
          <w:szCs w:val="22"/>
          <w:lang w:val="cs-CZ" w:eastAsia="en-US"/>
        </w:rPr>
        <w:t xml:space="preserve"> by mohl narušit růst a vývoj kojence (viz bod</w:t>
      </w:r>
      <w:r w:rsidR="0045563C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 w:eastAsia="en-US"/>
        </w:rPr>
        <w:t>5.3).</w:t>
      </w:r>
    </w:p>
    <w:p w14:paraId="7D457577" w14:textId="77777777" w:rsidR="00356F6E" w:rsidRPr="003D520D" w:rsidRDefault="00356F6E" w:rsidP="00D707AB">
      <w:pPr>
        <w:tabs>
          <w:tab w:val="left" w:pos="708"/>
        </w:tabs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 xml:space="preserve">Kojení musí být během léčby přípravkem </w:t>
      </w:r>
      <w:proofErr w:type="spellStart"/>
      <w:r w:rsidRPr="003D520D">
        <w:rPr>
          <w:szCs w:val="22"/>
          <w:lang w:val="cs-CZ" w:eastAsia="en-US"/>
        </w:rPr>
        <w:t>Stivarga</w:t>
      </w:r>
      <w:proofErr w:type="spellEnd"/>
      <w:r w:rsidRPr="003D520D">
        <w:rPr>
          <w:szCs w:val="22"/>
          <w:lang w:val="cs-CZ" w:eastAsia="en-US"/>
        </w:rPr>
        <w:t xml:space="preserve"> přerušeno</w:t>
      </w:r>
      <w:r w:rsidRPr="003D520D">
        <w:rPr>
          <w:i/>
          <w:iCs/>
          <w:szCs w:val="22"/>
          <w:lang w:val="cs-CZ" w:eastAsia="en-US"/>
        </w:rPr>
        <w:t>.</w:t>
      </w:r>
    </w:p>
    <w:p w14:paraId="7D457578" w14:textId="77777777" w:rsidR="00356F6E" w:rsidRPr="003D520D" w:rsidRDefault="00356F6E" w:rsidP="00D707AB">
      <w:pPr>
        <w:tabs>
          <w:tab w:val="left" w:pos="708"/>
        </w:tabs>
        <w:spacing w:after="0"/>
        <w:rPr>
          <w:szCs w:val="22"/>
          <w:u w:val="single"/>
          <w:lang w:val="cs-CZ" w:eastAsia="en-US"/>
        </w:rPr>
      </w:pPr>
    </w:p>
    <w:p w14:paraId="7D457579" w14:textId="77777777" w:rsidR="00356F6E" w:rsidRPr="00CA33A2" w:rsidRDefault="00356F6E" w:rsidP="00CA33A2">
      <w:pPr>
        <w:pStyle w:val="GlobalBayerBodyText"/>
        <w:spacing w:before="0" w:after="0"/>
        <w:rPr>
          <w:szCs w:val="22"/>
          <w:u w:val="single"/>
          <w:lang w:val="cs-CZ"/>
        </w:rPr>
      </w:pPr>
      <w:r w:rsidRPr="00CA33A2">
        <w:rPr>
          <w:szCs w:val="22"/>
          <w:u w:val="single"/>
          <w:lang w:val="cs-CZ"/>
        </w:rPr>
        <w:t>Fertilita</w:t>
      </w:r>
    </w:p>
    <w:p w14:paraId="7D45757A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Nejsou k dispozici žádné údaje o účinku přípravku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 na fertilitu u člověka. Výsledky ze studií na zvířatech ukazují, že </w:t>
      </w:r>
      <w:proofErr w:type="spellStart"/>
      <w:r w:rsidRPr="003D520D">
        <w:rPr>
          <w:sz w:val="22"/>
          <w:szCs w:val="22"/>
          <w:lang w:val="cs-CZ"/>
        </w:rPr>
        <w:t>regorafenib</w:t>
      </w:r>
      <w:proofErr w:type="spellEnd"/>
      <w:r w:rsidRPr="003D520D">
        <w:rPr>
          <w:sz w:val="22"/>
          <w:szCs w:val="22"/>
          <w:lang w:val="cs-CZ"/>
        </w:rPr>
        <w:t xml:space="preserve"> může </w:t>
      </w:r>
      <w:r w:rsidR="00AE069F" w:rsidRPr="003D520D">
        <w:rPr>
          <w:sz w:val="22"/>
          <w:szCs w:val="22"/>
          <w:lang w:val="cs-CZ"/>
        </w:rPr>
        <w:t>poškodit</w:t>
      </w:r>
      <w:r w:rsidRPr="003D520D">
        <w:rPr>
          <w:sz w:val="22"/>
          <w:szCs w:val="22"/>
          <w:lang w:val="cs-CZ"/>
        </w:rPr>
        <w:t xml:space="preserve"> mužskou a ženskou fertilitu (viz bod</w:t>
      </w:r>
      <w:r w:rsidR="0045563C" w:rsidRPr="003D520D">
        <w:rPr>
          <w:sz w:val="22"/>
          <w:szCs w:val="22"/>
          <w:lang w:val="cs-CZ"/>
        </w:rPr>
        <w:t> 5</w:t>
      </w:r>
      <w:r w:rsidRPr="003D520D">
        <w:rPr>
          <w:sz w:val="22"/>
          <w:szCs w:val="22"/>
          <w:lang w:val="cs-CZ"/>
        </w:rPr>
        <w:t xml:space="preserve">.3). </w:t>
      </w:r>
    </w:p>
    <w:p w14:paraId="7D45757B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57C" w14:textId="77777777" w:rsidR="00356F6E" w:rsidRPr="00CA33A2" w:rsidRDefault="00356F6E" w:rsidP="0001612B">
      <w:pPr>
        <w:pStyle w:val="Textkomente"/>
        <w:keepNext/>
        <w:keepLines/>
        <w:spacing w:after="0"/>
        <w:outlineLvl w:val="2"/>
        <w:rPr>
          <w:b/>
          <w:bCs/>
          <w:sz w:val="22"/>
          <w:szCs w:val="22"/>
          <w:lang w:val="cs-CZ"/>
        </w:rPr>
      </w:pPr>
      <w:r w:rsidRPr="00CA33A2">
        <w:rPr>
          <w:b/>
          <w:bCs/>
          <w:sz w:val="22"/>
          <w:szCs w:val="22"/>
          <w:lang w:val="cs-CZ"/>
        </w:rPr>
        <w:lastRenderedPageBreak/>
        <w:t>4.7</w:t>
      </w:r>
      <w:r w:rsidRPr="00CA33A2">
        <w:rPr>
          <w:b/>
          <w:bCs/>
          <w:sz w:val="22"/>
          <w:szCs w:val="22"/>
          <w:lang w:val="cs-CZ"/>
        </w:rPr>
        <w:tab/>
        <w:t>Účinky na schopnost řídit a obsluhovat stroje</w:t>
      </w:r>
    </w:p>
    <w:p w14:paraId="7D45757D" w14:textId="77777777" w:rsidR="00356F6E" w:rsidRPr="003D520D" w:rsidRDefault="00356F6E" w:rsidP="00D707AB">
      <w:pPr>
        <w:keepNext/>
        <w:keepLines/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57E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Nebyly provedeny žádné studie hodnotící účinky přípravku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 na schopnost řídit nebo obsluhovat stroje.</w:t>
      </w:r>
      <w:r w:rsidR="00614A86" w:rsidRPr="003D520D">
        <w:rPr>
          <w:sz w:val="22"/>
          <w:szCs w:val="22"/>
          <w:lang w:val="cs-CZ"/>
        </w:rPr>
        <w:t xml:space="preserve"> Pokud se u pacientů objeví během léčby přípravkem </w:t>
      </w:r>
      <w:proofErr w:type="spellStart"/>
      <w:r w:rsidR="00614A86" w:rsidRPr="003D520D">
        <w:rPr>
          <w:sz w:val="22"/>
          <w:szCs w:val="22"/>
          <w:lang w:val="cs-CZ"/>
        </w:rPr>
        <w:t>Stivarga</w:t>
      </w:r>
      <w:proofErr w:type="spellEnd"/>
      <w:r w:rsidR="00614A86" w:rsidRPr="003D520D">
        <w:rPr>
          <w:sz w:val="22"/>
          <w:szCs w:val="22"/>
          <w:lang w:val="cs-CZ"/>
        </w:rPr>
        <w:t xml:space="preserve"> příznaky, které ovlivňují jejich schopnost se soustředit a reagovat, doporučuje se, aby neřídili nebo neobsluhovali stroje, dokud příznaky neodezní.</w:t>
      </w:r>
    </w:p>
    <w:p w14:paraId="7D45757F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580" w14:textId="77777777" w:rsidR="00356F6E" w:rsidRPr="00CA33A2" w:rsidRDefault="00356F6E" w:rsidP="0001612B">
      <w:pPr>
        <w:pStyle w:val="Textkomente"/>
        <w:keepNext/>
        <w:keepLines/>
        <w:spacing w:after="0"/>
        <w:outlineLvl w:val="2"/>
        <w:rPr>
          <w:b/>
          <w:bCs/>
          <w:sz w:val="22"/>
          <w:szCs w:val="22"/>
          <w:lang w:val="cs-CZ"/>
        </w:rPr>
      </w:pPr>
      <w:r w:rsidRPr="00CA33A2">
        <w:rPr>
          <w:b/>
          <w:bCs/>
          <w:sz w:val="22"/>
          <w:szCs w:val="22"/>
          <w:lang w:val="cs-CZ"/>
        </w:rPr>
        <w:t>4.8</w:t>
      </w:r>
      <w:r w:rsidRPr="00CA33A2">
        <w:rPr>
          <w:b/>
          <w:bCs/>
          <w:sz w:val="22"/>
          <w:szCs w:val="22"/>
          <w:lang w:val="cs-CZ"/>
        </w:rPr>
        <w:tab/>
      </w:r>
      <w:proofErr w:type="spellStart"/>
      <w:r w:rsidRPr="00CA33A2">
        <w:rPr>
          <w:b/>
          <w:bCs/>
          <w:sz w:val="22"/>
          <w:szCs w:val="22"/>
          <w:lang w:val="cs-CZ"/>
        </w:rPr>
        <w:t>Než</w:t>
      </w:r>
      <w:r w:rsidR="001C40B8">
        <w:rPr>
          <w:b/>
          <w:bCs/>
          <w:sz w:val="22"/>
          <w:szCs w:val="22"/>
          <w:lang w:val="cs-CZ"/>
        </w:rPr>
        <w:t>n</w:t>
      </w:r>
      <w:r w:rsidRPr="00CA33A2">
        <w:rPr>
          <w:b/>
          <w:bCs/>
          <w:sz w:val="22"/>
          <w:szCs w:val="22"/>
          <w:lang w:val="cs-CZ"/>
        </w:rPr>
        <w:t>ádoucí</w:t>
      </w:r>
      <w:proofErr w:type="spellEnd"/>
      <w:r w:rsidRPr="00CA33A2">
        <w:rPr>
          <w:b/>
          <w:bCs/>
          <w:sz w:val="22"/>
          <w:szCs w:val="22"/>
          <w:lang w:val="cs-CZ"/>
        </w:rPr>
        <w:t xml:space="preserve"> účinky</w:t>
      </w:r>
    </w:p>
    <w:p w14:paraId="7D457581" w14:textId="77777777" w:rsidR="00356F6E" w:rsidRPr="003D520D" w:rsidRDefault="00356F6E" w:rsidP="00D707AB">
      <w:pPr>
        <w:keepNext/>
        <w:keepLines/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582" w14:textId="77777777" w:rsidR="00356F6E" w:rsidRPr="003D520D" w:rsidRDefault="00356F6E" w:rsidP="00CA33A2">
      <w:pPr>
        <w:pStyle w:val="GlobalBayerBodyText"/>
        <w:spacing w:before="0" w:after="0"/>
        <w:rPr>
          <w:szCs w:val="22"/>
          <w:u w:val="single"/>
          <w:lang w:val="cs-CZ"/>
        </w:rPr>
      </w:pPr>
      <w:r w:rsidRPr="00CA33A2">
        <w:rPr>
          <w:szCs w:val="22"/>
          <w:u w:val="single"/>
          <w:lang w:val="cs-CZ"/>
        </w:rPr>
        <w:t>Souhrn bezpečnostního profilu</w:t>
      </w:r>
    </w:p>
    <w:p w14:paraId="7D457583" w14:textId="77777777" w:rsidR="00356F6E" w:rsidRPr="003D520D" w:rsidRDefault="00356F6E" w:rsidP="00D707AB">
      <w:pPr>
        <w:autoSpaceDE w:val="0"/>
        <w:autoSpaceDN w:val="0"/>
        <w:adjustRightInd w:val="0"/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Celkový bezpečnostní profil přípravku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vychází z údajů od více než </w:t>
      </w:r>
      <w:r w:rsidR="000E1C60">
        <w:rPr>
          <w:szCs w:val="22"/>
          <w:lang w:val="cs-CZ"/>
        </w:rPr>
        <w:t>4 800</w:t>
      </w:r>
      <w:r w:rsidR="00903EA9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 xml:space="preserve">pacientů v klinických studiích zahrnujících </w:t>
      </w:r>
      <w:r w:rsidR="00C0584C" w:rsidRPr="003D520D">
        <w:rPr>
          <w:szCs w:val="22"/>
          <w:lang w:val="cs-CZ"/>
        </w:rPr>
        <w:t xml:space="preserve">data </w:t>
      </w:r>
      <w:proofErr w:type="gramStart"/>
      <w:r w:rsidR="00C0584C" w:rsidRPr="003D520D">
        <w:rPr>
          <w:szCs w:val="22"/>
          <w:lang w:val="cs-CZ"/>
        </w:rPr>
        <w:t>z</w:t>
      </w:r>
      <w:proofErr w:type="gramEnd"/>
      <w:r w:rsidR="00C0584C" w:rsidRPr="003D520D">
        <w:rPr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>placebem kontrolovaných studií fáze</w:t>
      </w:r>
      <w:r w:rsidR="00CD7B13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III</w:t>
      </w:r>
      <w:r w:rsidR="00C0584C" w:rsidRPr="003D520D">
        <w:rPr>
          <w:szCs w:val="22"/>
          <w:lang w:val="cs-CZ"/>
        </w:rPr>
        <w:t xml:space="preserve"> u </w:t>
      </w:r>
      <w:r w:rsidR="000E1C60">
        <w:rPr>
          <w:szCs w:val="22"/>
          <w:lang w:val="cs-CZ"/>
        </w:rPr>
        <w:t>636</w:t>
      </w:r>
      <w:r w:rsidR="00C0584C" w:rsidRPr="003D520D">
        <w:rPr>
          <w:szCs w:val="22"/>
          <w:lang w:val="cs-CZ"/>
        </w:rPr>
        <w:t> pacientů s metastazujícím kolorektálním karcinomem (CRC)</w:t>
      </w:r>
      <w:r w:rsidR="000E1C60">
        <w:rPr>
          <w:szCs w:val="22"/>
          <w:lang w:val="cs-CZ"/>
        </w:rPr>
        <w:t>, u</w:t>
      </w:r>
      <w:r w:rsidR="00C0584C" w:rsidRPr="003D520D">
        <w:rPr>
          <w:szCs w:val="22"/>
          <w:lang w:val="cs-CZ"/>
        </w:rPr>
        <w:t xml:space="preserve"> 132 pacientů s gastrointestinálními </w:t>
      </w:r>
      <w:proofErr w:type="spellStart"/>
      <w:r w:rsidR="00C0584C" w:rsidRPr="003D520D">
        <w:rPr>
          <w:szCs w:val="22"/>
          <w:lang w:val="cs-CZ"/>
        </w:rPr>
        <w:t>stromálními</w:t>
      </w:r>
      <w:proofErr w:type="spellEnd"/>
      <w:r w:rsidR="00C0584C" w:rsidRPr="003D520D">
        <w:rPr>
          <w:szCs w:val="22"/>
          <w:lang w:val="cs-CZ"/>
        </w:rPr>
        <w:t xml:space="preserve"> nádory (GIST)</w:t>
      </w:r>
      <w:r w:rsidR="000E1C60">
        <w:rPr>
          <w:szCs w:val="22"/>
          <w:lang w:val="cs-CZ"/>
        </w:rPr>
        <w:t xml:space="preserve"> a u 374 pacientů s hepatocelulárním karcinomem (HCC)</w:t>
      </w:r>
      <w:r w:rsidRPr="003D520D">
        <w:rPr>
          <w:szCs w:val="22"/>
          <w:lang w:val="cs-CZ"/>
        </w:rPr>
        <w:t>.</w:t>
      </w:r>
    </w:p>
    <w:p w14:paraId="7D457584" w14:textId="77777777" w:rsidR="00356F6E" w:rsidRPr="003D520D" w:rsidRDefault="00356F6E" w:rsidP="00D707AB">
      <w:pPr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585" w14:textId="77777777" w:rsidR="00182E0F" w:rsidRPr="00182E0F" w:rsidRDefault="00182E0F" w:rsidP="00D707AB">
      <w:pPr>
        <w:pStyle w:val="Normlnweb"/>
        <w:spacing w:before="0" w:beforeAutospacing="0" w:after="140" w:afterAutospacing="0" w:line="280" w:lineRule="atLeast"/>
        <w:rPr>
          <w:sz w:val="22"/>
          <w:szCs w:val="22"/>
          <w:lang w:val="cs-CZ"/>
        </w:rPr>
      </w:pPr>
      <w:r w:rsidRPr="00182E0F">
        <w:rPr>
          <w:sz w:val="22"/>
          <w:szCs w:val="22"/>
          <w:lang w:val="cs-CZ"/>
        </w:rPr>
        <w:t xml:space="preserve">Bezpečnostní </w:t>
      </w:r>
      <w:proofErr w:type="spellStart"/>
      <w:r w:rsidRPr="00182E0F">
        <w:rPr>
          <w:sz w:val="22"/>
          <w:szCs w:val="22"/>
          <w:lang w:val="cs-CZ"/>
        </w:rPr>
        <w:t>profíl</w:t>
      </w:r>
      <w:proofErr w:type="spellEnd"/>
      <w:r w:rsidRPr="00182E0F">
        <w:rPr>
          <w:sz w:val="22"/>
          <w:szCs w:val="22"/>
          <w:lang w:val="cs-CZ"/>
        </w:rPr>
        <w:t xml:space="preserve"> </w:t>
      </w:r>
      <w:proofErr w:type="spellStart"/>
      <w:r w:rsidRPr="00182E0F">
        <w:rPr>
          <w:sz w:val="22"/>
          <w:szCs w:val="22"/>
          <w:lang w:val="cs-CZ"/>
        </w:rPr>
        <w:t>regorafenibu</w:t>
      </w:r>
      <w:proofErr w:type="spellEnd"/>
      <w:r w:rsidRPr="00182E0F">
        <w:rPr>
          <w:sz w:val="22"/>
          <w:szCs w:val="22"/>
          <w:lang w:val="cs-CZ"/>
        </w:rPr>
        <w:t xml:space="preserve"> v těchto studiích byl v souladu s bezpečnostními výsledky studie fáze III B provedené u 2872 pacientů s metasta</w:t>
      </w:r>
      <w:r w:rsidR="00E907DB">
        <w:rPr>
          <w:sz w:val="22"/>
          <w:szCs w:val="22"/>
          <w:lang w:val="cs-CZ"/>
        </w:rPr>
        <w:t>zujícím</w:t>
      </w:r>
      <w:r w:rsidRPr="00182E0F">
        <w:rPr>
          <w:sz w:val="22"/>
          <w:szCs w:val="22"/>
          <w:lang w:val="cs-CZ"/>
        </w:rPr>
        <w:t xml:space="preserve"> kolorektálním karcinomem, jejichž nemoc progredovala po léčbě standardními terapiemi.</w:t>
      </w:r>
    </w:p>
    <w:p w14:paraId="7D457586" w14:textId="77777777" w:rsidR="00356F6E" w:rsidRPr="003D520D" w:rsidRDefault="00356F6E" w:rsidP="00D707AB">
      <w:pPr>
        <w:spacing w:after="0"/>
        <w:rPr>
          <w:szCs w:val="22"/>
          <w:lang w:val="cs-CZ"/>
        </w:rPr>
      </w:pPr>
      <w:r w:rsidRPr="003D520D">
        <w:rPr>
          <w:b/>
          <w:szCs w:val="22"/>
          <w:lang w:val="cs-CZ"/>
        </w:rPr>
        <w:t>Nej</w:t>
      </w:r>
      <w:r w:rsidRPr="003D520D">
        <w:rPr>
          <w:b/>
          <w:bCs/>
          <w:szCs w:val="22"/>
          <w:lang w:val="cs-CZ"/>
        </w:rPr>
        <w:t>závažnějšími</w:t>
      </w:r>
      <w:r w:rsidRPr="003D520D">
        <w:rPr>
          <w:szCs w:val="22"/>
          <w:lang w:val="cs-CZ"/>
        </w:rPr>
        <w:t xml:space="preserve"> nežádoucími účinky u pacientů léčených přípravkem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jsou závažné poškození jater, krvácení</w:t>
      </w:r>
      <w:r w:rsidR="000E1C60">
        <w:rPr>
          <w:szCs w:val="22"/>
          <w:lang w:val="cs-CZ"/>
        </w:rPr>
        <w:t>,</w:t>
      </w:r>
      <w:r w:rsidRPr="003D520D">
        <w:rPr>
          <w:szCs w:val="22"/>
          <w:lang w:val="cs-CZ"/>
        </w:rPr>
        <w:t xml:space="preserve"> gastrointestinální perforace</w:t>
      </w:r>
      <w:r w:rsidR="000E1C60">
        <w:rPr>
          <w:szCs w:val="22"/>
          <w:lang w:val="cs-CZ"/>
        </w:rPr>
        <w:t xml:space="preserve"> a infekce</w:t>
      </w:r>
      <w:r w:rsidRPr="003D520D">
        <w:rPr>
          <w:szCs w:val="22"/>
          <w:lang w:val="cs-CZ"/>
        </w:rPr>
        <w:t>.</w:t>
      </w:r>
    </w:p>
    <w:p w14:paraId="7D457587" w14:textId="77777777" w:rsidR="00E94FCC" w:rsidRPr="003D520D" w:rsidRDefault="00E94FCC" w:rsidP="00D707AB">
      <w:pPr>
        <w:spacing w:after="0"/>
        <w:rPr>
          <w:szCs w:val="22"/>
          <w:lang w:val="cs-CZ"/>
        </w:rPr>
      </w:pPr>
    </w:p>
    <w:p w14:paraId="7D457588" w14:textId="77777777" w:rsidR="00CA33A2" w:rsidRDefault="00E94FCC" w:rsidP="00CA33A2">
      <w:pPr>
        <w:spacing w:after="0"/>
        <w:rPr>
          <w:szCs w:val="22"/>
          <w:lang w:val="cs-CZ"/>
        </w:rPr>
      </w:pPr>
      <w:r w:rsidRPr="003D520D">
        <w:rPr>
          <w:b/>
          <w:szCs w:val="22"/>
          <w:lang w:val="cs-CZ"/>
        </w:rPr>
        <w:t>Nej</w:t>
      </w:r>
      <w:r w:rsidRPr="003D520D">
        <w:rPr>
          <w:b/>
          <w:bCs/>
          <w:szCs w:val="22"/>
          <w:lang w:val="cs-CZ"/>
        </w:rPr>
        <w:t>častěji</w:t>
      </w:r>
      <w:r w:rsidRPr="003D520D">
        <w:rPr>
          <w:szCs w:val="22"/>
          <w:lang w:val="cs-CZ"/>
        </w:rPr>
        <w:t xml:space="preserve"> pozorovanými nežádoucími účinky (≥</w:t>
      </w:r>
      <w:r w:rsidR="004B35D9" w:rsidRPr="003D520D">
        <w:rPr>
          <w:szCs w:val="22"/>
          <w:lang w:val="cs-CZ"/>
        </w:rPr>
        <w:t> 30 </w:t>
      </w:r>
      <w:r w:rsidRPr="003D520D">
        <w:rPr>
          <w:szCs w:val="22"/>
          <w:lang w:val="cs-CZ"/>
        </w:rPr>
        <w:t xml:space="preserve">%) u pacientů léčených přípravkem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jsou </w:t>
      </w:r>
      <w:r w:rsidR="000E1C60">
        <w:rPr>
          <w:szCs w:val="22"/>
          <w:lang w:val="cs-CZ"/>
        </w:rPr>
        <w:t>bolest,</w:t>
      </w:r>
      <w:r w:rsidR="00325442" w:rsidRPr="003D520D">
        <w:rPr>
          <w:szCs w:val="22"/>
          <w:lang w:val="cs-CZ"/>
        </w:rPr>
        <w:t xml:space="preserve"> </w:t>
      </w:r>
      <w:r w:rsidR="00423A6C" w:rsidRPr="003D520D">
        <w:rPr>
          <w:szCs w:val="22"/>
          <w:lang w:val="cs-CZ"/>
        </w:rPr>
        <w:t xml:space="preserve">kožní </w:t>
      </w:r>
      <w:r w:rsidR="00325442" w:rsidRPr="003D520D">
        <w:rPr>
          <w:szCs w:val="22"/>
          <w:lang w:val="cs-CZ"/>
        </w:rPr>
        <w:t>reakce ruka</w:t>
      </w:r>
      <w:r w:rsidR="00423A6C" w:rsidRPr="003D520D">
        <w:rPr>
          <w:szCs w:val="22"/>
          <w:lang w:val="cs-CZ"/>
        </w:rPr>
        <w:t>-</w:t>
      </w:r>
      <w:r w:rsidR="00325442" w:rsidRPr="003D520D">
        <w:rPr>
          <w:szCs w:val="22"/>
          <w:lang w:val="cs-CZ"/>
        </w:rPr>
        <w:t xml:space="preserve">noha, </w:t>
      </w:r>
      <w:r w:rsidR="000E1C60">
        <w:rPr>
          <w:szCs w:val="22"/>
          <w:lang w:val="cs-CZ"/>
        </w:rPr>
        <w:t xml:space="preserve">astenie/únava, </w:t>
      </w:r>
      <w:r w:rsidR="00325442" w:rsidRPr="003D520D">
        <w:rPr>
          <w:szCs w:val="22"/>
          <w:lang w:val="cs-CZ"/>
        </w:rPr>
        <w:t>průjem,</w:t>
      </w:r>
      <w:r w:rsidRPr="003D520D">
        <w:rPr>
          <w:szCs w:val="22"/>
          <w:lang w:val="cs-CZ"/>
        </w:rPr>
        <w:t xml:space="preserve"> snížení chuti k jídlu a příjmu potravy, hypertenze</w:t>
      </w:r>
      <w:r w:rsidR="00423A6C" w:rsidRPr="003D520D">
        <w:rPr>
          <w:szCs w:val="22"/>
          <w:lang w:val="cs-CZ"/>
        </w:rPr>
        <w:t xml:space="preserve"> a infekce</w:t>
      </w:r>
      <w:r w:rsidRPr="003D520D">
        <w:rPr>
          <w:szCs w:val="22"/>
          <w:lang w:val="cs-CZ"/>
        </w:rPr>
        <w:t>.</w:t>
      </w:r>
    </w:p>
    <w:p w14:paraId="7D457589" w14:textId="77777777" w:rsidR="00CA33A2" w:rsidRDefault="00CA33A2" w:rsidP="00CA33A2">
      <w:pPr>
        <w:spacing w:after="0"/>
        <w:rPr>
          <w:szCs w:val="22"/>
          <w:lang w:val="cs-CZ"/>
        </w:rPr>
      </w:pPr>
    </w:p>
    <w:p w14:paraId="7D45758A" w14:textId="77777777" w:rsidR="00356F6E" w:rsidRPr="00CA33A2" w:rsidRDefault="00356F6E" w:rsidP="00CA33A2">
      <w:pPr>
        <w:spacing w:after="0"/>
        <w:rPr>
          <w:iCs/>
          <w:szCs w:val="22"/>
          <w:lang w:val="cs-CZ"/>
        </w:rPr>
      </w:pPr>
      <w:r w:rsidRPr="00CA33A2">
        <w:rPr>
          <w:iCs/>
          <w:szCs w:val="22"/>
          <w:u w:val="single"/>
          <w:lang w:val="cs-CZ" w:eastAsia="de-DE"/>
        </w:rPr>
        <w:t>Tabulkový seznam nežádoucích účinků</w:t>
      </w:r>
    </w:p>
    <w:p w14:paraId="7D45758B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Nežádoucí účinky </w:t>
      </w:r>
      <w:r w:rsidR="00E94FCC" w:rsidRPr="003D520D">
        <w:rPr>
          <w:sz w:val="22"/>
          <w:szCs w:val="22"/>
          <w:lang w:val="cs-CZ"/>
        </w:rPr>
        <w:t xml:space="preserve">hlášené v klinických studiích u pacientů léčených </w:t>
      </w:r>
      <w:r w:rsidRPr="003D520D">
        <w:rPr>
          <w:sz w:val="22"/>
          <w:szCs w:val="22"/>
          <w:lang w:val="cs-CZ"/>
        </w:rPr>
        <w:t>přípravk</w:t>
      </w:r>
      <w:r w:rsidR="00E94FCC" w:rsidRPr="003D520D">
        <w:rPr>
          <w:sz w:val="22"/>
          <w:szCs w:val="22"/>
          <w:lang w:val="cs-CZ"/>
        </w:rPr>
        <w:t>em</w:t>
      </w:r>
      <w:r w:rsidRPr="003D520D">
        <w:rPr>
          <w:sz w:val="22"/>
          <w:szCs w:val="22"/>
          <w:lang w:val="cs-CZ"/>
        </w:rPr>
        <w:t xml:space="preserve">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 jsou uvedeny v tabulce</w:t>
      </w:r>
      <w:r w:rsidR="00CD7B13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3. Jsou rozděleny podle třídy orgánov</w:t>
      </w:r>
      <w:r w:rsidR="00132A07" w:rsidRPr="003D520D">
        <w:rPr>
          <w:sz w:val="22"/>
          <w:szCs w:val="22"/>
          <w:lang w:val="cs-CZ"/>
        </w:rPr>
        <w:t>ých</w:t>
      </w:r>
      <w:r w:rsidRPr="003D520D">
        <w:rPr>
          <w:sz w:val="22"/>
          <w:szCs w:val="22"/>
          <w:lang w:val="cs-CZ"/>
        </w:rPr>
        <w:t xml:space="preserve"> systém</w:t>
      </w:r>
      <w:r w:rsidR="00132A07" w:rsidRPr="003D520D">
        <w:rPr>
          <w:sz w:val="22"/>
          <w:szCs w:val="22"/>
          <w:lang w:val="cs-CZ"/>
        </w:rPr>
        <w:t>ů</w:t>
      </w:r>
      <w:r w:rsidRPr="003D520D">
        <w:rPr>
          <w:sz w:val="22"/>
          <w:szCs w:val="22"/>
          <w:lang w:val="cs-CZ"/>
        </w:rPr>
        <w:t xml:space="preserve"> </w:t>
      </w:r>
      <w:r w:rsidR="00E94FCC" w:rsidRPr="003D520D">
        <w:rPr>
          <w:sz w:val="22"/>
          <w:szCs w:val="22"/>
          <w:lang w:val="cs-CZ"/>
        </w:rPr>
        <w:t>a p</w:t>
      </w:r>
      <w:r w:rsidRPr="003D520D">
        <w:rPr>
          <w:sz w:val="22"/>
          <w:szCs w:val="22"/>
          <w:lang w:val="cs-CZ"/>
        </w:rPr>
        <w:t>ro popis určité</w:t>
      </w:r>
      <w:r w:rsidR="004B13FB" w:rsidRPr="003D520D">
        <w:rPr>
          <w:sz w:val="22"/>
          <w:szCs w:val="22"/>
          <w:lang w:val="cs-CZ"/>
        </w:rPr>
        <w:t>ho účinku</w:t>
      </w:r>
      <w:r w:rsidR="00132A07" w:rsidRPr="003D520D">
        <w:rPr>
          <w:sz w:val="22"/>
          <w:szCs w:val="22"/>
          <w:lang w:val="cs-CZ"/>
        </w:rPr>
        <w:t xml:space="preserve">, </w:t>
      </w:r>
      <w:r w:rsidR="00372EAE" w:rsidRPr="003D520D">
        <w:rPr>
          <w:sz w:val="22"/>
          <w:szCs w:val="22"/>
          <w:lang w:val="cs-CZ"/>
        </w:rPr>
        <w:t>jeho</w:t>
      </w:r>
      <w:r w:rsidR="00132A07" w:rsidRPr="003D520D">
        <w:rPr>
          <w:sz w:val="22"/>
          <w:szCs w:val="22"/>
          <w:lang w:val="cs-CZ"/>
        </w:rPr>
        <w:t xml:space="preserve"> synonym a přidružených stavů</w:t>
      </w:r>
      <w:r w:rsidRPr="003D520D">
        <w:rPr>
          <w:sz w:val="22"/>
          <w:szCs w:val="22"/>
          <w:lang w:val="cs-CZ"/>
        </w:rPr>
        <w:t xml:space="preserve"> se používá nejvhodnější </w:t>
      </w:r>
      <w:r w:rsidR="00132A07" w:rsidRPr="003D520D">
        <w:rPr>
          <w:sz w:val="22"/>
          <w:szCs w:val="22"/>
          <w:lang w:val="cs-CZ"/>
        </w:rPr>
        <w:t>termín</w:t>
      </w:r>
      <w:r w:rsidRPr="003D520D">
        <w:rPr>
          <w:sz w:val="22"/>
          <w:szCs w:val="22"/>
          <w:lang w:val="cs-CZ"/>
        </w:rPr>
        <w:t xml:space="preserve"> </w:t>
      </w:r>
      <w:proofErr w:type="spellStart"/>
      <w:r w:rsidRPr="003D520D">
        <w:rPr>
          <w:sz w:val="22"/>
          <w:szCs w:val="22"/>
          <w:lang w:val="cs-CZ"/>
        </w:rPr>
        <w:t>MedDRA</w:t>
      </w:r>
      <w:proofErr w:type="spellEnd"/>
      <w:r w:rsidRPr="003D520D">
        <w:rPr>
          <w:sz w:val="22"/>
          <w:szCs w:val="22"/>
          <w:lang w:val="cs-CZ"/>
        </w:rPr>
        <w:t xml:space="preserve">. </w:t>
      </w:r>
    </w:p>
    <w:p w14:paraId="7D45758C" w14:textId="77777777" w:rsidR="00356F6E" w:rsidRPr="003D520D" w:rsidRDefault="00356F6E" w:rsidP="00D707AB">
      <w:pPr>
        <w:tabs>
          <w:tab w:val="left" w:pos="567"/>
        </w:tabs>
        <w:spacing w:after="0"/>
        <w:rPr>
          <w:szCs w:val="22"/>
          <w:lang w:val="cs-CZ" w:eastAsia="en-US"/>
        </w:rPr>
      </w:pPr>
      <w:r w:rsidRPr="003D520D">
        <w:rPr>
          <w:szCs w:val="22"/>
          <w:lang w:val="cs-CZ"/>
        </w:rPr>
        <w:t xml:space="preserve">Nežádoucí účinky jsou seskupeny podle </w:t>
      </w:r>
      <w:r w:rsidR="004B13FB" w:rsidRPr="003D520D">
        <w:rPr>
          <w:szCs w:val="22"/>
          <w:lang w:val="cs-CZ"/>
        </w:rPr>
        <w:t>svých</w:t>
      </w:r>
      <w:r w:rsidRPr="003D520D">
        <w:rPr>
          <w:szCs w:val="22"/>
          <w:lang w:val="cs-CZ"/>
        </w:rPr>
        <w:t xml:space="preserve"> frekvencí. Skupiny četnosti jsou definované podle následující konvence: velmi časté </w:t>
      </w:r>
      <w:r w:rsidR="00E94FCC" w:rsidRPr="003D520D">
        <w:rPr>
          <w:szCs w:val="22"/>
          <w:lang w:val="cs-CZ" w:eastAsia="en-US"/>
        </w:rPr>
        <w:t>(</w:t>
      </w:r>
      <w:r w:rsidR="00A93DFE" w:rsidRPr="003D520D">
        <w:rPr>
          <w:szCs w:val="22"/>
          <w:lang w:val="cs-CZ" w:eastAsia="en-US"/>
        </w:rPr>
        <w:t>≥</w:t>
      </w:r>
      <w:r w:rsidR="000F3607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/>
        </w:rPr>
        <w:t>1/10</w:t>
      </w:r>
      <w:r w:rsidR="00E94FCC" w:rsidRPr="003D520D">
        <w:rPr>
          <w:szCs w:val="22"/>
          <w:lang w:val="cs-CZ"/>
        </w:rPr>
        <w:t>)</w:t>
      </w:r>
      <w:r w:rsidRPr="003D520D">
        <w:rPr>
          <w:szCs w:val="22"/>
          <w:lang w:val="cs-CZ"/>
        </w:rPr>
        <w:t xml:space="preserve">; časté </w:t>
      </w:r>
      <w:r w:rsidR="00E94FCC" w:rsidRPr="003D520D">
        <w:rPr>
          <w:szCs w:val="22"/>
          <w:lang w:val="cs-CZ"/>
        </w:rPr>
        <w:t>(</w:t>
      </w:r>
      <w:r w:rsidR="00E94FCC" w:rsidRPr="003D520D">
        <w:rPr>
          <w:szCs w:val="22"/>
          <w:lang w:val="cs-CZ" w:eastAsia="en-US"/>
        </w:rPr>
        <w:t>≥</w:t>
      </w:r>
      <w:r w:rsidR="000F3607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/>
        </w:rPr>
        <w:t xml:space="preserve">1/100 až </w:t>
      </w:r>
      <w:proofErr w:type="gramStart"/>
      <w:r w:rsidRPr="003D520D">
        <w:rPr>
          <w:szCs w:val="22"/>
          <w:lang w:val="cs-CZ"/>
        </w:rPr>
        <w:t>&lt;</w:t>
      </w:r>
      <w:r w:rsidR="000F3607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1</w:t>
      </w:r>
      <w:proofErr w:type="gramEnd"/>
      <w:r w:rsidRPr="003D520D">
        <w:rPr>
          <w:szCs w:val="22"/>
          <w:lang w:val="cs-CZ"/>
        </w:rPr>
        <w:t>/10</w:t>
      </w:r>
      <w:r w:rsidR="00E94FCC" w:rsidRPr="003D520D">
        <w:rPr>
          <w:szCs w:val="22"/>
          <w:lang w:val="cs-CZ"/>
        </w:rPr>
        <w:t>)</w:t>
      </w:r>
      <w:r w:rsidRPr="003D520D">
        <w:rPr>
          <w:szCs w:val="22"/>
          <w:lang w:val="cs-CZ"/>
        </w:rPr>
        <w:t xml:space="preserve">; méně časté </w:t>
      </w:r>
      <w:r w:rsidR="00E94FCC" w:rsidRPr="003D520D">
        <w:rPr>
          <w:szCs w:val="22"/>
          <w:lang w:val="cs-CZ"/>
        </w:rPr>
        <w:t>(</w:t>
      </w:r>
      <w:r w:rsidR="004B13FB" w:rsidRPr="003D520D">
        <w:rPr>
          <w:szCs w:val="22"/>
          <w:lang w:val="cs-CZ" w:eastAsia="en-US"/>
        </w:rPr>
        <w:t>≥</w:t>
      </w:r>
      <w:r w:rsidR="000F3607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/>
        </w:rPr>
        <w:t>1/1</w:t>
      </w:r>
      <w:r w:rsidR="00CD7B13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 xml:space="preserve">000 až </w:t>
      </w:r>
      <w:proofErr w:type="gramStart"/>
      <w:r w:rsidRPr="003D520D">
        <w:rPr>
          <w:szCs w:val="22"/>
          <w:lang w:val="cs-CZ"/>
        </w:rPr>
        <w:t>&lt;</w:t>
      </w:r>
      <w:r w:rsidR="000F3607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1</w:t>
      </w:r>
      <w:proofErr w:type="gramEnd"/>
      <w:r w:rsidRPr="003D520D">
        <w:rPr>
          <w:szCs w:val="22"/>
          <w:lang w:val="cs-CZ"/>
        </w:rPr>
        <w:t>/100</w:t>
      </w:r>
      <w:proofErr w:type="gramStart"/>
      <w:r w:rsidR="00E94FCC" w:rsidRPr="003D520D">
        <w:rPr>
          <w:szCs w:val="22"/>
          <w:lang w:val="cs-CZ"/>
        </w:rPr>
        <w:t>)</w:t>
      </w:r>
      <w:r w:rsidR="00297EDF">
        <w:rPr>
          <w:szCs w:val="22"/>
          <w:lang w:val="cs-CZ"/>
        </w:rPr>
        <w:t>;</w:t>
      </w:r>
      <w:r w:rsidR="00553F14" w:rsidRPr="003D520D">
        <w:rPr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 xml:space="preserve"> vzácné</w:t>
      </w:r>
      <w:proofErr w:type="gramEnd"/>
      <w:r w:rsidRPr="003D520D">
        <w:rPr>
          <w:szCs w:val="22"/>
          <w:lang w:val="cs-CZ"/>
        </w:rPr>
        <w:t xml:space="preserve"> </w:t>
      </w:r>
      <w:r w:rsidR="00E94FCC" w:rsidRPr="003D520D">
        <w:rPr>
          <w:szCs w:val="22"/>
          <w:lang w:val="cs-CZ"/>
        </w:rPr>
        <w:t>(</w:t>
      </w:r>
      <w:r w:rsidR="00E94FCC" w:rsidRPr="003D520D">
        <w:rPr>
          <w:szCs w:val="22"/>
          <w:lang w:val="cs-CZ" w:eastAsia="en-US"/>
        </w:rPr>
        <w:sym w:font="Symbol" w:char="F0B3"/>
      </w:r>
      <w:r w:rsidR="000F3607" w:rsidRPr="003D520D">
        <w:rPr>
          <w:szCs w:val="22"/>
          <w:lang w:val="cs-CZ" w:eastAsia="en-US"/>
        </w:rPr>
        <w:t> </w:t>
      </w:r>
      <w:r w:rsidRPr="003D520D">
        <w:rPr>
          <w:szCs w:val="22"/>
          <w:lang w:val="cs-CZ"/>
        </w:rPr>
        <w:t>1/10</w:t>
      </w:r>
      <w:r w:rsidR="00CD7B13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 xml:space="preserve">000 až </w:t>
      </w:r>
      <w:proofErr w:type="gramStart"/>
      <w:r w:rsidRPr="003D520D">
        <w:rPr>
          <w:szCs w:val="22"/>
          <w:lang w:val="cs-CZ"/>
        </w:rPr>
        <w:t>&lt;</w:t>
      </w:r>
      <w:r w:rsidR="000F3607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1</w:t>
      </w:r>
      <w:proofErr w:type="gramEnd"/>
      <w:r w:rsidRPr="003D520D">
        <w:rPr>
          <w:szCs w:val="22"/>
          <w:lang w:val="cs-CZ"/>
        </w:rPr>
        <w:t>/1</w:t>
      </w:r>
      <w:r w:rsidR="00CD7B13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000</w:t>
      </w:r>
      <w:r w:rsidR="00E94FCC" w:rsidRPr="003D520D">
        <w:rPr>
          <w:szCs w:val="22"/>
          <w:lang w:val="cs-CZ"/>
        </w:rPr>
        <w:t>)</w:t>
      </w:r>
      <w:r w:rsidR="00CD427B">
        <w:rPr>
          <w:szCs w:val="22"/>
          <w:lang w:val="cs-CZ"/>
        </w:rPr>
        <w:t xml:space="preserve"> a</w:t>
      </w:r>
      <w:r w:rsidR="006C276E">
        <w:rPr>
          <w:szCs w:val="22"/>
          <w:lang w:val="cs-CZ"/>
        </w:rPr>
        <w:t xml:space="preserve"> není známo (z dostupných údajů nelze určit). </w:t>
      </w:r>
    </w:p>
    <w:p w14:paraId="7D45758D" w14:textId="77777777" w:rsidR="00356F6E" w:rsidRPr="003D520D" w:rsidRDefault="00356F6E" w:rsidP="00D707AB">
      <w:pPr>
        <w:tabs>
          <w:tab w:val="left" w:pos="567"/>
        </w:tabs>
        <w:spacing w:after="0"/>
        <w:rPr>
          <w:szCs w:val="22"/>
          <w:lang w:val="cs-CZ" w:eastAsia="en-US"/>
        </w:rPr>
      </w:pPr>
    </w:p>
    <w:p w14:paraId="7D45758E" w14:textId="77777777" w:rsidR="00356F6E" w:rsidRPr="003D520D" w:rsidRDefault="00356F6E" w:rsidP="00D707AB">
      <w:pPr>
        <w:spacing w:after="0"/>
        <w:rPr>
          <w:szCs w:val="22"/>
          <w:lang w:val="cs-CZ" w:eastAsia="en-US"/>
        </w:rPr>
      </w:pPr>
      <w:r w:rsidRPr="003D520D">
        <w:rPr>
          <w:szCs w:val="22"/>
          <w:lang w:val="cs-CZ" w:eastAsia="en-US"/>
        </w:rPr>
        <w:t>V každé skupině četnosti jsou nežádoucí účinky uvedeny sestupně podle</w:t>
      </w:r>
      <w:r w:rsidR="00B2441D" w:rsidRPr="003D520D">
        <w:rPr>
          <w:szCs w:val="22"/>
          <w:lang w:val="cs-CZ" w:eastAsia="en-US"/>
        </w:rPr>
        <w:t xml:space="preserve"> klesající</w:t>
      </w:r>
      <w:r w:rsidRPr="003D520D">
        <w:rPr>
          <w:szCs w:val="22"/>
          <w:lang w:val="cs-CZ" w:eastAsia="en-US"/>
        </w:rPr>
        <w:t xml:space="preserve"> závažnosti.</w:t>
      </w:r>
    </w:p>
    <w:p w14:paraId="7D45758F" w14:textId="77777777" w:rsidR="00356F6E" w:rsidRPr="003D520D" w:rsidRDefault="00356F6E" w:rsidP="00D707AB">
      <w:pPr>
        <w:tabs>
          <w:tab w:val="left" w:pos="567"/>
        </w:tabs>
        <w:spacing w:after="0"/>
        <w:rPr>
          <w:szCs w:val="22"/>
          <w:lang w:val="cs-CZ" w:eastAsia="en-US"/>
        </w:rPr>
      </w:pPr>
    </w:p>
    <w:p w14:paraId="7D457590" w14:textId="6C24BB3D" w:rsidR="00356F6E" w:rsidRPr="003D520D" w:rsidRDefault="00356F6E" w:rsidP="00D707AB">
      <w:pPr>
        <w:pStyle w:val="Titulek"/>
        <w:keepNext/>
        <w:keepLines/>
        <w:spacing w:after="0"/>
        <w:jc w:val="left"/>
        <w:rPr>
          <w:b/>
          <w:i w:val="0"/>
          <w:sz w:val="22"/>
          <w:szCs w:val="22"/>
          <w:lang w:val="cs-CZ"/>
        </w:rPr>
      </w:pPr>
      <w:r w:rsidRPr="003D520D">
        <w:rPr>
          <w:b/>
          <w:i w:val="0"/>
          <w:sz w:val="22"/>
          <w:szCs w:val="22"/>
          <w:lang w:val="cs-CZ"/>
        </w:rPr>
        <w:t>Tabulka</w:t>
      </w:r>
      <w:r w:rsidR="00CD7B13" w:rsidRPr="003D520D">
        <w:rPr>
          <w:b/>
          <w:i w:val="0"/>
          <w:sz w:val="22"/>
          <w:szCs w:val="22"/>
          <w:lang w:val="cs-CZ"/>
        </w:rPr>
        <w:t> </w:t>
      </w:r>
      <w:r w:rsidRPr="003D520D">
        <w:rPr>
          <w:b/>
          <w:i w:val="0"/>
          <w:sz w:val="22"/>
          <w:szCs w:val="22"/>
          <w:lang w:val="cs-CZ"/>
        </w:rPr>
        <w:t>3: Nežádoucí účinky</w:t>
      </w:r>
      <w:r w:rsidR="00E94FCC" w:rsidRPr="003D520D">
        <w:rPr>
          <w:b/>
          <w:i w:val="0"/>
          <w:sz w:val="22"/>
          <w:szCs w:val="22"/>
          <w:lang w:val="cs-CZ"/>
        </w:rPr>
        <w:t xml:space="preserve"> (NÚ)</w:t>
      </w:r>
      <w:r w:rsidRPr="003D520D">
        <w:rPr>
          <w:b/>
          <w:i w:val="0"/>
          <w:sz w:val="22"/>
          <w:szCs w:val="22"/>
          <w:lang w:val="cs-CZ"/>
        </w:rPr>
        <w:t xml:space="preserve"> hlášené v klinických studiích</w:t>
      </w:r>
      <w:r w:rsidR="002C13D2">
        <w:rPr>
          <w:b/>
          <w:i w:val="0"/>
          <w:sz w:val="22"/>
          <w:szCs w:val="22"/>
          <w:lang w:val="cs-CZ"/>
        </w:rPr>
        <w:t xml:space="preserve"> </w:t>
      </w:r>
      <w:r w:rsidR="002C13D2" w:rsidRPr="002C13D2">
        <w:rPr>
          <w:b/>
          <w:i w:val="0"/>
          <w:sz w:val="22"/>
          <w:szCs w:val="22"/>
        </w:rPr>
        <w:t xml:space="preserve">a po </w:t>
      </w:r>
      <w:proofErr w:type="spellStart"/>
      <w:r w:rsidR="002C13D2" w:rsidRPr="002C13D2">
        <w:rPr>
          <w:b/>
          <w:i w:val="0"/>
          <w:sz w:val="22"/>
          <w:szCs w:val="22"/>
        </w:rPr>
        <w:t>uvedení</w:t>
      </w:r>
      <w:proofErr w:type="spellEnd"/>
      <w:r w:rsidR="002C13D2" w:rsidRPr="002C13D2">
        <w:rPr>
          <w:b/>
          <w:i w:val="0"/>
          <w:sz w:val="22"/>
          <w:szCs w:val="22"/>
        </w:rPr>
        <w:t xml:space="preserve"> </w:t>
      </w:r>
      <w:proofErr w:type="spellStart"/>
      <w:r w:rsidR="002C13D2" w:rsidRPr="002C13D2">
        <w:rPr>
          <w:b/>
          <w:i w:val="0"/>
          <w:sz w:val="22"/>
          <w:szCs w:val="22"/>
        </w:rPr>
        <w:t>na</w:t>
      </w:r>
      <w:proofErr w:type="spellEnd"/>
      <w:r w:rsidR="002C13D2" w:rsidRPr="002C13D2">
        <w:rPr>
          <w:b/>
          <w:i w:val="0"/>
          <w:sz w:val="22"/>
          <w:szCs w:val="22"/>
        </w:rPr>
        <w:t xml:space="preserve"> </w:t>
      </w:r>
      <w:proofErr w:type="spellStart"/>
      <w:r w:rsidR="002C13D2" w:rsidRPr="002C13D2">
        <w:rPr>
          <w:b/>
          <w:i w:val="0"/>
          <w:sz w:val="22"/>
          <w:szCs w:val="22"/>
        </w:rPr>
        <w:t>trh</w:t>
      </w:r>
      <w:proofErr w:type="spellEnd"/>
      <w:r w:rsidRPr="003D520D">
        <w:rPr>
          <w:b/>
          <w:i w:val="0"/>
          <w:sz w:val="22"/>
          <w:szCs w:val="22"/>
          <w:lang w:val="cs-CZ"/>
        </w:rPr>
        <w:t xml:space="preserve"> u pacientů léčených přípravkem </w:t>
      </w:r>
      <w:proofErr w:type="spellStart"/>
      <w:r w:rsidRPr="003D520D">
        <w:rPr>
          <w:b/>
          <w:i w:val="0"/>
          <w:sz w:val="22"/>
          <w:szCs w:val="22"/>
          <w:lang w:val="cs-CZ"/>
        </w:rPr>
        <w:t>Stivarga</w:t>
      </w:r>
      <w:proofErr w:type="spellEnd"/>
    </w:p>
    <w:p w14:paraId="7D457591" w14:textId="77777777" w:rsidR="00356F6E" w:rsidRPr="003D520D" w:rsidRDefault="00356F6E" w:rsidP="00D707AB">
      <w:pPr>
        <w:keepNext/>
        <w:keepLines/>
        <w:spacing w:after="0"/>
        <w:rPr>
          <w:szCs w:val="22"/>
          <w:lang w:val="cs-CZ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383"/>
        <w:gridCol w:w="1659"/>
        <w:gridCol w:w="1246"/>
        <w:gridCol w:w="1381"/>
        <w:gridCol w:w="1523"/>
      </w:tblGrid>
      <w:tr w:rsidR="003420DD" w:rsidRPr="003D520D" w14:paraId="7D457599" w14:textId="77777777" w:rsidTr="00E062F2">
        <w:trPr>
          <w:trHeight w:val="233"/>
          <w:tblHeader/>
        </w:trPr>
        <w:tc>
          <w:tcPr>
            <w:tcW w:w="937" w:type="pct"/>
            <w:vAlign w:val="center"/>
          </w:tcPr>
          <w:p w14:paraId="7D457592" w14:textId="77777777" w:rsidR="003420DD" w:rsidRPr="003D520D" w:rsidRDefault="003420DD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Třídy orgánových systémů</w:t>
            </w:r>
            <w:r w:rsidRPr="003D520D">
              <w:rPr>
                <w:bCs/>
                <w:szCs w:val="22"/>
                <w:lang w:val="cs-CZ"/>
              </w:rPr>
              <w:br/>
              <w:t>(</w:t>
            </w:r>
            <w:proofErr w:type="spellStart"/>
            <w:r w:rsidRPr="003D520D">
              <w:rPr>
                <w:bCs/>
                <w:szCs w:val="22"/>
                <w:lang w:val="cs-CZ"/>
              </w:rPr>
              <w:t>MedDRA</w:t>
            </w:r>
            <w:proofErr w:type="spellEnd"/>
            <w:r w:rsidRPr="003D520D">
              <w:rPr>
                <w:bCs/>
                <w:szCs w:val="22"/>
                <w:lang w:val="cs-CZ"/>
              </w:rPr>
              <w:t>)</w:t>
            </w:r>
          </w:p>
        </w:tc>
        <w:tc>
          <w:tcPr>
            <w:tcW w:w="781" w:type="pct"/>
            <w:vAlign w:val="center"/>
          </w:tcPr>
          <w:p w14:paraId="7D457593" w14:textId="77777777" w:rsidR="003420DD" w:rsidRPr="003D520D" w:rsidRDefault="003420DD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Velmi časté</w:t>
            </w:r>
          </w:p>
        </w:tc>
        <w:tc>
          <w:tcPr>
            <w:tcW w:w="937" w:type="pct"/>
            <w:vAlign w:val="center"/>
          </w:tcPr>
          <w:p w14:paraId="7D457594" w14:textId="77777777" w:rsidR="003420DD" w:rsidRPr="003D520D" w:rsidRDefault="003420DD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Časté</w:t>
            </w:r>
          </w:p>
        </w:tc>
        <w:tc>
          <w:tcPr>
            <w:tcW w:w="704" w:type="pct"/>
            <w:vAlign w:val="center"/>
          </w:tcPr>
          <w:p w14:paraId="7D457595" w14:textId="77777777" w:rsidR="003420DD" w:rsidRPr="003D520D" w:rsidRDefault="003420DD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Méně časté</w:t>
            </w:r>
          </w:p>
        </w:tc>
        <w:tc>
          <w:tcPr>
            <w:tcW w:w="780" w:type="pct"/>
            <w:vAlign w:val="center"/>
          </w:tcPr>
          <w:p w14:paraId="7D457596" w14:textId="77777777" w:rsidR="003420DD" w:rsidRPr="003D520D" w:rsidRDefault="003420DD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Vzácné</w:t>
            </w:r>
          </w:p>
        </w:tc>
        <w:tc>
          <w:tcPr>
            <w:tcW w:w="860" w:type="pct"/>
          </w:tcPr>
          <w:p w14:paraId="7D457597" w14:textId="77777777" w:rsidR="003420DD" w:rsidRDefault="003420DD" w:rsidP="00D707AB">
            <w:pPr>
              <w:pStyle w:val="BayerTableColumnHeadings"/>
              <w:keepNext/>
              <w:keepLines/>
              <w:rPr>
                <w:bCs/>
                <w:szCs w:val="22"/>
                <w:lang w:val="cs-CZ"/>
              </w:rPr>
            </w:pPr>
          </w:p>
          <w:p w14:paraId="7D457598" w14:textId="77777777" w:rsidR="003420DD" w:rsidRPr="003D520D" w:rsidRDefault="003420DD" w:rsidP="00D707AB">
            <w:pPr>
              <w:pStyle w:val="BayerTableColumnHeadings"/>
              <w:keepNext/>
              <w:keepLines/>
              <w:rPr>
                <w:bCs/>
                <w:szCs w:val="22"/>
                <w:lang w:val="cs-CZ"/>
              </w:rPr>
            </w:pPr>
            <w:r>
              <w:rPr>
                <w:bCs/>
                <w:szCs w:val="22"/>
                <w:lang w:val="cs-CZ"/>
              </w:rPr>
              <w:t>Není známo</w:t>
            </w:r>
          </w:p>
        </w:tc>
      </w:tr>
      <w:tr w:rsidR="003420DD" w:rsidRPr="003D520D" w14:paraId="7D4575A0" w14:textId="77777777" w:rsidTr="00E062F2">
        <w:trPr>
          <w:trHeight w:val="233"/>
        </w:trPr>
        <w:tc>
          <w:tcPr>
            <w:tcW w:w="937" w:type="pct"/>
          </w:tcPr>
          <w:p w14:paraId="7D45759A" w14:textId="77777777" w:rsidR="003420DD" w:rsidRPr="003D520D" w:rsidRDefault="003420DD" w:rsidP="00D707AB">
            <w:pPr>
              <w:pStyle w:val="BayerTableRowHeadings"/>
              <w:keepLines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Infekce a infestace </w:t>
            </w:r>
          </w:p>
        </w:tc>
        <w:tc>
          <w:tcPr>
            <w:tcW w:w="781" w:type="pct"/>
          </w:tcPr>
          <w:p w14:paraId="7D45759B" w14:textId="77777777" w:rsidR="003420DD" w:rsidRPr="003D520D" w:rsidRDefault="003420DD" w:rsidP="00D707AB">
            <w:pPr>
              <w:pStyle w:val="BayerTableStyleLeftJustified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Infekce</w:t>
            </w:r>
            <w:r>
              <w:rPr>
                <w:szCs w:val="22"/>
                <w:lang w:val="cs-CZ"/>
              </w:rPr>
              <w:t>*</w:t>
            </w:r>
          </w:p>
        </w:tc>
        <w:tc>
          <w:tcPr>
            <w:tcW w:w="937" w:type="pct"/>
          </w:tcPr>
          <w:p w14:paraId="7D45759C" w14:textId="77777777" w:rsidR="003420DD" w:rsidRPr="003D520D" w:rsidRDefault="003420DD" w:rsidP="00D707AB">
            <w:pPr>
              <w:pStyle w:val="BayerTableStyleLeftJustified"/>
              <w:keepNext/>
              <w:keepLines/>
              <w:rPr>
                <w:szCs w:val="22"/>
                <w:lang w:val="cs-CZ"/>
              </w:rPr>
            </w:pPr>
          </w:p>
        </w:tc>
        <w:tc>
          <w:tcPr>
            <w:tcW w:w="704" w:type="pct"/>
          </w:tcPr>
          <w:p w14:paraId="7D45759D" w14:textId="77777777" w:rsidR="003420DD" w:rsidRPr="003D520D" w:rsidRDefault="003420DD" w:rsidP="00D707AB">
            <w:pPr>
              <w:pStyle w:val="BayerTableStyleLeftJustified"/>
              <w:keepNext/>
              <w:keepLines/>
              <w:rPr>
                <w:szCs w:val="22"/>
                <w:lang w:val="cs-CZ"/>
              </w:rPr>
            </w:pPr>
          </w:p>
        </w:tc>
        <w:tc>
          <w:tcPr>
            <w:tcW w:w="780" w:type="pct"/>
          </w:tcPr>
          <w:p w14:paraId="7D45759E" w14:textId="77777777" w:rsidR="003420DD" w:rsidRPr="003D520D" w:rsidRDefault="003420DD" w:rsidP="00D707AB">
            <w:pPr>
              <w:pStyle w:val="BayerTableStyleLeftJustified"/>
              <w:keepNext/>
              <w:keepLines/>
              <w:rPr>
                <w:szCs w:val="22"/>
                <w:lang w:val="cs-CZ"/>
              </w:rPr>
            </w:pPr>
          </w:p>
        </w:tc>
        <w:tc>
          <w:tcPr>
            <w:tcW w:w="860" w:type="pct"/>
          </w:tcPr>
          <w:p w14:paraId="7D45759F" w14:textId="77777777" w:rsidR="003420DD" w:rsidRPr="003D520D" w:rsidRDefault="003420DD" w:rsidP="00D707AB">
            <w:pPr>
              <w:pStyle w:val="BayerTableStyleLeftJustified"/>
              <w:keepNext/>
              <w:keepLines/>
              <w:rPr>
                <w:szCs w:val="22"/>
                <w:lang w:val="cs-CZ"/>
              </w:rPr>
            </w:pPr>
          </w:p>
        </w:tc>
      </w:tr>
      <w:tr w:rsidR="003420DD" w:rsidRPr="002E5504" w14:paraId="7D4575A7" w14:textId="77777777" w:rsidTr="00E062F2">
        <w:trPr>
          <w:trHeight w:val="233"/>
        </w:trPr>
        <w:tc>
          <w:tcPr>
            <w:tcW w:w="937" w:type="pct"/>
          </w:tcPr>
          <w:p w14:paraId="7D4575A1" w14:textId="77777777" w:rsidR="003420DD" w:rsidRPr="003D520D" w:rsidRDefault="003420DD" w:rsidP="00D707AB">
            <w:pPr>
              <w:pStyle w:val="BayerTableRowHeadings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Novotvary benigní, maligní a blíže neurčené (zahrnující cysty a polypy) </w:t>
            </w:r>
          </w:p>
        </w:tc>
        <w:tc>
          <w:tcPr>
            <w:tcW w:w="781" w:type="pct"/>
          </w:tcPr>
          <w:p w14:paraId="7D4575A2" w14:textId="77777777" w:rsidR="003420DD" w:rsidRPr="003D520D" w:rsidRDefault="003420DD" w:rsidP="00D707AB">
            <w:pPr>
              <w:pStyle w:val="BayerTableStyleLeftJustified"/>
              <w:keepNext/>
              <w:rPr>
                <w:szCs w:val="22"/>
                <w:lang w:val="cs-CZ"/>
              </w:rPr>
            </w:pPr>
          </w:p>
        </w:tc>
        <w:tc>
          <w:tcPr>
            <w:tcW w:w="937" w:type="pct"/>
          </w:tcPr>
          <w:p w14:paraId="7D4575A3" w14:textId="77777777" w:rsidR="003420DD" w:rsidRPr="003D520D" w:rsidRDefault="003420DD" w:rsidP="00D707AB">
            <w:pPr>
              <w:pStyle w:val="BayerTableStyleLeftJustified"/>
              <w:keepNext/>
              <w:rPr>
                <w:szCs w:val="22"/>
                <w:lang w:val="cs-CZ"/>
              </w:rPr>
            </w:pPr>
          </w:p>
        </w:tc>
        <w:tc>
          <w:tcPr>
            <w:tcW w:w="704" w:type="pct"/>
          </w:tcPr>
          <w:p w14:paraId="7D4575A4" w14:textId="77777777" w:rsidR="003420DD" w:rsidRPr="003D520D" w:rsidRDefault="003420DD" w:rsidP="00D707AB">
            <w:pPr>
              <w:pStyle w:val="BayerTableStyleLeftJustified"/>
              <w:keepNext/>
              <w:rPr>
                <w:szCs w:val="22"/>
                <w:lang w:val="cs-CZ"/>
              </w:rPr>
            </w:pPr>
          </w:p>
        </w:tc>
        <w:tc>
          <w:tcPr>
            <w:tcW w:w="780" w:type="pct"/>
          </w:tcPr>
          <w:p w14:paraId="7D4575A5" w14:textId="77777777" w:rsidR="003420DD" w:rsidRPr="003D520D" w:rsidRDefault="003420DD" w:rsidP="00D707AB">
            <w:pPr>
              <w:pStyle w:val="BayerTableStyleLeftJustified"/>
              <w:keepNext/>
              <w:rPr>
                <w:szCs w:val="22"/>
                <w:lang w:val="cs-CZ"/>
              </w:rPr>
            </w:pPr>
            <w:proofErr w:type="spellStart"/>
            <w:r w:rsidRPr="003D520D">
              <w:rPr>
                <w:szCs w:val="22"/>
                <w:lang w:val="cs-CZ"/>
              </w:rPr>
              <w:t>Kerato</w:t>
            </w:r>
            <w:r w:rsidR="001678A9">
              <w:rPr>
                <w:szCs w:val="22"/>
                <w:lang w:val="cs-CZ"/>
              </w:rPr>
              <w:t>-</w:t>
            </w:r>
            <w:r w:rsidRPr="003D520D">
              <w:rPr>
                <w:szCs w:val="22"/>
                <w:lang w:val="cs-CZ"/>
              </w:rPr>
              <w:t>akantom</w:t>
            </w:r>
            <w:proofErr w:type="spellEnd"/>
            <w:r w:rsidRPr="003D520D">
              <w:rPr>
                <w:szCs w:val="22"/>
                <w:lang w:val="cs-CZ"/>
              </w:rPr>
              <w:t>/</w:t>
            </w:r>
            <w:proofErr w:type="spellStart"/>
            <w:r w:rsidRPr="003D520D">
              <w:rPr>
                <w:szCs w:val="22"/>
                <w:lang w:val="cs-CZ"/>
              </w:rPr>
              <w:t>spinocelulární</w:t>
            </w:r>
            <w:proofErr w:type="spellEnd"/>
            <w:r w:rsidRPr="003D520D">
              <w:rPr>
                <w:szCs w:val="22"/>
                <w:lang w:val="cs-CZ"/>
              </w:rPr>
              <w:t xml:space="preserve"> karcinom kůže</w:t>
            </w:r>
          </w:p>
        </w:tc>
        <w:tc>
          <w:tcPr>
            <w:tcW w:w="860" w:type="pct"/>
          </w:tcPr>
          <w:p w14:paraId="7D4575A6" w14:textId="77777777" w:rsidR="003420DD" w:rsidRPr="003D520D" w:rsidRDefault="003420DD" w:rsidP="00D707AB">
            <w:pPr>
              <w:pStyle w:val="BayerTableStyleLeftJustified"/>
              <w:keepNext/>
              <w:rPr>
                <w:szCs w:val="22"/>
                <w:lang w:val="cs-CZ"/>
              </w:rPr>
            </w:pPr>
          </w:p>
        </w:tc>
      </w:tr>
      <w:tr w:rsidR="003420DD" w:rsidRPr="003D520D" w14:paraId="7D4575AF" w14:textId="77777777" w:rsidTr="00E062F2">
        <w:trPr>
          <w:trHeight w:val="233"/>
        </w:trPr>
        <w:tc>
          <w:tcPr>
            <w:tcW w:w="937" w:type="pct"/>
          </w:tcPr>
          <w:p w14:paraId="7D4575A8" w14:textId="77777777" w:rsidR="003420DD" w:rsidRPr="003D520D" w:rsidRDefault="003420DD" w:rsidP="00D707AB">
            <w:pPr>
              <w:pStyle w:val="BayerTableRowHeadings"/>
              <w:keepNext w:val="0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Poruchy krve a lymfatického systému</w:t>
            </w:r>
          </w:p>
        </w:tc>
        <w:tc>
          <w:tcPr>
            <w:tcW w:w="781" w:type="pct"/>
          </w:tcPr>
          <w:p w14:paraId="7D4575A9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Trombo</w:t>
            </w:r>
            <w:r w:rsidR="00E80ABB">
              <w:rPr>
                <w:szCs w:val="22"/>
                <w:lang w:val="cs-CZ"/>
              </w:rPr>
              <w:t>-</w:t>
            </w:r>
            <w:proofErr w:type="spellStart"/>
            <w:r w:rsidRPr="003D520D">
              <w:rPr>
                <w:szCs w:val="22"/>
                <w:lang w:val="cs-CZ"/>
              </w:rPr>
              <w:t>cytopenie</w:t>
            </w:r>
            <w:proofErr w:type="spellEnd"/>
            <w:r w:rsidRPr="003D520D">
              <w:rPr>
                <w:szCs w:val="22"/>
                <w:lang w:val="cs-CZ"/>
              </w:rPr>
              <w:t xml:space="preserve"> </w:t>
            </w:r>
          </w:p>
          <w:p w14:paraId="7D4575AA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Anémie</w:t>
            </w:r>
          </w:p>
        </w:tc>
        <w:tc>
          <w:tcPr>
            <w:tcW w:w="937" w:type="pct"/>
          </w:tcPr>
          <w:p w14:paraId="7D4575AB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Leukopenie</w:t>
            </w:r>
          </w:p>
        </w:tc>
        <w:tc>
          <w:tcPr>
            <w:tcW w:w="704" w:type="pct"/>
          </w:tcPr>
          <w:p w14:paraId="7D4575AC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780" w:type="pct"/>
          </w:tcPr>
          <w:p w14:paraId="7D4575AD" w14:textId="6E0AD2FE" w:rsidR="003420DD" w:rsidRPr="003D520D" w:rsidRDefault="001D23B4" w:rsidP="00D707AB">
            <w:pPr>
              <w:pStyle w:val="BayerTableStyleLeftJustified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Trombotická</w:t>
            </w:r>
            <w:r w:rsidR="004F7F8A">
              <w:rPr>
                <w:szCs w:val="22"/>
                <w:lang w:val="cs-CZ"/>
              </w:rPr>
              <w:t xml:space="preserve"> mikroangiopatie</w:t>
            </w:r>
          </w:p>
        </w:tc>
        <w:tc>
          <w:tcPr>
            <w:tcW w:w="860" w:type="pct"/>
          </w:tcPr>
          <w:p w14:paraId="7D4575AE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</w:tr>
      <w:tr w:rsidR="003420DD" w:rsidRPr="003D520D" w14:paraId="7D4575B6" w14:textId="77777777" w:rsidTr="00E062F2">
        <w:trPr>
          <w:trHeight w:val="233"/>
        </w:trPr>
        <w:tc>
          <w:tcPr>
            <w:tcW w:w="937" w:type="pct"/>
          </w:tcPr>
          <w:p w14:paraId="7D4575B0" w14:textId="77777777" w:rsidR="003420DD" w:rsidRPr="003D520D" w:rsidRDefault="003420DD" w:rsidP="00D707AB">
            <w:pPr>
              <w:pStyle w:val="BayerTableRowHeadings"/>
              <w:keepNext w:val="0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Poruchy </w:t>
            </w:r>
            <w:r w:rsidRPr="003D520D">
              <w:rPr>
                <w:szCs w:val="22"/>
                <w:lang w:val="cs-CZ"/>
              </w:rPr>
              <w:lastRenderedPageBreak/>
              <w:t>imunitního systému</w:t>
            </w:r>
          </w:p>
        </w:tc>
        <w:tc>
          <w:tcPr>
            <w:tcW w:w="781" w:type="pct"/>
          </w:tcPr>
          <w:p w14:paraId="7D4575B1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</w:p>
        </w:tc>
        <w:tc>
          <w:tcPr>
            <w:tcW w:w="937" w:type="pct"/>
          </w:tcPr>
          <w:p w14:paraId="7D4575B2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</w:p>
        </w:tc>
        <w:tc>
          <w:tcPr>
            <w:tcW w:w="704" w:type="pct"/>
          </w:tcPr>
          <w:p w14:paraId="7D4575B3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Hyper</w:t>
            </w:r>
            <w:r w:rsidR="00E80ABB">
              <w:rPr>
                <w:szCs w:val="22"/>
                <w:lang w:val="cs-CZ"/>
              </w:rPr>
              <w:t>-</w:t>
            </w:r>
            <w:r w:rsidRPr="003D520D">
              <w:rPr>
                <w:szCs w:val="22"/>
                <w:lang w:val="cs-CZ"/>
              </w:rPr>
              <w:lastRenderedPageBreak/>
              <w:t>senzitivní reakce</w:t>
            </w:r>
          </w:p>
        </w:tc>
        <w:tc>
          <w:tcPr>
            <w:tcW w:w="780" w:type="pct"/>
          </w:tcPr>
          <w:p w14:paraId="7D4575B4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860" w:type="pct"/>
          </w:tcPr>
          <w:p w14:paraId="7D4575B5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</w:tr>
      <w:tr w:rsidR="003420DD" w:rsidRPr="003D520D" w14:paraId="7D4575BD" w14:textId="77777777" w:rsidTr="00E062F2">
        <w:trPr>
          <w:trHeight w:val="233"/>
        </w:trPr>
        <w:tc>
          <w:tcPr>
            <w:tcW w:w="937" w:type="pct"/>
          </w:tcPr>
          <w:p w14:paraId="7D4575B7" w14:textId="77777777" w:rsidR="003420DD" w:rsidRPr="003D520D" w:rsidRDefault="003420DD" w:rsidP="00D707AB">
            <w:pPr>
              <w:pStyle w:val="BayerTableRowHeadings"/>
              <w:keepNext w:val="0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Endokrinní poruchy</w:t>
            </w:r>
          </w:p>
        </w:tc>
        <w:tc>
          <w:tcPr>
            <w:tcW w:w="781" w:type="pct"/>
          </w:tcPr>
          <w:p w14:paraId="7D4575B8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937" w:type="pct"/>
          </w:tcPr>
          <w:p w14:paraId="7D4575B9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Hypotyreóza</w:t>
            </w:r>
          </w:p>
        </w:tc>
        <w:tc>
          <w:tcPr>
            <w:tcW w:w="704" w:type="pct"/>
          </w:tcPr>
          <w:p w14:paraId="7D4575BA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780" w:type="pct"/>
          </w:tcPr>
          <w:p w14:paraId="7D4575BB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860" w:type="pct"/>
          </w:tcPr>
          <w:p w14:paraId="7D4575BC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</w:tr>
      <w:tr w:rsidR="003420DD" w:rsidRPr="003D520D" w14:paraId="7D4575CA" w14:textId="77777777" w:rsidTr="00E062F2">
        <w:trPr>
          <w:trHeight w:val="233"/>
        </w:trPr>
        <w:tc>
          <w:tcPr>
            <w:tcW w:w="937" w:type="pct"/>
          </w:tcPr>
          <w:p w14:paraId="7D4575BE" w14:textId="77777777" w:rsidR="003420DD" w:rsidRPr="003D520D" w:rsidRDefault="003420DD" w:rsidP="00D707AB">
            <w:pPr>
              <w:pStyle w:val="BayerTableRowHeadings"/>
              <w:keepNext w:val="0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Poruchy metabolismu a výživy </w:t>
            </w:r>
          </w:p>
        </w:tc>
        <w:tc>
          <w:tcPr>
            <w:tcW w:w="781" w:type="pct"/>
          </w:tcPr>
          <w:p w14:paraId="7D4575BF" w14:textId="77777777" w:rsidR="003420DD" w:rsidRPr="003D520D" w:rsidRDefault="003420DD" w:rsidP="00D707AB">
            <w:pPr>
              <w:widowControl w:val="0"/>
              <w:tabs>
                <w:tab w:val="left" w:pos="180"/>
              </w:tabs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Snížená chuť k jídlu a snížený příjem potravy</w:t>
            </w:r>
          </w:p>
        </w:tc>
        <w:tc>
          <w:tcPr>
            <w:tcW w:w="937" w:type="pct"/>
          </w:tcPr>
          <w:p w14:paraId="7D4575C0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proofErr w:type="spellStart"/>
            <w:r w:rsidRPr="003D520D">
              <w:rPr>
                <w:szCs w:val="22"/>
                <w:lang w:val="cs-CZ"/>
              </w:rPr>
              <w:t>Hypokal</w:t>
            </w:r>
            <w:r>
              <w:rPr>
                <w:szCs w:val="22"/>
                <w:lang w:val="cs-CZ"/>
              </w:rPr>
              <w:t>e</w:t>
            </w:r>
            <w:r w:rsidRPr="003D520D">
              <w:rPr>
                <w:szCs w:val="22"/>
                <w:lang w:val="cs-CZ"/>
              </w:rPr>
              <w:t>mie</w:t>
            </w:r>
            <w:proofErr w:type="spellEnd"/>
          </w:p>
          <w:p w14:paraId="7D4575C1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proofErr w:type="spellStart"/>
            <w:r w:rsidRPr="003D520D">
              <w:rPr>
                <w:szCs w:val="22"/>
                <w:lang w:val="cs-CZ"/>
              </w:rPr>
              <w:t>Hypofosfat</w:t>
            </w:r>
            <w:r>
              <w:rPr>
                <w:szCs w:val="22"/>
                <w:lang w:val="cs-CZ"/>
              </w:rPr>
              <w:t>e</w:t>
            </w:r>
            <w:r w:rsidRPr="003D520D">
              <w:rPr>
                <w:szCs w:val="22"/>
                <w:lang w:val="cs-CZ"/>
              </w:rPr>
              <w:t>mie</w:t>
            </w:r>
            <w:proofErr w:type="spellEnd"/>
          </w:p>
          <w:p w14:paraId="7D4575C2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proofErr w:type="spellStart"/>
            <w:r w:rsidRPr="003D520D">
              <w:rPr>
                <w:szCs w:val="22"/>
                <w:lang w:val="cs-CZ"/>
              </w:rPr>
              <w:t>Hypokalc</w:t>
            </w:r>
            <w:r>
              <w:rPr>
                <w:szCs w:val="22"/>
                <w:lang w:val="cs-CZ"/>
              </w:rPr>
              <w:t>e</w:t>
            </w:r>
            <w:r w:rsidRPr="003D520D">
              <w:rPr>
                <w:szCs w:val="22"/>
                <w:lang w:val="cs-CZ"/>
              </w:rPr>
              <w:t>mie</w:t>
            </w:r>
            <w:proofErr w:type="spellEnd"/>
          </w:p>
          <w:p w14:paraId="7D4575C3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proofErr w:type="spellStart"/>
            <w:r w:rsidRPr="003D520D">
              <w:rPr>
                <w:szCs w:val="22"/>
                <w:lang w:val="cs-CZ"/>
              </w:rPr>
              <w:t>Hyponatr</w:t>
            </w:r>
            <w:r>
              <w:rPr>
                <w:szCs w:val="22"/>
                <w:lang w:val="cs-CZ"/>
              </w:rPr>
              <w:t>e</w:t>
            </w:r>
            <w:r w:rsidRPr="003D520D">
              <w:rPr>
                <w:szCs w:val="22"/>
                <w:lang w:val="cs-CZ"/>
              </w:rPr>
              <w:t>mie</w:t>
            </w:r>
            <w:proofErr w:type="spellEnd"/>
          </w:p>
          <w:p w14:paraId="7D4575C4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proofErr w:type="spellStart"/>
            <w:r w:rsidRPr="003D520D">
              <w:rPr>
                <w:szCs w:val="22"/>
                <w:lang w:val="cs-CZ"/>
              </w:rPr>
              <w:t>Hypo</w:t>
            </w:r>
            <w:r w:rsidR="00F456B8">
              <w:rPr>
                <w:szCs w:val="22"/>
                <w:lang w:val="cs-CZ"/>
              </w:rPr>
              <w:t>-</w:t>
            </w:r>
            <w:r w:rsidRPr="003D520D">
              <w:rPr>
                <w:szCs w:val="22"/>
                <w:lang w:val="cs-CZ"/>
              </w:rPr>
              <w:t>magne</w:t>
            </w:r>
            <w:r>
              <w:rPr>
                <w:szCs w:val="22"/>
                <w:lang w:val="cs-CZ"/>
              </w:rPr>
              <w:t>ze</w:t>
            </w:r>
            <w:r w:rsidRPr="003D520D">
              <w:rPr>
                <w:szCs w:val="22"/>
                <w:lang w:val="cs-CZ"/>
              </w:rPr>
              <w:t>mie</w:t>
            </w:r>
            <w:proofErr w:type="spellEnd"/>
          </w:p>
          <w:p w14:paraId="7D4575C5" w14:textId="77777777" w:rsidR="003420D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proofErr w:type="spellStart"/>
            <w:r w:rsidRPr="003D520D">
              <w:rPr>
                <w:szCs w:val="22"/>
                <w:lang w:val="cs-CZ"/>
              </w:rPr>
              <w:t>Hyperurik</w:t>
            </w:r>
            <w:r>
              <w:rPr>
                <w:szCs w:val="22"/>
                <w:lang w:val="cs-CZ"/>
              </w:rPr>
              <w:t>e</w:t>
            </w:r>
            <w:r w:rsidRPr="003D520D">
              <w:rPr>
                <w:szCs w:val="22"/>
                <w:lang w:val="cs-CZ"/>
              </w:rPr>
              <w:t>mie</w:t>
            </w:r>
            <w:proofErr w:type="spellEnd"/>
          </w:p>
          <w:p w14:paraId="7D4575C6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Dehydratace</w:t>
            </w:r>
          </w:p>
        </w:tc>
        <w:tc>
          <w:tcPr>
            <w:tcW w:w="704" w:type="pct"/>
          </w:tcPr>
          <w:p w14:paraId="7D4575C7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780" w:type="pct"/>
          </w:tcPr>
          <w:p w14:paraId="7D4575C8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860" w:type="pct"/>
          </w:tcPr>
          <w:p w14:paraId="7D4575C9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</w:tr>
      <w:tr w:rsidR="003420DD" w:rsidRPr="002E5504" w14:paraId="7D4575D3" w14:textId="77777777" w:rsidTr="00E062F2">
        <w:trPr>
          <w:trHeight w:val="233"/>
        </w:trPr>
        <w:tc>
          <w:tcPr>
            <w:tcW w:w="937" w:type="pct"/>
          </w:tcPr>
          <w:p w14:paraId="7D4575CB" w14:textId="77777777" w:rsidR="003420DD" w:rsidRPr="003D520D" w:rsidRDefault="003420DD" w:rsidP="00D707AB">
            <w:pPr>
              <w:pStyle w:val="BayerTableRowHeadings"/>
              <w:keepLines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Poruchy nervového systému </w:t>
            </w:r>
          </w:p>
        </w:tc>
        <w:tc>
          <w:tcPr>
            <w:tcW w:w="781" w:type="pct"/>
          </w:tcPr>
          <w:p w14:paraId="7D4575CC" w14:textId="77777777" w:rsidR="003420DD" w:rsidRPr="003D520D" w:rsidRDefault="003420DD" w:rsidP="00D707AB">
            <w:pPr>
              <w:pStyle w:val="BayerTableStyleLeftJustified"/>
              <w:keepNext/>
              <w:keepLines/>
              <w:rPr>
                <w:szCs w:val="22"/>
                <w:lang w:val="cs-CZ"/>
              </w:rPr>
            </w:pPr>
          </w:p>
        </w:tc>
        <w:tc>
          <w:tcPr>
            <w:tcW w:w="937" w:type="pct"/>
          </w:tcPr>
          <w:p w14:paraId="7D4575CD" w14:textId="77777777" w:rsidR="003420DD" w:rsidRDefault="003420DD" w:rsidP="00D707AB">
            <w:pPr>
              <w:keepNext/>
              <w:keepLines/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Bolest hlavy </w:t>
            </w:r>
          </w:p>
          <w:p w14:paraId="7D4575CE" w14:textId="77777777" w:rsidR="003420DD" w:rsidRDefault="003420DD" w:rsidP="00D707AB">
            <w:pPr>
              <w:keepNext/>
              <w:keepLines/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Třes</w:t>
            </w:r>
          </w:p>
          <w:p w14:paraId="7D4575CF" w14:textId="77777777" w:rsidR="003420DD" w:rsidRPr="003D520D" w:rsidRDefault="003420DD" w:rsidP="00D707AB">
            <w:pPr>
              <w:keepNext/>
              <w:keepLines/>
              <w:widowControl w:val="0"/>
              <w:spacing w:after="0"/>
              <w:ind w:right="57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Periferní neuropatie</w:t>
            </w:r>
          </w:p>
        </w:tc>
        <w:tc>
          <w:tcPr>
            <w:tcW w:w="704" w:type="pct"/>
          </w:tcPr>
          <w:p w14:paraId="7D4575D0" w14:textId="77777777" w:rsidR="003420DD" w:rsidRPr="003D520D" w:rsidRDefault="003420DD" w:rsidP="00D707AB">
            <w:pPr>
              <w:keepNext/>
              <w:keepLines/>
              <w:widowControl w:val="0"/>
              <w:spacing w:after="0"/>
              <w:ind w:left="57" w:right="57"/>
              <w:rPr>
                <w:szCs w:val="22"/>
                <w:lang w:val="cs-CZ"/>
              </w:rPr>
            </w:pPr>
          </w:p>
        </w:tc>
        <w:tc>
          <w:tcPr>
            <w:tcW w:w="780" w:type="pct"/>
          </w:tcPr>
          <w:p w14:paraId="7D4575D1" w14:textId="77777777" w:rsidR="003420DD" w:rsidRPr="003D520D" w:rsidRDefault="003420DD" w:rsidP="00D707AB">
            <w:pPr>
              <w:keepNext/>
              <w:keepLines/>
              <w:widowControl w:val="0"/>
              <w:spacing w:after="0"/>
              <w:ind w:left="57"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Syndrom reverzibilní zadní </w:t>
            </w:r>
            <w:proofErr w:type="spellStart"/>
            <w:r w:rsidRPr="003D520D">
              <w:rPr>
                <w:szCs w:val="22"/>
                <w:lang w:val="cs-CZ"/>
              </w:rPr>
              <w:t>encefa</w:t>
            </w:r>
            <w:r w:rsidR="00F456B8">
              <w:rPr>
                <w:szCs w:val="22"/>
                <w:lang w:val="cs-CZ"/>
              </w:rPr>
              <w:t>-</w:t>
            </w:r>
            <w:r w:rsidRPr="003D520D">
              <w:rPr>
                <w:szCs w:val="22"/>
                <w:lang w:val="cs-CZ"/>
              </w:rPr>
              <w:t>lopatie</w:t>
            </w:r>
            <w:proofErr w:type="spellEnd"/>
            <w:r w:rsidRPr="003D520D">
              <w:rPr>
                <w:szCs w:val="22"/>
                <w:lang w:val="cs-CZ"/>
              </w:rPr>
              <w:t xml:space="preserve"> (PRES)</w:t>
            </w:r>
          </w:p>
        </w:tc>
        <w:tc>
          <w:tcPr>
            <w:tcW w:w="860" w:type="pct"/>
          </w:tcPr>
          <w:p w14:paraId="7D4575D2" w14:textId="4CB8789B" w:rsidR="003420DD" w:rsidRPr="003D520D" w:rsidRDefault="002C4E78" w:rsidP="00D707AB">
            <w:pPr>
              <w:keepNext/>
              <w:keepLines/>
              <w:widowControl w:val="0"/>
              <w:spacing w:after="0"/>
              <w:ind w:left="57" w:right="57"/>
              <w:rPr>
                <w:szCs w:val="22"/>
                <w:lang w:val="cs-CZ"/>
              </w:rPr>
            </w:pPr>
            <w:proofErr w:type="spellStart"/>
            <w:r w:rsidRPr="002C4E78">
              <w:rPr>
                <w:szCs w:val="22"/>
              </w:rPr>
              <w:t>Hyperamo</w:t>
            </w:r>
            <w:r w:rsidR="00A2300C">
              <w:rPr>
                <w:szCs w:val="22"/>
              </w:rPr>
              <w:t>-</w:t>
            </w:r>
            <w:r w:rsidRPr="002C4E78">
              <w:rPr>
                <w:szCs w:val="22"/>
              </w:rPr>
              <w:t>nemická</w:t>
            </w:r>
            <w:proofErr w:type="spellEnd"/>
            <w:r w:rsidRPr="002C4E78">
              <w:rPr>
                <w:szCs w:val="22"/>
              </w:rPr>
              <w:t xml:space="preserve"> </w:t>
            </w:r>
            <w:proofErr w:type="spellStart"/>
            <w:r w:rsidRPr="002C4E78">
              <w:rPr>
                <w:szCs w:val="22"/>
              </w:rPr>
              <w:t>encefalopatie</w:t>
            </w:r>
            <w:proofErr w:type="spellEnd"/>
          </w:p>
        </w:tc>
      </w:tr>
      <w:tr w:rsidR="003420DD" w:rsidRPr="003D520D" w14:paraId="7D4575DB" w14:textId="77777777" w:rsidTr="00E062F2">
        <w:trPr>
          <w:trHeight w:val="233"/>
        </w:trPr>
        <w:tc>
          <w:tcPr>
            <w:tcW w:w="937" w:type="pct"/>
          </w:tcPr>
          <w:p w14:paraId="7D4575D4" w14:textId="77777777" w:rsidR="003420DD" w:rsidRPr="003D520D" w:rsidRDefault="003420DD" w:rsidP="00D707AB">
            <w:pPr>
              <w:pStyle w:val="BayerTableRowHeadings"/>
              <w:keepNext w:val="0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Srdeční poruchy</w:t>
            </w:r>
          </w:p>
        </w:tc>
        <w:tc>
          <w:tcPr>
            <w:tcW w:w="781" w:type="pct"/>
          </w:tcPr>
          <w:p w14:paraId="7D4575D5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937" w:type="pct"/>
          </w:tcPr>
          <w:p w14:paraId="7D4575D6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704" w:type="pct"/>
          </w:tcPr>
          <w:p w14:paraId="7D4575D7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Infarkt myokardu</w:t>
            </w:r>
          </w:p>
          <w:p w14:paraId="7D4575D8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Isch</w:t>
            </w:r>
            <w:r>
              <w:rPr>
                <w:szCs w:val="22"/>
                <w:lang w:val="cs-CZ"/>
              </w:rPr>
              <w:t>e</w:t>
            </w:r>
            <w:r w:rsidRPr="003D520D">
              <w:rPr>
                <w:szCs w:val="22"/>
                <w:lang w:val="cs-CZ"/>
              </w:rPr>
              <w:t>mie myokardu</w:t>
            </w:r>
          </w:p>
        </w:tc>
        <w:tc>
          <w:tcPr>
            <w:tcW w:w="780" w:type="pct"/>
          </w:tcPr>
          <w:p w14:paraId="7D4575D9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860" w:type="pct"/>
          </w:tcPr>
          <w:p w14:paraId="7D4575DA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</w:tr>
      <w:tr w:rsidR="003420DD" w:rsidRPr="003D520D" w14:paraId="7D4575E3" w14:textId="77777777" w:rsidTr="00E062F2">
        <w:trPr>
          <w:trHeight w:val="233"/>
        </w:trPr>
        <w:tc>
          <w:tcPr>
            <w:tcW w:w="937" w:type="pct"/>
          </w:tcPr>
          <w:p w14:paraId="7D4575DC" w14:textId="77777777" w:rsidR="003420DD" w:rsidRPr="003D520D" w:rsidRDefault="003420DD" w:rsidP="00D707AB">
            <w:pPr>
              <w:pStyle w:val="BayerTableRowHeadings"/>
              <w:keepNext w:val="0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Cévní poruchy</w:t>
            </w:r>
          </w:p>
        </w:tc>
        <w:tc>
          <w:tcPr>
            <w:tcW w:w="781" w:type="pct"/>
          </w:tcPr>
          <w:p w14:paraId="7D4575DD" w14:textId="77777777" w:rsidR="003420DD" w:rsidRPr="003D520D" w:rsidRDefault="003420DD" w:rsidP="00D707AB">
            <w:pPr>
              <w:widowControl w:val="0"/>
              <w:tabs>
                <w:tab w:val="left" w:pos="180"/>
              </w:tabs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Krvácení*</w:t>
            </w:r>
          </w:p>
          <w:p w14:paraId="7D4575DE" w14:textId="77777777" w:rsidR="003420DD" w:rsidRPr="003D520D" w:rsidRDefault="003420DD" w:rsidP="00D707AB">
            <w:pPr>
              <w:widowControl w:val="0"/>
              <w:tabs>
                <w:tab w:val="left" w:pos="180"/>
              </w:tabs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Hypertenze</w:t>
            </w:r>
          </w:p>
        </w:tc>
        <w:tc>
          <w:tcPr>
            <w:tcW w:w="937" w:type="pct"/>
          </w:tcPr>
          <w:p w14:paraId="7D4575DF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</w:p>
        </w:tc>
        <w:tc>
          <w:tcPr>
            <w:tcW w:w="704" w:type="pct"/>
          </w:tcPr>
          <w:p w14:paraId="7D4575E0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Hyper</w:t>
            </w:r>
            <w:r w:rsidR="00F06E0C">
              <w:rPr>
                <w:szCs w:val="22"/>
                <w:lang w:val="cs-CZ"/>
              </w:rPr>
              <w:t>-</w:t>
            </w:r>
            <w:r w:rsidRPr="003D520D">
              <w:rPr>
                <w:szCs w:val="22"/>
                <w:lang w:val="cs-CZ"/>
              </w:rPr>
              <w:t>tenzní krize</w:t>
            </w:r>
          </w:p>
        </w:tc>
        <w:tc>
          <w:tcPr>
            <w:tcW w:w="780" w:type="pct"/>
          </w:tcPr>
          <w:p w14:paraId="7D4575E1" w14:textId="77777777" w:rsidR="003420DD" w:rsidRPr="003D520D" w:rsidRDefault="003420DD" w:rsidP="00D707AB">
            <w:pPr>
              <w:widowControl w:val="0"/>
              <w:spacing w:after="0"/>
              <w:ind w:left="57" w:right="57"/>
              <w:rPr>
                <w:szCs w:val="22"/>
                <w:lang w:val="cs-CZ"/>
              </w:rPr>
            </w:pPr>
          </w:p>
        </w:tc>
        <w:tc>
          <w:tcPr>
            <w:tcW w:w="860" w:type="pct"/>
          </w:tcPr>
          <w:p w14:paraId="7D4575E2" w14:textId="77777777" w:rsidR="003420DD" w:rsidRPr="003D520D" w:rsidRDefault="003420DD" w:rsidP="00D707AB">
            <w:pPr>
              <w:widowControl w:val="0"/>
              <w:spacing w:after="0"/>
              <w:ind w:left="57" w:right="57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Aneurysmata a arteriální disekce</w:t>
            </w:r>
          </w:p>
        </w:tc>
      </w:tr>
      <w:tr w:rsidR="003420DD" w:rsidRPr="003D520D" w14:paraId="7D4575EA" w14:textId="77777777" w:rsidTr="00E062F2">
        <w:trPr>
          <w:trHeight w:val="233"/>
        </w:trPr>
        <w:tc>
          <w:tcPr>
            <w:tcW w:w="937" w:type="pct"/>
          </w:tcPr>
          <w:p w14:paraId="7D4575E4" w14:textId="77777777" w:rsidR="003420DD" w:rsidRPr="003D520D" w:rsidRDefault="003420DD" w:rsidP="00D707AB">
            <w:pPr>
              <w:pStyle w:val="BayerTableRowHeadings"/>
              <w:keepNext w:val="0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Respirační, hrudní a mediastinální poruchy</w:t>
            </w:r>
          </w:p>
        </w:tc>
        <w:tc>
          <w:tcPr>
            <w:tcW w:w="781" w:type="pct"/>
          </w:tcPr>
          <w:p w14:paraId="7D4575E5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Dysfonie</w:t>
            </w:r>
          </w:p>
        </w:tc>
        <w:tc>
          <w:tcPr>
            <w:tcW w:w="937" w:type="pct"/>
          </w:tcPr>
          <w:p w14:paraId="7D4575E6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704" w:type="pct"/>
          </w:tcPr>
          <w:p w14:paraId="7D4575E7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780" w:type="pct"/>
          </w:tcPr>
          <w:p w14:paraId="7D4575E8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860" w:type="pct"/>
          </w:tcPr>
          <w:p w14:paraId="7D4575E9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</w:tr>
      <w:tr w:rsidR="003420DD" w:rsidRPr="003D520D" w14:paraId="7D4575F9" w14:textId="77777777" w:rsidTr="00E062F2">
        <w:trPr>
          <w:trHeight w:val="233"/>
        </w:trPr>
        <w:tc>
          <w:tcPr>
            <w:tcW w:w="937" w:type="pct"/>
          </w:tcPr>
          <w:p w14:paraId="7D4575EB" w14:textId="77777777" w:rsidR="003420DD" w:rsidRPr="003D520D" w:rsidRDefault="003420DD" w:rsidP="00D707AB">
            <w:pPr>
              <w:pStyle w:val="BayerTableRowHeadings"/>
              <w:keepNext w:val="0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Gastrointestinální poruchy</w:t>
            </w:r>
          </w:p>
        </w:tc>
        <w:tc>
          <w:tcPr>
            <w:tcW w:w="781" w:type="pct"/>
          </w:tcPr>
          <w:p w14:paraId="7D4575EC" w14:textId="77777777" w:rsidR="003420DD" w:rsidRPr="003D520D" w:rsidRDefault="003420DD" w:rsidP="00D707AB">
            <w:pPr>
              <w:widowControl w:val="0"/>
              <w:tabs>
                <w:tab w:val="left" w:pos="180"/>
              </w:tabs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Průjem</w:t>
            </w:r>
          </w:p>
          <w:p w14:paraId="7D4575ED" w14:textId="77777777" w:rsidR="003420DD" w:rsidRPr="003D520D" w:rsidRDefault="003420DD" w:rsidP="00D707AB">
            <w:pPr>
              <w:widowControl w:val="0"/>
              <w:tabs>
                <w:tab w:val="left" w:pos="180"/>
              </w:tabs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Stomatitida</w:t>
            </w:r>
          </w:p>
          <w:p w14:paraId="7D4575EE" w14:textId="77777777" w:rsidR="003420DD" w:rsidRPr="003D520D" w:rsidRDefault="003420DD" w:rsidP="00D707AB">
            <w:pPr>
              <w:widowControl w:val="0"/>
              <w:tabs>
                <w:tab w:val="left" w:pos="180"/>
              </w:tabs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Zvracení</w:t>
            </w:r>
          </w:p>
          <w:p w14:paraId="5DDE2919" w14:textId="77777777" w:rsidR="003420DD" w:rsidRDefault="003420DD" w:rsidP="00D707AB">
            <w:pPr>
              <w:widowControl w:val="0"/>
              <w:tabs>
                <w:tab w:val="left" w:pos="180"/>
              </w:tabs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Nau</w:t>
            </w:r>
            <w:r>
              <w:rPr>
                <w:szCs w:val="22"/>
                <w:lang w:val="cs-CZ"/>
              </w:rPr>
              <w:t>z</w:t>
            </w:r>
            <w:r w:rsidRPr="003D520D">
              <w:rPr>
                <w:szCs w:val="22"/>
                <w:lang w:val="cs-CZ"/>
              </w:rPr>
              <w:t>ea</w:t>
            </w:r>
          </w:p>
          <w:p w14:paraId="7D4575EF" w14:textId="2A184237" w:rsidR="005D64F3" w:rsidRPr="003D520D" w:rsidRDefault="005D64F3" w:rsidP="00D707AB">
            <w:pPr>
              <w:widowControl w:val="0"/>
              <w:tabs>
                <w:tab w:val="left" w:pos="180"/>
              </w:tabs>
              <w:spacing w:after="0"/>
              <w:ind w:right="57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Zácpa</w:t>
            </w:r>
          </w:p>
        </w:tc>
        <w:tc>
          <w:tcPr>
            <w:tcW w:w="937" w:type="pct"/>
          </w:tcPr>
          <w:p w14:paraId="7D4575F0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Poruchy chuti</w:t>
            </w:r>
          </w:p>
          <w:p w14:paraId="7D4575F1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Sucho v ústech</w:t>
            </w:r>
          </w:p>
          <w:p w14:paraId="7D4575F2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Gastro</w:t>
            </w:r>
            <w:r w:rsidR="005979E2">
              <w:rPr>
                <w:szCs w:val="22"/>
                <w:lang w:val="cs-CZ"/>
              </w:rPr>
              <w:t>-</w:t>
            </w:r>
            <w:proofErr w:type="spellStart"/>
            <w:r w:rsidRPr="003D520D">
              <w:rPr>
                <w:szCs w:val="22"/>
                <w:lang w:val="cs-CZ"/>
              </w:rPr>
              <w:t>esofageální</w:t>
            </w:r>
            <w:proofErr w:type="spellEnd"/>
            <w:r w:rsidRPr="003D520D">
              <w:rPr>
                <w:szCs w:val="22"/>
                <w:lang w:val="cs-CZ"/>
              </w:rPr>
              <w:t xml:space="preserve"> reflux</w:t>
            </w:r>
          </w:p>
          <w:p w14:paraId="7D4575F3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Gastroenteritida</w:t>
            </w:r>
          </w:p>
        </w:tc>
        <w:tc>
          <w:tcPr>
            <w:tcW w:w="704" w:type="pct"/>
          </w:tcPr>
          <w:p w14:paraId="7D4575F4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Gastro</w:t>
            </w:r>
            <w:r w:rsidR="005979E2">
              <w:rPr>
                <w:szCs w:val="22"/>
                <w:lang w:val="cs-CZ"/>
              </w:rPr>
              <w:t>-</w:t>
            </w:r>
            <w:r w:rsidRPr="003D520D">
              <w:rPr>
                <w:szCs w:val="22"/>
                <w:lang w:val="cs-CZ"/>
              </w:rPr>
              <w:t>intestinální perforace*</w:t>
            </w:r>
          </w:p>
          <w:p w14:paraId="7D4575F5" w14:textId="77777777" w:rsidR="003420D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Gastro</w:t>
            </w:r>
            <w:r w:rsidR="005979E2">
              <w:rPr>
                <w:szCs w:val="22"/>
                <w:lang w:val="cs-CZ"/>
              </w:rPr>
              <w:t>-</w:t>
            </w:r>
            <w:r w:rsidRPr="003D520D">
              <w:rPr>
                <w:szCs w:val="22"/>
                <w:lang w:val="cs-CZ"/>
              </w:rPr>
              <w:t>intestinální píštěl</w:t>
            </w:r>
          </w:p>
          <w:p w14:paraId="7D4575F6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  <w:proofErr w:type="spellStart"/>
            <w:r>
              <w:rPr>
                <w:szCs w:val="22"/>
                <w:lang w:val="cs-CZ"/>
              </w:rPr>
              <w:t>Pankre</w:t>
            </w:r>
            <w:r w:rsidR="005979E2">
              <w:rPr>
                <w:szCs w:val="22"/>
                <w:lang w:val="cs-CZ"/>
              </w:rPr>
              <w:t>-</w:t>
            </w:r>
            <w:r>
              <w:rPr>
                <w:szCs w:val="22"/>
                <w:lang w:val="cs-CZ"/>
              </w:rPr>
              <w:t>atitida</w:t>
            </w:r>
            <w:proofErr w:type="spellEnd"/>
          </w:p>
        </w:tc>
        <w:tc>
          <w:tcPr>
            <w:tcW w:w="780" w:type="pct"/>
          </w:tcPr>
          <w:p w14:paraId="7D4575F7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860" w:type="pct"/>
          </w:tcPr>
          <w:p w14:paraId="7D4575F8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</w:tr>
      <w:tr w:rsidR="003420DD" w:rsidRPr="002E5504" w14:paraId="7D457600" w14:textId="77777777" w:rsidTr="00E062F2">
        <w:trPr>
          <w:trHeight w:val="233"/>
        </w:trPr>
        <w:tc>
          <w:tcPr>
            <w:tcW w:w="937" w:type="pct"/>
          </w:tcPr>
          <w:p w14:paraId="7D4575FA" w14:textId="77777777" w:rsidR="003420DD" w:rsidRPr="003D520D" w:rsidRDefault="003420DD" w:rsidP="00D707AB">
            <w:pPr>
              <w:pStyle w:val="BayerTableRowHeadings"/>
              <w:keepNext w:val="0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Poruchy jater a žlučových cest</w:t>
            </w:r>
          </w:p>
        </w:tc>
        <w:tc>
          <w:tcPr>
            <w:tcW w:w="781" w:type="pct"/>
          </w:tcPr>
          <w:p w14:paraId="7D4575FB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Hyper</w:t>
            </w:r>
            <w:r w:rsidR="008C3892">
              <w:rPr>
                <w:szCs w:val="22"/>
                <w:lang w:val="cs-CZ"/>
              </w:rPr>
              <w:t>-</w:t>
            </w:r>
            <w:proofErr w:type="spellStart"/>
            <w:r w:rsidRPr="003D520D">
              <w:rPr>
                <w:szCs w:val="22"/>
                <w:lang w:val="cs-CZ"/>
              </w:rPr>
              <w:t>bilirubin</w:t>
            </w:r>
            <w:r>
              <w:rPr>
                <w:szCs w:val="22"/>
                <w:lang w:val="cs-CZ"/>
              </w:rPr>
              <w:t>e</w:t>
            </w:r>
            <w:r w:rsidRPr="003D520D">
              <w:rPr>
                <w:szCs w:val="22"/>
                <w:lang w:val="cs-CZ"/>
              </w:rPr>
              <w:t>mie</w:t>
            </w:r>
            <w:proofErr w:type="spellEnd"/>
            <w:r w:rsidRPr="003D520D">
              <w:rPr>
                <w:szCs w:val="22"/>
                <w:lang w:val="cs-CZ"/>
              </w:rPr>
              <w:t xml:space="preserve"> Zvýšení hladiny transamináz</w:t>
            </w:r>
          </w:p>
        </w:tc>
        <w:tc>
          <w:tcPr>
            <w:tcW w:w="937" w:type="pct"/>
          </w:tcPr>
          <w:p w14:paraId="7D4575FC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704" w:type="pct"/>
          </w:tcPr>
          <w:p w14:paraId="7D4575FD" w14:textId="08DB1F70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Těžká porucha funkce</w:t>
            </w:r>
            <w:r w:rsidRPr="003D520D">
              <w:rPr>
                <w:szCs w:val="22"/>
                <w:lang w:val="cs-CZ"/>
              </w:rPr>
              <w:t xml:space="preserve"> jater</w:t>
            </w:r>
            <w:r w:rsidR="00032839">
              <w:rPr>
                <w:szCs w:val="22"/>
                <w:lang w:val="cs-CZ"/>
              </w:rPr>
              <w:t xml:space="preserve"> (včetně selhání </w:t>
            </w:r>
            <w:proofErr w:type="gramStart"/>
            <w:r w:rsidR="00032839">
              <w:rPr>
                <w:szCs w:val="22"/>
                <w:lang w:val="cs-CZ"/>
              </w:rPr>
              <w:t>jater)</w:t>
            </w:r>
            <w:r w:rsidRPr="003D520D">
              <w:rPr>
                <w:szCs w:val="22"/>
                <w:lang w:val="cs-CZ"/>
              </w:rPr>
              <w:t>*</w:t>
            </w:r>
            <w:proofErr w:type="gramEnd"/>
            <w:r w:rsidRPr="003D520D">
              <w:rPr>
                <w:szCs w:val="22"/>
                <w:vertAlign w:val="superscript"/>
                <w:lang w:val="cs-CZ"/>
              </w:rPr>
              <w:t>#</w:t>
            </w:r>
          </w:p>
        </w:tc>
        <w:tc>
          <w:tcPr>
            <w:tcW w:w="780" w:type="pct"/>
          </w:tcPr>
          <w:p w14:paraId="7D4575FE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860" w:type="pct"/>
          </w:tcPr>
          <w:p w14:paraId="7D4575FF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</w:tr>
      <w:tr w:rsidR="003420DD" w:rsidRPr="002E5504" w14:paraId="7D45760D" w14:textId="77777777" w:rsidTr="00E062F2">
        <w:trPr>
          <w:trHeight w:val="233"/>
        </w:trPr>
        <w:tc>
          <w:tcPr>
            <w:tcW w:w="937" w:type="pct"/>
          </w:tcPr>
          <w:p w14:paraId="7D457601" w14:textId="77777777" w:rsidR="003420DD" w:rsidRPr="003D520D" w:rsidRDefault="003420DD" w:rsidP="00D707AB">
            <w:pPr>
              <w:pStyle w:val="BayerTableRowHeadings"/>
              <w:keepNext w:val="0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Poruchy kůže a podkožní tkáně</w:t>
            </w:r>
          </w:p>
        </w:tc>
        <w:tc>
          <w:tcPr>
            <w:tcW w:w="781" w:type="pct"/>
          </w:tcPr>
          <w:p w14:paraId="7D457602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Kožní reakce ruka-noha**</w:t>
            </w:r>
          </w:p>
          <w:p w14:paraId="7D457603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Vyrážka</w:t>
            </w:r>
          </w:p>
          <w:p w14:paraId="7D457604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</w:p>
        </w:tc>
        <w:tc>
          <w:tcPr>
            <w:tcW w:w="937" w:type="pct"/>
          </w:tcPr>
          <w:p w14:paraId="7D457605" w14:textId="77777777" w:rsidR="003420D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Alopecie </w:t>
            </w:r>
          </w:p>
          <w:p w14:paraId="7D457606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Suchá kůže</w:t>
            </w:r>
          </w:p>
          <w:p w14:paraId="7D457607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Exfoliativní vyrážka</w:t>
            </w:r>
          </w:p>
        </w:tc>
        <w:tc>
          <w:tcPr>
            <w:tcW w:w="704" w:type="pct"/>
          </w:tcPr>
          <w:p w14:paraId="7D457608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Poruchy nehtů</w:t>
            </w:r>
          </w:p>
          <w:p w14:paraId="7D457609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  <w:proofErr w:type="spellStart"/>
            <w:r w:rsidRPr="003D520D">
              <w:rPr>
                <w:szCs w:val="22"/>
                <w:lang w:val="cs-CZ"/>
              </w:rPr>
              <w:t>Erythema</w:t>
            </w:r>
            <w:proofErr w:type="spellEnd"/>
            <w:r w:rsidRPr="003D520D">
              <w:rPr>
                <w:szCs w:val="22"/>
                <w:lang w:val="cs-CZ"/>
              </w:rPr>
              <w:t xml:space="preserve"> </w:t>
            </w:r>
            <w:proofErr w:type="spellStart"/>
            <w:r w:rsidRPr="003D520D">
              <w:rPr>
                <w:szCs w:val="22"/>
                <w:lang w:val="cs-CZ"/>
              </w:rPr>
              <w:t>multiforme</w:t>
            </w:r>
            <w:proofErr w:type="spellEnd"/>
          </w:p>
        </w:tc>
        <w:tc>
          <w:tcPr>
            <w:tcW w:w="780" w:type="pct"/>
          </w:tcPr>
          <w:p w14:paraId="7D45760A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  <w:proofErr w:type="spellStart"/>
            <w:r w:rsidRPr="003D520D">
              <w:rPr>
                <w:szCs w:val="22"/>
                <w:lang w:val="cs-CZ"/>
              </w:rPr>
              <w:t>Stevens</w:t>
            </w:r>
            <w:r>
              <w:rPr>
                <w:szCs w:val="22"/>
                <w:lang w:val="cs-CZ"/>
              </w:rPr>
              <w:t>ův</w:t>
            </w:r>
            <w:r w:rsidRPr="003D520D">
              <w:rPr>
                <w:szCs w:val="22"/>
                <w:lang w:val="cs-CZ"/>
              </w:rPr>
              <w:t>-Johnsonův</w:t>
            </w:r>
            <w:proofErr w:type="spellEnd"/>
            <w:r w:rsidRPr="003D520D">
              <w:rPr>
                <w:szCs w:val="22"/>
                <w:lang w:val="cs-CZ"/>
              </w:rPr>
              <w:t xml:space="preserve"> syndrome</w:t>
            </w:r>
          </w:p>
          <w:p w14:paraId="7D45760B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Toxická epidermální </w:t>
            </w:r>
            <w:proofErr w:type="spellStart"/>
            <w:r w:rsidRPr="003D520D">
              <w:rPr>
                <w:szCs w:val="22"/>
                <w:lang w:val="cs-CZ"/>
              </w:rPr>
              <w:lastRenderedPageBreak/>
              <w:t>nekrolýza</w:t>
            </w:r>
            <w:proofErr w:type="spellEnd"/>
          </w:p>
        </w:tc>
        <w:tc>
          <w:tcPr>
            <w:tcW w:w="860" w:type="pct"/>
          </w:tcPr>
          <w:p w14:paraId="7D45760C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</w:tr>
      <w:tr w:rsidR="003420DD" w:rsidRPr="003D520D" w14:paraId="7D457614" w14:textId="77777777" w:rsidTr="00E062F2">
        <w:trPr>
          <w:trHeight w:val="233"/>
        </w:trPr>
        <w:tc>
          <w:tcPr>
            <w:tcW w:w="937" w:type="pct"/>
          </w:tcPr>
          <w:p w14:paraId="7D45760E" w14:textId="77777777" w:rsidR="003420DD" w:rsidRPr="003D520D" w:rsidRDefault="003420DD" w:rsidP="00D707AB">
            <w:pPr>
              <w:pStyle w:val="BayerTableRowHeadings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Poruchy svalové a kosterní soustavy a pojivové tkáně</w:t>
            </w:r>
          </w:p>
        </w:tc>
        <w:tc>
          <w:tcPr>
            <w:tcW w:w="781" w:type="pct"/>
          </w:tcPr>
          <w:p w14:paraId="7D45760F" w14:textId="77777777" w:rsidR="003420DD" w:rsidRPr="003D520D" w:rsidRDefault="003420DD" w:rsidP="00D707AB">
            <w:pPr>
              <w:pStyle w:val="BayerTableStyleLeftJustified"/>
              <w:keepNext/>
              <w:rPr>
                <w:szCs w:val="22"/>
                <w:lang w:val="cs-CZ"/>
              </w:rPr>
            </w:pPr>
          </w:p>
        </w:tc>
        <w:tc>
          <w:tcPr>
            <w:tcW w:w="937" w:type="pct"/>
          </w:tcPr>
          <w:p w14:paraId="7D457610" w14:textId="77777777" w:rsidR="003420DD" w:rsidRPr="003D520D" w:rsidRDefault="003420DD" w:rsidP="00D707AB">
            <w:pPr>
              <w:pStyle w:val="BayerTableStyleLeftJustified"/>
              <w:keepNext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Svalový spasmus</w:t>
            </w:r>
          </w:p>
        </w:tc>
        <w:tc>
          <w:tcPr>
            <w:tcW w:w="704" w:type="pct"/>
          </w:tcPr>
          <w:p w14:paraId="7D457611" w14:textId="77777777" w:rsidR="003420DD" w:rsidRPr="003D520D" w:rsidRDefault="003420DD" w:rsidP="00D707AB">
            <w:pPr>
              <w:pStyle w:val="BayerTableStyleLeftJustified"/>
              <w:keepNext/>
              <w:rPr>
                <w:szCs w:val="22"/>
                <w:lang w:val="cs-CZ"/>
              </w:rPr>
            </w:pPr>
          </w:p>
        </w:tc>
        <w:tc>
          <w:tcPr>
            <w:tcW w:w="780" w:type="pct"/>
          </w:tcPr>
          <w:p w14:paraId="7D457612" w14:textId="77777777" w:rsidR="003420DD" w:rsidRPr="003D520D" w:rsidRDefault="003420DD" w:rsidP="00D707AB">
            <w:pPr>
              <w:pStyle w:val="BayerTableStyleLeftJustified"/>
              <w:keepNext/>
              <w:rPr>
                <w:szCs w:val="22"/>
                <w:lang w:val="cs-CZ"/>
              </w:rPr>
            </w:pPr>
          </w:p>
        </w:tc>
        <w:tc>
          <w:tcPr>
            <w:tcW w:w="860" w:type="pct"/>
          </w:tcPr>
          <w:p w14:paraId="7D457613" w14:textId="77777777" w:rsidR="003420DD" w:rsidRPr="003D520D" w:rsidRDefault="003420DD" w:rsidP="00D707AB">
            <w:pPr>
              <w:pStyle w:val="BayerTableStyleLeftJustified"/>
              <w:keepNext/>
              <w:rPr>
                <w:szCs w:val="22"/>
                <w:lang w:val="cs-CZ"/>
              </w:rPr>
            </w:pPr>
          </w:p>
        </w:tc>
      </w:tr>
      <w:tr w:rsidR="003420DD" w:rsidRPr="003D520D" w14:paraId="7D45761B" w14:textId="77777777" w:rsidTr="00E062F2">
        <w:trPr>
          <w:trHeight w:val="233"/>
        </w:trPr>
        <w:tc>
          <w:tcPr>
            <w:tcW w:w="937" w:type="pct"/>
          </w:tcPr>
          <w:p w14:paraId="7D457615" w14:textId="77777777" w:rsidR="003420DD" w:rsidRPr="003D520D" w:rsidRDefault="003420DD" w:rsidP="00D707AB">
            <w:pPr>
              <w:pStyle w:val="BayerTableRowHeadings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Poruchy ledvin a močových cest</w:t>
            </w:r>
          </w:p>
        </w:tc>
        <w:tc>
          <w:tcPr>
            <w:tcW w:w="781" w:type="pct"/>
          </w:tcPr>
          <w:p w14:paraId="7D457616" w14:textId="77777777" w:rsidR="003420DD" w:rsidRPr="003D520D" w:rsidRDefault="003420DD" w:rsidP="00D707AB">
            <w:pPr>
              <w:pStyle w:val="BayerTableStyleLeftJustified"/>
              <w:keepNext/>
              <w:rPr>
                <w:szCs w:val="22"/>
                <w:lang w:val="cs-CZ"/>
              </w:rPr>
            </w:pPr>
          </w:p>
        </w:tc>
        <w:tc>
          <w:tcPr>
            <w:tcW w:w="937" w:type="pct"/>
          </w:tcPr>
          <w:p w14:paraId="7D457617" w14:textId="77777777" w:rsidR="003420DD" w:rsidRPr="003D520D" w:rsidRDefault="003420DD" w:rsidP="00D707AB">
            <w:pPr>
              <w:pStyle w:val="BayerTableStyleLeftJustified"/>
              <w:keepNext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Proteinurie</w:t>
            </w:r>
          </w:p>
        </w:tc>
        <w:tc>
          <w:tcPr>
            <w:tcW w:w="704" w:type="pct"/>
          </w:tcPr>
          <w:p w14:paraId="7D457618" w14:textId="77777777" w:rsidR="003420DD" w:rsidRPr="003D520D" w:rsidRDefault="003420DD" w:rsidP="00D707AB">
            <w:pPr>
              <w:pStyle w:val="BayerTableStyleLeftJustified"/>
              <w:keepNext/>
              <w:rPr>
                <w:szCs w:val="22"/>
                <w:lang w:val="cs-CZ"/>
              </w:rPr>
            </w:pPr>
          </w:p>
        </w:tc>
        <w:tc>
          <w:tcPr>
            <w:tcW w:w="780" w:type="pct"/>
          </w:tcPr>
          <w:p w14:paraId="7D457619" w14:textId="77777777" w:rsidR="003420DD" w:rsidRPr="003D520D" w:rsidRDefault="003420DD" w:rsidP="00D707AB">
            <w:pPr>
              <w:pStyle w:val="BayerTableStyleLeftJustified"/>
              <w:keepNext/>
              <w:rPr>
                <w:szCs w:val="22"/>
                <w:lang w:val="cs-CZ"/>
              </w:rPr>
            </w:pPr>
          </w:p>
        </w:tc>
        <w:tc>
          <w:tcPr>
            <w:tcW w:w="860" w:type="pct"/>
          </w:tcPr>
          <w:p w14:paraId="7D45761A" w14:textId="77777777" w:rsidR="003420DD" w:rsidRPr="003D520D" w:rsidRDefault="003420DD" w:rsidP="00D707AB">
            <w:pPr>
              <w:pStyle w:val="BayerTableStyleLeftJustified"/>
              <w:keepNext/>
              <w:rPr>
                <w:szCs w:val="22"/>
                <w:lang w:val="cs-CZ"/>
              </w:rPr>
            </w:pPr>
          </w:p>
        </w:tc>
      </w:tr>
      <w:tr w:rsidR="003420DD" w:rsidRPr="002E5504" w14:paraId="7D457625" w14:textId="77777777" w:rsidTr="00E062F2">
        <w:trPr>
          <w:trHeight w:val="466"/>
        </w:trPr>
        <w:tc>
          <w:tcPr>
            <w:tcW w:w="937" w:type="pct"/>
          </w:tcPr>
          <w:p w14:paraId="7D45761C" w14:textId="77777777" w:rsidR="003420DD" w:rsidRPr="003D520D" w:rsidRDefault="003420DD" w:rsidP="00D707AB">
            <w:pPr>
              <w:pStyle w:val="BayerTableRowHeadings"/>
              <w:keepNext w:val="0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Celkové poruchy a reakce v místě aplikace </w:t>
            </w:r>
          </w:p>
        </w:tc>
        <w:tc>
          <w:tcPr>
            <w:tcW w:w="781" w:type="pct"/>
          </w:tcPr>
          <w:p w14:paraId="7D45761D" w14:textId="77777777" w:rsidR="003420DD" w:rsidRPr="003D520D" w:rsidRDefault="003420DD" w:rsidP="00D707AB">
            <w:pPr>
              <w:widowControl w:val="0"/>
              <w:tabs>
                <w:tab w:val="left" w:pos="180"/>
              </w:tabs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Astenie</w:t>
            </w:r>
            <w:r w:rsidR="00531454">
              <w:rPr>
                <w:szCs w:val="22"/>
                <w:lang w:val="cs-CZ"/>
              </w:rPr>
              <w:t xml:space="preserve"> </w:t>
            </w:r>
            <w:r w:rsidRPr="003D520D">
              <w:rPr>
                <w:szCs w:val="22"/>
                <w:lang w:val="cs-CZ"/>
              </w:rPr>
              <w:t>/</w:t>
            </w:r>
            <w:r w:rsidR="008C3892">
              <w:rPr>
                <w:szCs w:val="22"/>
                <w:lang w:val="cs-CZ"/>
              </w:rPr>
              <w:t xml:space="preserve"> </w:t>
            </w:r>
            <w:r w:rsidRPr="003D520D">
              <w:rPr>
                <w:szCs w:val="22"/>
                <w:lang w:val="cs-CZ"/>
              </w:rPr>
              <w:t>únava</w:t>
            </w:r>
          </w:p>
          <w:p w14:paraId="7D45761E" w14:textId="25AF46DB" w:rsidR="003420DD" w:rsidRPr="003D520D" w:rsidRDefault="003420DD" w:rsidP="00D707AB">
            <w:pPr>
              <w:widowControl w:val="0"/>
              <w:tabs>
                <w:tab w:val="left" w:pos="180"/>
              </w:tabs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Bolest</w:t>
            </w:r>
            <w:r w:rsidR="00162FAF" w:rsidRPr="002E5504">
              <w:rPr>
                <w:szCs w:val="22"/>
              </w:rPr>
              <w:t>***</w:t>
            </w:r>
          </w:p>
          <w:p w14:paraId="7D45761F" w14:textId="77777777" w:rsidR="003420DD" w:rsidRPr="003D520D" w:rsidRDefault="003420DD" w:rsidP="00D707AB">
            <w:pPr>
              <w:widowControl w:val="0"/>
              <w:tabs>
                <w:tab w:val="left" w:pos="180"/>
              </w:tabs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Horečka</w:t>
            </w:r>
          </w:p>
          <w:p w14:paraId="7D457620" w14:textId="77777777" w:rsidR="003420DD" w:rsidRPr="003D520D" w:rsidRDefault="003420DD" w:rsidP="00D707AB">
            <w:pPr>
              <w:widowControl w:val="0"/>
              <w:tabs>
                <w:tab w:val="left" w:pos="180"/>
              </w:tabs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Zánět sliznic</w:t>
            </w:r>
          </w:p>
        </w:tc>
        <w:tc>
          <w:tcPr>
            <w:tcW w:w="937" w:type="pct"/>
          </w:tcPr>
          <w:p w14:paraId="7D457621" w14:textId="77777777" w:rsidR="003420DD" w:rsidRPr="003D520D" w:rsidRDefault="003420DD" w:rsidP="00D707AB">
            <w:pPr>
              <w:widowControl w:val="0"/>
              <w:spacing w:after="0"/>
              <w:ind w:right="57"/>
              <w:rPr>
                <w:szCs w:val="22"/>
                <w:lang w:val="cs-CZ"/>
              </w:rPr>
            </w:pPr>
          </w:p>
        </w:tc>
        <w:tc>
          <w:tcPr>
            <w:tcW w:w="704" w:type="pct"/>
          </w:tcPr>
          <w:p w14:paraId="7D457622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780" w:type="pct"/>
          </w:tcPr>
          <w:p w14:paraId="7D457623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860" w:type="pct"/>
          </w:tcPr>
          <w:p w14:paraId="7D457624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</w:tr>
      <w:tr w:rsidR="003420DD" w:rsidRPr="003D520D" w14:paraId="7D45762E" w14:textId="77777777" w:rsidTr="00E062F2">
        <w:trPr>
          <w:trHeight w:val="233"/>
        </w:trPr>
        <w:tc>
          <w:tcPr>
            <w:tcW w:w="937" w:type="pct"/>
          </w:tcPr>
          <w:p w14:paraId="7D457626" w14:textId="77777777" w:rsidR="003420DD" w:rsidRPr="003D520D" w:rsidRDefault="003420DD" w:rsidP="00D707AB">
            <w:pPr>
              <w:pStyle w:val="BayerTableRowHeadings"/>
              <w:keepNext w:val="0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Vyšetření</w:t>
            </w:r>
          </w:p>
        </w:tc>
        <w:tc>
          <w:tcPr>
            <w:tcW w:w="781" w:type="pct"/>
          </w:tcPr>
          <w:p w14:paraId="7D457627" w14:textId="77777777" w:rsidR="003420DD" w:rsidRPr="003D520D" w:rsidRDefault="003420DD" w:rsidP="00D707AB">
            <w:pPr>
              <w:keepNext/>
              <w:widowControl w:val="0"/>
              <w:tabs>
                <w:tab w:val="left" w:pos="180"/>
              </w:tabs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Úbytek tělesné hmotnosti</w:t>
            </w:r>
          </w:p>
        </w:tc>
        <w:tc>
          <w:tcPr>
            <w:tcW w:w="937" w:type="pct"/>
          </w:tcPr>
          <w:p w14:paraId="7D457628" w14:textId="77777777" w:rsidR="003420DD" w:rsidRPr="003D520D" w:rsidRDefault="003420DD" w:rsidP="00D707AB">
            <w:pPr>
              <w:keepNext/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Zvýšení hladiny amylázy</w:t>
            </w:r>
          </w:p>
          <w:p w14:paraId="7D457629" w14:textId="77777777" w:rsidR="003420DD" w:rsidRPr="003D520D" w:rsidRDefault="003420DD" w:rsidP="00D707AB">
            <w:pPr>
              <w:keepNext/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Zvýšení hladiny lipázy</w:t>
            </w:r>
          </w:p>
          <w:p w14:paraId="7D45762A" w14:textId="77777777" w:rsidR="003420DD" w:rsidRPr="003D520D" w:rsidRDefault="003420DD" w:rsidP="00D707AB">
            <w:pPr>
              <w:keepNext/>
              <w:widowControl w:val="0"/>
              <w:spacing w:after="0"/>
              <w:ind w:right="57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 xml:space="preserve">Abnormální INR (International </w:t>
            </w:r>
            <w:proofErr w:type="spellStart"/>
            <w:r w:rsidRPr="003D520D">
              <w:rPr>
                <w:szCs w:val="22"/>
                <w:lang w:val="cs-CZ"/>
              </w:rPr>
              <w:t>normalised</w:t>
            </w:r>
            <w:proofErr w:type="spellEnd"/>
            <w:r w:rsidRPr="003D520D">
              <w:rPr>
                <w:szCs w:val="22"/>
                <w:lang w:val="cs-CZ"/>
              </w:rPr>
              <w:t xml:space="preserve"> ratio)</w:t>
            </w:r>
          </w:p>
        </w:tc>
        <w:tc>
          <w:tcPr>
            <w:tcW w:w="704" w:type="pct"/>
          </w:tcPr>
          <w:p w14:paraId="7D45762B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780" w:type="pct"/>
          </w:tcPr>
          <w:p w14:paraId="7D45762C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  <w:tc>
          <w:tcPr>
            <w:tcW w:w="860" w:type="pct"/>
          </w:tcPr>
          <w:p w14:paraId="7D45762D" w14:textId="77777777" w:rsidR="003420DD" w:rsidRPr="003D520D" w:rsidRDefault="003420DD" w:rsidP="00D707AB">
            <w:pPr>
              <w:pStyle w:val="BayerTableStyleLeftJustified"/>
              <w:rPr>
                <w:szCs w:val="22"/>
                <w:lang w:val="cs-CZ"/>
              </w:rPr>
            </w:pPr>
          </w:p>
        </w:tc>
      </w:tr>
    </w:tbl>
    <w:p w14:paraId="7D45762F" w14:textId="77777777" w:rsidR="00356F6E" w:rsidRPr="003D520D" w:rsidRDefault="00356F6E" w:rsidP="00D707AB">
      <w:pPr>
        <w:tabs>
          <w:tab w:val="left" w:pos="284"/>
        </w:tabs>
        <w:spacing w:after="0"/>
        <w:rPr>
          <w:szCs w:val="22"/>
          <w:lang w:val="cs-CZ"/>
        </w:rPr>
      </w:pPr>
      <w:r w:rsidRPr="003D520D">
        <w:rPr>
          <w:kern w:val="28"/>
          <w:szCs w:val="22"/>
          <w:lang w:val="cs-CZ"/>
        </w:rPr>
        <w:t xml:space="preserve">* </w:t>
      </w:r>
      <w:r w:rsidRPr="003D520D">
        <w:rPr>
          <w:kern w:val="28"/>
          <w:szCs w:val="22"/>
          <w:lang w:val="cs-CZ"/>
        </w:rPr>
        <w:tab/>
        <w:t>byly hlášeny fatální případy</w:t>
      </w:r>
    </w:p>
    <w:p w14:paraId="7D457630" w14:textId="43B7C866" w:rsidR="00356F6E" w:rsidRDefault="00356F6E" w:rsidP="00D707AB">
      <w:pPr>
        <w:tabs>
          <w:tab w:val="left" w:pos="284"/>
        </w:tabs>
        <w:spacing w:after="0"/>
        <w:ind w:left="284" w:hanging="284"/>
        <w:rPr>
          <w:szCs w:val="22"/>
          <w:lang w:val="cs-CZ"/>
        </w:rPr>
      </w:pPr>
      <w:r w:rsidRPr="003D520D">
        <w:rPr>
          <w:szCs w:val="22"/>
          <w:lang w:val="cs-CZ"/>
        </w:rPr>
        <w:t>**</w:t>
      </w:r>
      <w:r w:rsidRPr="003D520D">
        <w:rPr>
          <w:szCs w:val="22"/>
          <w:lang w:val="cs-CZ"/>
        </w:rPr>
        <w:tab/>
        <w:t xml:space="preserve">syndrom </w:t>
      </w:r>
      <w:proofErr w:type="spellStart"/>
      <w:r w:rsidRPr="003D520D">
        <w:rPr>
          <w:szCs w:val="22"/>
          <w:lang w:val="cs-CZ"/>
        </w:rPr>
        <w:t>palmoplantární</w:t>
      </w:r>
      <w:proofErr w:type="spellEnd"/>
      <w:r w:rsidRPr="003D520D">
        <w:rPr>
          <w:szCs w:val="22"/>
          <w:lang w:val="cs-CZ"/>
        </w:rPr>
        <w:t xml:space="preserve"> </w:t>
      </w:r>
      <w:proofErr w:type="spellStart"/>
      <w:r w:rsidRPr="003D520D">
        <w:rPr>
          <w:szCs w:val="22"/>
          <w:lang w:val="cs-CZ"/>
        </w:rPr>
        <w:t>erytrodysestézie</w:t>
      </w:r>
      <w:proofErr w:type="spellEnd"/>
      <w:r w:rsidRPr="003D520D">
        <w:rPr>
          <w:szCs w:val="22"/>
          <w:lang w:val="cs-CZ"/>
        </w:rPr>
        <w:t xml:space="preserve"> v terminologii </w:t>
      </w:r>
      <w:proofErr w:type="spellStart"/>
      <w:r w:rsidRPr="003D520D">
        <w:rPr>
          <w:szCs w:val="22"/>
          <w:lang w:val="cs-CZ"/>
        </w:rPr>
        <w:t>MedDRA</w:t>
      </w:r>
      <w:proofErr w:type="spellEnd"/>
    </w:p>
    <w:p w14:paraId="7C8FBCE1" w14:textId="144BAF22" w:rsidR="00F1495D" w:rsidRPr="003D520D" w:rsidRDefault="00123B11" w:rsidP="00D707AB">
      <w:pPr>
        <w:tabs>
          <w:tab w:val="left" w:pos="284"/>
        </w:tabs>
        <w:spacing w:after="0"/>
        <w:ind w:left="284" w:hanging="284"/>
        <w:rPr>
          <w:szCs w:val="22"/>
          <w:lang w:val="cs-CZ"/>
        </w:rPr>
      </w:pPr>
      <w:r w:rsidRPr="00C32495">
        <w:rPr>
          <w:szCs w:val="22"/>
          <w:lang w:val="cs-CZ"/>
        </w:rPr>
        <w:t>***</w:t>
      </w:r>
      <w:r w:rsidR="00842085" w:rsidRPr="00C32495">
        <w:rPr>
          <w:szCs w:val="22"/>
          <w:lang w:val="cs-CZ"/>
        </w:rPr>
        <w:t xml:space="preserve"> </w:t>
      </w:r>
      <w:proofErr w:type="spellStart"/>
      <w:r w:rsidR="00842085" w:rsidRPr="00C32495">
        <w:rPr>
          <w:szCs w:val="22"/>
          <w:lang w:val="cs-CZ"/>
        </w:rPr>
        <w:t>Nečastěji</w:t>
      </w:r>
      <w:proofErr w:type="spellEnd"/>
      <w:r w:rsidR="00842085" w:rsidRPr="00C32495">
        <w:rPr>
          <w:szCs w:val="22"/>
          <w:lang w:val="cs-CZ"/>
        </w:rPr>
        <w:t xml:space="preserve"> hláše</w:t>
      </w:r>
      <w:r w:rsidR="003C37D6" w:rsidRPr="00C32495">
        <w:rPr>
          <w:szCs w:val="22"/>
          <w:lang w:val="cs-CZ"/>
        </w:rPr>
        <w:t>nými typy bolesti (≥</w:t>
      </w:r>
      <w:proofErr w:type="gramStart"/>
      <w:r w:rsidR="003C37D6" w:rsidRPr="00C32495">
        <w:rPr>
          <w:szCs w:val="22"/>
          <w:lang w:val="cs-CZ"/>
        </w:rPr>
        <w:t>10%</w:t>
      </w:r>
      <w:proofErr w:type="gramEnd"/>
      <w:r w:rsidR="003C37D6" w:rsidRPr="00C32495">
        <w:rPr>
          <w:szCs w:val="22"/>
          <w:lang w:val="cs-CZ"/>
        </w:rPr>
        <w:t>)</w:t>
      </w:r>
      <w:r w:rsidR="00162FAF" w:rsidRPr="00C32495">
        <w:rPr>
          <w:szCs w:val="22"/>
          <w:lang w:val="cs-CZ"/>
        </w:rPr>
        <w:t xml:space="preserve"> </w:t>
      </w:r>
      <w:r w:rsidR="00E26AEE" w:rsidRPr="00C32495">
        <w:rPr>
          <w:szCs w:val="22"/>
          <w:lang w:val="cs-CZ"/>
        </w:rPr>
        <w:t>jsou</w:t>
      </w:r>
      <w:r w:rsidR="00162FAF" w:rsidRPr="00C32495">
        <w:rPr>
          <w:szCs w:val="22"/>
          <w:lang w:val="cs-CZ"/>
        </w:rPr>
        <w:t xml:space="preserve"> bolest břicha a bolest zad</w:t>
      </w:r>
    </w:p>
    <w:p w14:paraId="7D457631" w14:textId="77777777" w:rsidR="00CA33A2" w:rsidRDefault="00356F6E" w:rsidP="00CA33A2">
      <w:pPr>
        <w:tabs>
          <w:tab w:val="left" w:pos="284"/>
        </w:tabs>
        <w:spacing w:after="0"/>
        <w:ind w:left="284" w:hanging="284"/>
        <w:rPr>
          <w:szCs w:val="22"/>
          <w:lang w:val="cs-CZ"/>
        </w:rPr>
      </w:pPr>
      <w:r w:rsidRPr="003D520D">
        <w:rPr>
          <w:szCs w:val="22"/>
          <w:vertAlign w:val="superscript"/>
          <w:lang w:val="cs-CZ"/>
        </w:rPr>
        <w:t>#</w:t>
      </w:r>
      <w:r w:rsidRPr="003D520D">
        <w:rPr>
          <w:szCs w:val="22"/>
          <w:lang w:val="cs-CZ"/>
        </w:rPr>
        <w:tab/>
        <w:t>podle kritérií léky indukovaného poškození jater (DILI) mezinárodní odborné pracovní skupiny DILI</w:t>
      </w:r>
    </w:p>
    <w:p w14:paraId="7D457632" w14:textId="77777777" w:rsidR="00CA33A2" w:rsidRDefault="00CA33A2" w:rsidP="00CA33A2">
      <w:pPr>
        <w:tabs>
          <w:tab w:val="left" w:pos="284"/>
        </w:tabs>
        <w:spacing w:after="0"/>
        <w:ind w:left="284" w:hanging="284"/>
        <w:rPr>
          <w:szCs w:val="22"/>
          <w:lang w:val="cs-CZ"/>
        </w:rPr>
      </w:pPr>
    </w:p>
    <w:p w14:paraId="7D457633" w14:textId="77777777" w:rsidR="00356F6E" w:rsidRPr="00CA33A2" w:rsidRDefault="00356F6E" w:rsidP="00CA33A2">
      <w:pPr>
        <w:tabs>
          <w:tab w:val="left" w:pos="284"/>
        </w:tabs>
        <w:spacing w:after="0"/>
        <w:ind w:left="284" w:hanging="284"/>
        <w:rPr>
          <w:iCs/>
          <w:szCs w:val="22"/>
          <w:u w:val="single"/>
          <w:lang w:val="cs-CZ"/>
        </w:rPr>
      </w:pPr>
      <w:r w:rsidRPr="00CA33A2">
        <w:rPr>
          <w:iCs/>
          <w:szCs w:val="22"/>
          <w:u w:val="single"/>
          <w:lang w:val="cs-CZ"/>
        </w:rPr>
        <w:t>Popis vybraných nežádoucích účinků</w:t>
      </w:r>
    </w:p>
    <w:p w14:paraId="7D457634" w14:textId="77777777" w:rsidR="00070CFD" w:rsidRPr="003D520D" w:rsidRDefault="004C7646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Ve většině případů </w:t>
      </w:r>
      <w:r w:rsidR="008B40B5">
        <w:rPr>
          <w:sz w:val="22"/>
          <w:szCs w:val="22"/>
          <w:lang w:val="cs-CZ"/>
        </w:rPr>
        <w:t xml:space="preserve">těžké poruchy funkce jater </w:t>
      </w:r>
      <w:r>
        <w:rPr>
          <w:sz w:val="22"/>
          <w:szCs w:val="22"/>
          <w:lang w:val="cs-CZ"/>
        </w:rPr>
        <w:t xml:space="preserve">se jaterní dysfunkce objevila během prvních 2 měsíců léčby a byla charakterizována hepatocelulárním typem poškození se zvýšením hladiny </w:t>
      </w:r>
      <w:proofErr w:type="gramStart"/>
      <w:r>
        <w:rPr>
          <w:sz w:val="22"/>
          <w:szCs w:val="22"/>
          <w:lang w:val="cs-CZ"/>
        </w:rPr>
        <w:t xml:space="preserve">transamináz </w:t>
      </w:r>
      <w:r w:rsidRPr="00107E5A">
        <w:rPr>
          <w:sz w:val="22"/>
          <w:szCs w:val="22"/>
          <w:lang w:val="cs-CZ"/>
        </w:rPr>
        <w:t>&gt;</w:t>
      </w:r>
      <w:proofErr w:type="gramEnd"/>
      <w:r>
        <w:rPr>
          <w:sz w:val="22"/>
          <w:szCs w:val="22"/>
          <w:lang w:val="cs-CZ"/>
        </w:rPr>
        <w:t xml:space="preserve"> 20násobek horní hranice normálních hodnot s následným zvýšením hladiny bilirubinu. V klinických studiích byla pozorována vyšší incidence závažných jaterních poškození s fatálními následky u japonských pacientů </w:t>
      </w:r>
      <w:r w:rsidRPr="00107E5A">
        <w:rPr>
          <w:sz w:val="22"/>
          <w:szCs w:val="22"/>
          <w:lang w:val="cs-CZ"/>
        </w:rPr>
        <w:t>(~</w:t>
      </w:r>
      <w:proofErr w:type="gramStart"/>
      <w:r w:rsidRPr="00107E5A">
        <w:rPr>
          <w:sz w:val="22"/>
          <w:szCs w:val="22"/>
          <w:lang w:val="cs-CZ"/>
        </w:rPr>
        <w:t>1</w:t>
      </w:r>
      <w:r>
        <w:rPr>
          <w:sz w:val="22"/>
          <w:szCs w:val="22"/>
          <w:lang w:val="cs-CZ"/>
        </w:rPr>
        <w:t>,</w:t>
      </w:r>
      <w:r w:rsidRPr="00107E5A">
        <w:rPr>
          <w:sz w:val="22"/>
          <w:szCs w:val="22"/>
          <w:lang w:val="cs-CZ"/>
        </w:rPr>
        <w:t>5%</w:t>
      </w:r>
      <w:proofErr w:type="gramEnd"/>
      <w:r w:rsidRPr="00107E5A">
        <w:rPr>
          <w:sz w:val="22"/>
          <w:szCs w:val="22"/>
          <w:lang w:val="cs-CZ"/>
        </w:rPr>
        <w:t>)</w:t>
      </w:r>
      <w:r>
        <w:rPr>
          <w:sz w:val="22"/>
          <w:szCs w:val="22"/>
          <w:lang w:val="cs-CZ"/>
        </w:rPr>
        <w:t xml:space="preserve"> léčených přípravkem </w:t>
      </w:r>
      <w:proofErr w:type="spellStart"/>
      <w:r>
        <w:rPr>
          <w:sz w:val="22"/>
          <w:szCs w:val="22"/>
          <w:lang w:val="cs-CZ"/>
        </w:rPr>
        <w:t>Stivarga</w:t>
      </w:r>
      <w:proofErr w:type="spellEnd"/>
      <w:r>
        <w:rPr>
          <w:sz w:val="22"/>
          <w:szCs w:val="22"/>
          <w:lang w:val="cs-CZ"/>
        </w:rPr>
        <w:t xml:space="preserve"> ve srovnání s jinými (ne japonskými) pacienty (</w:t>
      </w:r>
      <w:r w:rsidRPr="00107E5A">
        <w:rPr>
          <w:sz w:val="22"/>
          <w:szCs w:val="22"/>
          <w:lang w:val="cs-CZ"/>
        </w:rPr>
        <w:t>&lt;</w:t>
      </w:r>
      <w:proofErr w:type="gramStart"/>
      <w:r w:rsidRPr="00107E5A">
        <w:rPr>
          <w:sz w:val="22"/>
          <w:szCs w:val="22"/>
          <w:lang w:val="cs-CZ"/>
        </w:rPr>
        <w:t>0</w:t>
      </w:r>
      <w:r>
        <w:rPr>
          <w:sz w:val="22"/>
          <w:szCs w:val="22"/>
          <w:lang w:val="cs-CZ"/>
        </w:rPr>
        <w:t>,</w:t>
      </w:r>
      <w:r w:rsidRPr="00107E5A">
        <w:rPr>
          <w:sz w:val="22"/>
          <w:szCs w:val="22"/>
          <w:lang w:val="cs-CZ"/>
        </w:rPr>
        <w:t>1%</w:t>
      </w:r>
      <w:proofErr w:type="gramEnd"/>
      <w:r w:rsidRPr="00107E5A">
        <w:rPr>
          <w:sz w:val="22"/>
          <w:szCs w:val="22"/>
          <w:lang w:val="cs-CZ"/>
        </w:rPr>
        <w:t>).</w:t>
      </w:r>
    </w:p>
    <w:p w14:paraId="7D457635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V</w:t>
      </w:r>
      <w:r w:rsidR="00996CE6">
        <w:rPr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 xml:space="preserve">placebem </w:t>
      </w:r>
      <w:r w:rsidR="003C3C2F" w:rsidRPr="003D520D">
        <w:rPr>
          <w:sz w:val="22"/>
          <w:szCs w:val="22"/>
          <w:lang w:val="cs-CZ"/>
        </w:rPr>
        <w:t xml:space="preserve">kontrolovaných </w:t>
      </w:r>
      <w:r w:rsidRPr="003D520D">
        <w:rPr>
          <w:sz w:val="22"/>
          <w:szCs w:val="22"/>
          <w:lang w:val="cs-CZ"/>
        </w:rPr>
        <w:t>studi</w:t>
      </w:r>
      <w:r w:rsidR="003C3C2F" w:rsidRPr="003D520D">
        <w:rPr>
          <w:sz w:val="22"/>
          <w:szCs w:val="22"/>
          <w:lang w:val="cs-CZ"/>
        </w:rPr>
        <w:t>ích</w:t>
      </w:r>
      <w:r w:rsidRPr="003D520D">
        <w:rPr>
          <w:sz w:val="22"/>
          <w:szCs w:val="22"/>
          <w:lang w:val="cs-CZ"/>
        </w:rPr>
        <w:t xml:space="preserve"> fáze</w:t>
      </w:r>
      <w:r w:rsidR="00485DCE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III byl celkový výskyt</w:t>
      </w:r>
      <w:r w:rsidRPr="003D520D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AD53AB" w:rsidRPr="003D520D">
        <w:rPr>
          <w:sz w:val="22"/>
          <w:szCs w:val="22"/>
          <w:lang w:val="cs-CZ"/>
        </w:rPr>
        <w:t>hemorhagie</w:t>
      </w:r>
      <w:proofErr w:type="spellEnd"/>
      <w:r w:rsidR="003C3C2F" w:rsidRPr="003D520D">
        <w:rPr>
          <w:sz w:val="22"/>
          <w:szCs w:val="22"/>
          <w:lang w:val="cs-CZ"/>
        </w:rPr>
        <w:t xml:space="preserve"> </w:t>
      </w:r>
      <w:r w:rsidR="000E1C60">
        <w:rPr>
          <w:sz w:val="22"/>
          <w:szCs w:val="22"/>
          <w:lang w:val="cs-CZ"/>
        </w:rPr>
        <w:t>18,2</w:t>
      </w:r>
      <w:r w:rsidR="00A2705A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% u pacientů léčených přípravkem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="000E1C60">
        <w:rPr>
          <w:sz w:val="22"/>
          <w:szCs w:val="22"/>
          <w:lang w:val="cs-CZ"/>
        </w:rPr>
        <w:t xml:space="preserve"> a u 9,5 % pacientů dostávajících placebo</w:t>
      </w:r>
      <w:r w:rsidRPr="003D520D">
        <w:rPr>
          <w:i/>
          <w:iCs/>
          <w:sz w:val="22"/>
          <w:szCs w:val="22"/>
          <w:lang w:val="cs-CZ"/>
        </w:rPr>
        <w:t>.</w:t>
      </w:r>
      <w:r w:rsidR="002529D6" w:rsidRPr="003D520D">
        <w:rPr>
          <w:i/>
          <w:iCs/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 xml:space="preserve">Většina případů výskytu krvácivých příhod </w:t>
      </w:r>
      <w:r w:rsidR="0024459F" w:rsidRPr="003D520D">
        <w:rPr>
          <w:sz w:val="22"/>
          <w:szCs w:val="22"/>
          <w:lang w:val="cs-CZ"/>
        </w:rPr>
        <w:t xml:space="preserve">u pacientů léčených přípravkem </w:t>
      </w:r>
      <w:proofErr w:type="spellStart"/>
      <w:r w:rsidR="0024459F" w:rsidRPr="003D520D">
        <w:rPr>
          <w:sz w:val="22"/>
          <w:szCs w:val="22"/>
          <w:lang w:val="cs-CZ"/>
        </w:rPr>
        <w:t>Stivarga</w:t>
      </w:r>
      <w:proofErr w:type="spellEnd"/>
      <w:r w:rsidR="0024459F" w:rsidRPr="003D520D">
        <w:rPr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 xml:space="preserve">byla </w:t>
      </w:r>
      <w:r w:rsidR="008B40B5">
        <w:rPr>
          <w:sz w:val="22"/>
          <w:szCs w:val="22"/>
          <w:lang w:val="cs-CZ"/>
        </w:rPr>
        <w:t>lehká</w:t>
      </w:r>
      <w:r w:rsidRPr="003D520D">
        <w:rPr>
          <w:sz w:val="22"/>
          <w:szCs w:val="22"/>
          <w:lang w:val="cs-CZ"/>
        </w:rPr>
        <w:t xml:space="preserve"> až středně </w:t>
      </w:r>
      <w:r w:rsidR="008B40B5">
        <w:rPr>
          <w:sz w:val="22"/>
          <w:szCs w:val="22"/>
          <w:lang w:val="cs-CZ"/>
        </w:rPr>
        <w:t>těžká</w:t>
      </w:r>
      <w:r w:rsidRPr="003D520D">
        <w:rPr>
          <w:sz w:val="22"/>
          <w:szCs w:val="22"/>
          <w:lang w:val="cs-CZ"/>
        </w:rPr>
        <w:t xml:space="preserve"> (stupně</w:t>
      </w:r>
      <w:r w:rsidR="00A2705A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1 a 2: </w:t>
      </w:r>
      <w:r w:rsidR="000E1C60">
        <w:rPr>
          <w:sz w:val="22"/>
          <w:szCs w:val="22"/>
          <w:lang w:val="cs-CZ"/>
        </w:rPr>
        <w:t>15,2</w:t>
      </w:r>
      <w:r w:rsidR="003C3C2F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%), nejvýznamněji epistaxe (</w:t>
      </w:r>
      <w:r w:rsidR="000E1C60">
        <w:rPr>
          <w:sz w:val="22"/>
          <w:szCs w:val="22"/>
          <w:lang w:val="cs-CZ"/>
        </w:rPr>
        <w:t>6,1</w:t>
      </w:r>
      <w:r w:rsidR="00485DCE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%). Fatální </w:t>
      </w:r>
      <w:r w:rsidR="000E1C60">
        <w:rPr>
          <w:sz w:val="22"/>
          <w:szCs w:val="22"/>
          <w:lang w:val="cs-CZ"/>
        </w:rPr>
        <w:t>následek</w:t>
      </w:r>
      <w:r w:rsidR="0024459F" w:rsidRPr="003D520D">
        <w:rPr>
          <w:sz w:val="22"/>
          <w:szCs w:val="22"/>
          <w:lang w:val="cs-CZ"/>
        </w:rPr>
        <w:t xml:space="preserve"> u pacientů léčených přípravkem </w:t>
      </w:r>
      <w:proofErr w:type="spellStart"/>
      <w:r w:rsidR="0024459F"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 byl méně čast</w:t>
      </w:r>
      <w:r w:rsidR="004D299A">
        <w:rPr>
          <w:sz w:val="22"/>
          <w:szCs w:val="22"/>
          <w:lang w:val="cs-CZ"/>
        </w:rPr>
        <w:t>ý</w:t>
      </w:r>
      <w:r w:rsidR="00614179">
        <w:rPr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>(0,</w:t>
      </w:r>
      <w:r w:rsidR="000E1C60">
        <w:rPr>
          <w:sz w:val="22"/>
          <w:szCs w:val="22"/>
          <w:lang w:val="cs-CZ"/>
        </w:rPr>
        <w:t>7</w:t>
      </w:r>
      <w:r w:rsidR="003C3C2F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%) a zahrnoval</w:t>
      </w:r>
      <w:r w:rsidR="000E1C60">
        <w:rPr>
          <w:sz w:val="22"/>
          <w:szCs w:val="22"/>
          <w:lang w:val="cs-CZ"/>
        </w:rPr>
        <w:t xml:space="preserve"> cerebrální,</w:t>
      </w:r>
      <w:r w:rsidRPr="003D520D">
        <w:rPr>
          <w:sz w:val="22"/>
          <w:szCs w:val="22"/>
          <w:lang w:val="cs-CZ"/>
        </w:rPr>
        <w:t xml:space="preserve"> respirační, gastrointestinální a </w:t>
      </w:r>
      <w:r w:rsidR="002B1E34" w:rsidRPr="003D520D">
        <w:rPr>
          <w:sz w:val="22"/>
          <w:szCs w:val="22"/>
          <w:lang w:val="cs-CZ"/>
        </w:rPr>
        <w:t>urogenitální</w:t>
      </w:r>
      <w:r w:rsidRPr="003D520D">
        <w:rPr>
          <w:sz w:val="22"/>
          <w:szCs w:val="22"/>
          <w:lang w:val="cs-CZ"/>
        </w:rPr>
        <w:t xml:space="preserve"> </w:t>
      </w:r>
      <w:r w:rsidR="000E1C60">
        <w:rPr>
          <w:sz w:val="22"/>
          <w:szCs w:val="22"/>
          <w:lang w:val="cs-CZ"/>
        </w:rPr>
        <w:t>příhody.</w:t>
      </w:r>
    </w:p>
    <w:p w14:paraId="7D457636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637" w14:textId="77777777" w:rsidR="00356F6E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V placebem </w:t>
      </w:r>
      <w:r w:rsidR="0033303C" w:rsidRPr="003D520D">
        <w:rPr>
          <w:sz w:val="22"/>
          <w:szCs w:val="22"/>
          <w:lang w:val="cs-CZ"/>
        </w:rPr>
        <w:t xml:space="preserve">kontrolovaných studiích </w:t>
      </w:r>
      <w:r w:rsidRPr="003D520D">
        <w:rPr>
          <w:sz w:val="22"/>
          <w:szCs w:val="22"/>
          <w:lang w:val="cs-CZ"/>
        </w:rPr>
        <w:t>fáze</w:t>
      </w:r>
      <w:r w:rsidR="00485DCE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III byly infekce častěji pozorovány u pacientů léčených přípravkem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 ve srovnání s pacienty na placebu (všechny stupně: </w:t>
      </w:r>
      <w:r w:rsidR="0033303C" w:rsidRPr="003D520D">
        <w:rPr>
          <w:sz w:val="22"/>
          <w:szCs w:val="22"/>
          <w:lang w:val="cs-CZ"/>
        </w:rPr>
        <w:t>31,</w:t>
      </w:r>
      <w:r w:rsidR="00996CE6">
        <w:rPr>
          <w:sz w:val="22"/>
          <w:szCs w:val="22"/>
          <w:lang w:val="cs-CZ"/>
        </w:rPr>
        <w:t>6</w:t>
      </w:r>
      <w:r w:rsidR="00485DCE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% vs. </w:t>
      </w:r>
      <w:r w:rsidR="00996CE6">
        <w:rPr>
          <w:sz w:val="22"/>
          <w:szCs w:val="22"/>
          <w:lang w:val="cs-CZ"/>
        </w:rPr>
        <w:t>17,2</w:t>
      </w:r>
      <w:r w:rsidR="00485DCE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%). Většina infekcí u pacientů léčených přípravkem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 byla </w:t>
      </w:r>
      <w:r w:rsidR="008B40B5">
        <w:rPr>
          <w:sz w:val="22"/>
          <w:szCs w:val="22"/>
          <w:lang w:val="cs-CZ"/>
        </w:rPr>
        <w:t>lehká</w:t>
      </w:r>
      <w:r w:rsidRPr="003D520D">
        <w:rPr>
          <w:sz w:val="22"/>
          <w:szCs w:val="22"/>
          <w:lang w:val="cs-CZ"/>
        </w:rPr>
        <w:t xml:space="preserve"> až středně </w:t>
      </w:r>
      <w:r w:rsidR="008B40B5">
        <w:rPr>
          <w:sz w:val="22"/>
          <w:szCs w:val="22"/>
          <w:lang w:val="cs-CZ"/>
        </w:rPr>
        <w:t>těžká</w:t>
      </w:r>
      <w:r w:rsidRPr="003D520D">
        <w:rPr>
          <w:sz w:val="22"/>
          <w:szCs w:val="22"/>
          <w:lang w:val="cs-CZ"/>
        </w:rPr>
        <w:t xml:space="preserve"> (stupně</w:t>
      </w:r>
      <w:r w:rsidR="00A2705A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1 a 2: </w:t>
      </w:r>
      <w:r w:rsidR="00996CE6">
        <w:rPr>
          <w:sz w:val="22"/>
          <w:szCs w:val="22"/>
          <w:lang w:val="cs-CZ"/>
        </w:rPr>
        <w:t>23,0</w:t>
      </w:r>
      <w:r w:rsidR="0033303C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%) a zahrnovaly infekce močového traktu (</w:t>
      </w:r>
      <w:r w:rsidR="00996CE6">
        <w:rPr>
          <w:sz w:val="22"/>
          <w:szCs w:val="22"/>
          <w:lang w:val="cs-CZ"/>
        </w:rPr>
        <w:t>5,7</w:t>
      </w:r>
      <w:r w:rsidR="00485DCE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%)</w:t>
      </w:r>
      <w:r w:rsidR="0033303C" w:rsidRPr="003D520D">
        <w:rPr>
          <w:sz w:val="22"/>
          <w:szCs w:val="22"/>
          <w:lang w:val="cs-CZ"/>
        </w:rPr>
        <w:t xml:space="preserve">, </w:t>
      </w:r>
      <w:proofErr w:type="spellStart"/>
      <w:r w:rsidR="0033303C" w:rsidRPr="003D520D">
        <w:rPr>
          <w:sz w:val="22"/>
          <w:szCs w:val="22"/>
          <w:lang w:val="cs-CZ"/>
        </w:rPr>
        <w:t>nasofaryngitidu</w:t>
      </w:r>
      <w:proofErr w:type="spellEnd"/>
      <w:r w:rsidR="0033303C" w:rsidRPr="003D520D">
        <w:rPr>
          <w:sz w:val="22"/>
          <w:szCs w:val="22"/>
          <w:lang w:val="cs-CZ"/>
        </w:rPr>
        <w:t xml:space="preserve"> (</w:t>
      </w:r>
      <w:r w:rsidR="00996CE6">
        <w:rPr>
          <w:sz w:val="22"/>
          <w:szCs w:val="22"/>
          <w:lang w:val="cs-CZ"/>
        </w:rPr>
        <w:t>4,0</w:t>
      </w:r>
      <w:r w:rsidR="0033303C" w:rsidRPr="003D520D">
        <w:rPr>
          <w:sz w:val="22"/>
          <w:szCs w:val="22"/>
          <w:lang w:val="cs-CZ"/>
        </w:rPr>
        <w:t> %)</w:t>
      </w:r>
      <w:r w:rsidR="00996CE6">
        <w:rPr>
          <w:sz w:val="22"/>
          <w:szCs w:val="22"/>
          <w:lang w:val="cs-CZ"/>
        </w:rPr>
        <w:t>,</w:t>
      </w:r>
      <w:r w:rsidRPr="003D520D">
        <w:rPr>
          <w:sz w:val="22"/>
          <w:szCs w:val="22"/>
          <w:lang w:val="cs-CZ"/>
        </w:rPr>
        <w:t xml:space="preserve"> </w:t>
      </w:r>
      <w:proofErr w:type="spellStart"/>
      <w:r w:rsidRPr="003D520D">
        <w:rPr>
          <w:sz w:val="22"/>
          <w:szCs w:val="22"/>
          <w:lang w:val="cs-CZ"/>
        </w:rPr>
        <w:t>mukokutánní</w:t>
      </w:r>
      <w:proofErr w:type="spellEnd"/>
      <w:r w:rsidRPr="003D520D">
        <w:rPr>
          <w:sz w:val="22"/>
          <w:szCs w:val="22"/>
          <w:lang w:val="cs-CZ"/>
        </w:rPr>
        <w:t xml:space="preserve"> a systémové mykotické infekce (</w:t>
      </w:r>
      <w:r w:rsidR="00996CE6">
        <w:rPr>
          <w:sz w:val="22"/>
          <w:szCs w:val="22"/>
          <w:lang w:val="cs-CZ"/>
        </w:rPr>
        <w:t>3,3</w:t>
      </w:r>
      <w:r w:rsidR="00485DCE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%)</w:t>
      </w:r>
      <w:r w:rsidR="00996CE6">
        <w:rPr>
          <w:sz w:val="22"/>
          <w:szCs w:val="22"/>
          <w:lang w:val="cs-CZ"/>
        </w:rPr>
        <w:t xml:space="preserve"> a rovněž pneumonii (2,6 %)</w:t>
      </w:r>
      <w:r w:rsidRPr="003D520D">
        <w:rPr>
          <w:sz w:val="22"/>
          <w:szCs w:val="22"/>
          <w:lang w:val="cs-CZ"/>
        </w:rPr>
        <w:t xml:space="preserve">. </w:t>
      </w:r>
      <w:r w:rsidR="00996CE6">
        <w:rPr>
          <w:sz w:val="22"/>
          <w:szCs w:val="22"/>
          <w:lang w:val="cs-CZ"/>
        </w:rPr>
        <w:t xml:space="preserve">Fatální následky související s infekcí byly </w:t>
      </w:r>
      <w:r w:rsidR="00996CE6">
        <w:rPr>
          <w:sz w:val="22"/>
          <w:szCs w:val="22"/>
          <w:lang w:val="cs-CZ"/>
        </w:rPr>
        <w:lastRenderedPageBreak/>
        <w:t xml:space="preserve">pozorovány častěji u pacientů léčených přípravkem </w:t>
      </w:r>
      <w:proofErr w:type="spellStart"/>
      <w:r w:rsidR="00996CE6">
        <w:rPr>
          <w:sz w:val="22"/>
          <w:szCs w:val="22"/>
          <w:lang w:val="cs-CZ"/>
        </w:rPr>
        <w:t>Stivarga</w:t>
      </w:r>
      <w:proofErr w:type="spellEnd"/>
      <w:r w:rsidR="00996CE6">
        <w:rPr>
          <w:sz w:val="22"/>
          <w:szCs w:val="22"/>
          <w:lang w:val="cs-CZ"/>
        </w:rPr>
        <w:t xml:space="preserve"> (1,0 %) ve srovnání s pacienty užívajícími placebo (0,3 %) a šlo zejména o respirační příhody. </w:t>
      </w:r>
    </w:p>
    <w:p w14:paraId="7D457638" w14:textId="77777777" w:rsidR="00FE09BF" w:rsidRPr="003D520D" w:rsidRDefault="00FE09BF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639" w14:textId="77777777" w:rsidR="00B02319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V placebem kontrolovan</w:t>
      </w:r>
      <w:r w:rsidR="00996CE6">
        <w:rPr>
          <w:sz w:val="22"/>
          <w:szCs w:val="22"/>
          <w:lang w:val="cs-CZ"/>
        </w:rPr>
        <w:t>ých</w:t>
      </w:r>
      <w:r w:rsidRPr="003D520D">
        <w:rPr>
          <w:sz w:val="22"/>
          <w:szCs w:val="22"/>
          <w:lang w:val="cs-CZ"/>
        </w:rPr>
        <w:t xml:space="preserve"> studi</w:t>
      </w:r>
      <w:r w:rsidR="00996CE6">
        <w:rPr>
          <w:sz w:val="22"/>
          <w:szCs w:val="22"/>
          <w:lang w:val="cs-CZ"/>
        </w:rPr>
        <w:t>ích</w:t>
      </w:r>
      <w:r w:rsidRPr="003D520D">
        <w:rPr>
          <w:sz w:val="22"/>
          <w:szCs w:val="22"/>
          <w:lang w:val="cs-CZ"/>
        </w:rPr>
        <w:t xml:space="preserve"> fáze</w:t>
      </w:r>
      <w:r w:rsidR="00485DCE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III byl celkový výskyt kožní reakc</w:t>
      </w:r>
      <w:r w:rsidR="00491367" w:rsidRPr="003D520D">
        <w:rPr>
          <w:sz w:val="22"/>
          <w:szCs w:val="22"/>
          <w:lang w:val="cs-CZ"/>
        </w:rPr>
        <w:t>e</w:t>
      </w:r>
      <w:r w:rsidRPr="003D520D">
        <w:rPr>
          <w:sz w:val="22"/>
          <w:szCs w:val="22"/>
          <w:lang w:val="cs-CZ"/>
        </w:rPr>
        <w:t xml:space="preserve"> ruka</w:t>
      </w:r>
      <w:r w:rsidR="005E7471" w:rsidRPr="003D520D">
        <w:rPr>
          <w:sz w:val="22"/>
          <w:szCs w:val="22"/>
          <w:lang w:val="cs-CZ"/>
        </w:rPr>
        <w:t>-</w:t>
      </w:r>
      <w:r w:rsidRPr="003D520D">
        <w:rPr>
          <w:sz w:val="22"/>
          <w:szCs w:val="22"/>
          <w:lang w:val="cs-CZ"/>
        </w:rPr>
        <w:t xml:space="preserve">noha </w:t>
      </w:r>
      <w:r w:rsidR="00996CE6">
        <w:rPr>
          <w:sz w:val="22"/>
          <w:szCs w:val="22"/>
          <w:lang w:val="cs-CZ"/>
        </w:rPr>
        <w:t>vyšší</w:t>
      </w:r>
      <w:r w:rsidRPr="003D520D">
        <w:rPr>
          <w:sz w:val="22"/>
          <w:szCs w:val="22"/>
          <w:lang w:val="cs-CZ"/>
        </w:rPr>
        <w:t xml:space="preserve"> u pacientů léčených přípravkem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="00B02319" w:rsidRPr="003D520D">
        <w:rPr>
          <w:sz w:val="22"/>
          <w:szCs w:val="22"/>
          <w:lang w:val="cs-CZ"/>
        </w:rPr>
        <w:t xml:space="preserve"> </w:t>
      </w:r>
      <w:r w:rsidR="008B7563" w:rsidRPr="003D520D">
        <w:rPr>
          <w:sz w:val="22"/>
          <w:szCs w:val="22"/>
          <w:lang w:val="cs-CZ"/>
        </w:rPr>
        <w:t>ve srovnání s</w:t>
      </w:r>
      <w:r w:rsidR="00B02319" w:rsidRPr="003D520D">
        <w:rPr>
          <w:sz w:val="22"/>
          <w:szCs w:val="22"/>
          <w:lang w:val="cs-CZ"/>
        </w:rPr>
        <w:t xml:space="preserve"> pacient</w:t>
      </w:r>
      <w:r w:rsidR="00996CE6">
        <w:rPr>
          <w:sz w:val="22"/>
          <w:szCs w:val="22"/>
          <w:lang w:val="cs-CZ"/>
        </w:rPr>
        <w:t>y</w:t>
      </w:r>
      <w:r w:rsidR="00B02319" w:rsidRPr="003D520D">
        <w:rPr>
          <w:sz w:val="22"/>
          <w:szCs w:val="22"/>
          <w:lang w:val="cs-CZ"/>
        </w:rPr>
        <w:t xml:space="preserve"> užívající</w:t>
      </w:r>
      <w:r w:rsidR="00996CE6">
        <w:rPr>
          <w:sz w:val="22"/>
          <w:szCs w:val="22"/>
          <w:lang w:val="cs-CZ"/>
        </w:rPr>
        <w:t>mi</w:t>
      </w:r>
      <w:r w:rsidR="00B02319" w:rsidRPr="003D520D">
        <w:rPr>
          <w:sz w:val="22"/>
          <w:szCs w:val="22"/>
          <w:lang w:val="cs-CZ"/>
        </w:rPr>
        <w:t xml:space="preserve"> placebo</w:t>
      </w:r>
      <w:r w:rsidR="00996CE6">
        <w:rPr>
          <w:sz w:val="22"/>
          <w:szCs w:val="22"/>
          <w:lang w:val="cs-CZ"/>
        </w:rPr>
        <w:t xml:space="preserve"> (všechny stupně: </w:t>
      </w:r>
      <w:r w:rsidR="00996CE6" w:rsidRPr="00996CE6">
        <w:rPr>
          <w:sz w:val="22"/>
          <w:szCs w:val="22"/>
          <w:lang w:val="cs-CZ"/>
        </w:rPr>
        <w:t>51</w:t>
      </w:r>
      <w:r w:rsidR="00996CE6">
        <w:rPr>
          <w:sz w:val="22"/>
          <w:szCs w:val="22"/>
          <w:lang w:val="cs-CZ"/>
        </w:rPr>
        <w:t>,</w:t>
      </w:r>
      <w:r w:rsidR="00996CE6" w:rsidRPr="00996CE6">
        <w:rPr>
          <w:sz w:val="22"/>
          <w:szCs w:val="22"/>
          <w:lang w:val="cs-CZ"/>
        </w:rPr>
        <w:t>4</w:t>
      </w:r>
      <w:r w:rsidR="00996CE6">
        <w:rPr>
          <w:sz w:val="22"/>
          <w:szCs w:val="22"/>
          <w:lang w:val="cs-CZ"/>
        </w:rPr>
        <w:t xml:space="preserve"> </w:t>
      </w:r>
      <w:r w:rsidR="00996CE6" w:rsidRPr="00996CE6">
        <w:rPr>
          <w:sz w:val="22"/>
          <w:szCs w:val="22"/>
          <w:lang w:val="cs-CZ"/>
        </w:rPr>
        <w:t>% vs. 6</w:t>
      </w:r>
      <w:r w:rsidR="00996CE6">
        <w:rPr>
          <w:sz w:val="22"/>
          <w:szCs w:val="22"/>
          <w:lang w:val="cs-CZ"/>
        </w:rPr>
        <w:t>,</w:t>
      </w:r>
      <w:r w:rsidR="00996CE6" w:rsidRPr="00996CE6">
        <w:rPr>
          <w:sz w:val="22"/>
          <w:szCs w:val="22"/>
          <w:lang w:val="cs-CZ"/>
        </w:rPr>
        <w:t>5</w:t>
      </w:r>
      <w:r w:rsidR="00996CE6">
        <w:rPr>
          <w:sz w:val="22"/>
          <w:szCs w:val="22"/>
          <w:lang w:val="cs-CZ"/>
        </w:rPr>
        <w:t xml:space="preserve"> </w:t>
      </w:r>
      <w:r w:rsidR="00996CE6" w:rsidRPr="00996CE6">
        <w:rPr>
          <w:sz w:val="22"/>
          <w:szCs w:val="22"/>
          <w:lang w:val="cs-CZ"/>
        </w:rPr>
        <w:t>% CRC, 66</w:t>
      </w:r>
      <w:r w:rsidR="00996CE6">
        <w:rPr>
          <w:sz w:val="22"/>
          <w:szCs w:val="22"/>
          <w:lang w:val="cs-CZ"/>
        </w:rPr>
        <w:t>,</w:t>
      </w:r>
      <w:r w:rsidR="00996CE6" w:rsidRPr="00996CE6">
        <w:rPr>
          <w:sz w:val="22"/>
          <w:szCs w:val="22"/>
          <w:lang w:val="cs-CZ"/>
        </w:rPr>
        <w:t>7</w:t>
      </w:r>
      <w:r w:rsidR="00996CE6">
        <w:rPr>
          <w:sz w:val="22"/>
          <w:szCs w:val="22"/>
          <w:lang w:val="cs-CZ"/>
        </w:rPr>
        <w:t xml:space="preserve"> </w:t>
      </w:r>
      <w:r w:rsidR="00996CE6" w:rsidRPr="00996CE6">
        <w:rPr>
          <w:sz w:val="22"/>
          <w:szCs w:val="22"/>
          <w:lang w:val="cs-CZ"/>
        </w:rPr>
        <w:t>% vs. 15</w:t>
      </w:r>
      <w:r w:rsidR="00996CE6">
        <w:rPr>
          <w:sz w:val="22"/>
          <w:szCs w:val="22"/>
          <w:lang w:val="cs-CZ"/>
        </w:rPr>
        <w:t>,</w:t>
      </w:r>
      <w:r w:rsidR="00996CE6" w:rsidRPr="00996CE6">
        <w:rPr>
          <w:sz w:val="22"/>
          <w:szCs w:val="22"/>
          <w:lang w:val="cs-CZ"/>
        </w:rPr>
        <w:t>2</w:t>
      </w:r>
      <w:r w:rsidR="00996CE6">
        <w:rPr>
          <w:sz w:val="22"/>
          <w:szCs w:val="22"/>
          <w:lang w:val="cs-CZ"/>
        </w:rPr>
        <w:t xml:space="preserve"> </w:t>
      </w:r>
      <w:r w:rsidR="00996CE6" w:rsidRPr="00996CE6">
        <w:rPr>
          <w:sz w:val="22"/>
          <w:szCs w:val="22"/>
          <w:lang w:val="cs-CZ"/>
        </w:rPr>
        <w:t>% GIST a 51</w:t>
      </w:r>
      <w:r w:rsidR="00996CE6">
        <w:rPr>
          <w:sz w:val="22"/>
          <w:szCs w:val="22"/>
          <w:lang w:val="cs-CZ"/>
        </w:rPr>
        <w:t>,</w:t>
      </w:r>
      <w:r w:rsidR="00996CE6" w:rsidRPr="00996CE6">
        <w:rPr>
          <w:sz w:val="22"/>
          <w:szCs w:val="22"/>
          <w:lang w:val="cs-CZ"/>
        </w:rPr>
        <w:t>6</w:t>
      </w:r>
      <w:r w:rsidR="00996CE6">
        <w:rPr>
          <w:sz w:val="22"/>
          <w:szCs w:val="22"/>
          <w:lang w:val="cs-CZ"/>
        </w:rPr>
        <w:t xml:space="preserve"> </w:t>
      </w:r>
      <w:r w:rsidR="00996CE6" w:rsidRPr="00996CE6">
        <w:rPr>
          <w:sz w:val="22"/>
          <w:szCs w:val="22"/>
          <w:lang w:val="cs-CZ"/>
        </w:rPr>
        <w:t>% vs.</w:t>
      </w:r>
      <w:r w:rsidR="00996CE6">
        <w:rPr>
          <w:sz w:val="22"/>
          <w:szCs w:val="22"/>
          <w:lang w:val="cs-CZ"/>
        </w:rPr>
        <w:t xml:space="preserve"> </w:t>
      </w:r>
      <w:r w:rsidR="00996CE6" w:rsidRPr="00996CE6">
        <w:rPr>
          <w:sz w:val="22"/>
          <w:szCs w:val="22"/>
          <w:lang w:val="cs-CZ"/>
        </w:rPr>
        <w:t>7</w:t>
      </w:r>
      <w:r w:rsidR="00996CE6">
        <w:rPr>
          <w:sz w:val="22"/>
          <w:szCs w:val="22"/>
          <w:lang w:val="cs-CZ"/>
        </w:rPr>
        <w:t>,</w:t>
      </w:r>
      <w:r w:rsidR="00996CE6" w:rsidRPr="00996CE6">
        <w:rPr>
          <w:sz w:val="22"/>
          <w:szCs w:val="22"/>
          <w:lang w:val="cs-CZ"/>
        </w:rPr>
        <w:t>3</w:t>
      </w:r>
      <w:r w:rsidR="00996CE6">
        <w:rPr>
          <w:sz w:val="22"/>
          <w:szCs w:val="22"/>
          <w:lang w:val="cs-CZ"/>
        </w:rPr>
        <w:t xml:space="preserve"> </w:t>
      </w:r>
      <w:r w:rsidR="00996CE6" w:rsidRPr="00996CE6">
        <w:rPr>
          <w:sz w:val="22"/>
          <w:szCs w:val="22"/>
          <w:lang w:val="cs-CZ"/>
        </w:rPr>
        <w:t>% HCC)</w:t>
      </w:r>
      <w:r w:rsidRPr="003D520D">
        <w:rPr>
          <w:sz w:val="22"/>
          <w:szCs w:val="22"/>
          <w:lang w:val="cs-CZ"/>
        </w:rPr>
        <w:t xml:space="preserve">. </w:t>
      </w:r>
      <w:r w:rsidR="00996CE6">
        <w:rPr>
          <w:sz w:val="22"/>
          <w:szCs w:val="22"/>
          <w:lang w:val="cs-CZ"/>
        </w:rPr>
        <w:t>V</w:t>
      </w:r>
      <w:r w:rsidRPr="003D520D">
        <w:rPr>
          <w:sz w:val="22"/>
          <w:szCs w:val="22"/>
          <w:lang w:val="cs-CZ"/>
        </w:rPr>
        <w:t>ětšina případů kožní reakc</w:t>
      </w:r>
      <w:r w:rsidR="008E5D96" w:rsidRPr="003D520D">
        <w:rPr>
          <w:sz w:val="22"/>
          <w:szCs w:val="22"/>
          <w:lang w:val="cs-CZ"/>
        </w:rPr>
        <w:t>e</w:t>
      </w:r>
      <w:r w:rsidRPr="003D520D">
        <w:rPr>
          <w:sz w:val="22"/>
          <w:szCs w:val="22"/>
          <w:lang w:val="cs-CZ"/>
        </w:rPr>
        <w:t xml:space="preserve"> ruka</w:t>
      </w:r>
      <w:r w:rsidR="005E7471" w:rsidRPr="003D520D">
        <w:rPr>
          <w:sz w:val="22"/>
          <w:szCs w:val="22"/>
          <w:lang w:val="cs-CZ"/>
        </w:rPr>
        <w:t>-</w:t>
      </w:r>
      <w:r w:rsidRPr="003D520D">
        <w:rPr>
          <w:sz w:val="22"/>
          <w:szCs w:val="22"/>
          <w:lang w:val="cs-CZ"/>
        </w:rPr>
        <w:t>noha</w:t>
      </w:r>
      <w:r w:rsidR="008E5D96" w:rsidRPr="003D520D">
        <w:rPr>
          <w:sz w:val="22"/>
          <w:szCs w:val="22"/>
          <w:lang w:val="cs-CZ"/>
        </w:rPr>
        <w:t xml:space="preserve"> </w:t>
      </w:r>
      <w:r w:rsidR="00996CE6">
        <w:rPr>
          <w:sz w:val="22"/>
          <w:szCs w:val="22"/>
          <w:lang w:val="cs-CZ"/>
        </w:rPr>
        <w:t xml:space="preserve">se </w:t>
      </w:r>
      <w:r w:rsidR="008E5D96" w:rsidRPr="003D520D">
        <w:rPr>
          <w:sz w:val="22"/>
          <w:szCs w:val="22"/>
          <w:lang w:val="cs-CZ"/>
        </w:rPr>
        <w:t>objevila během prvního cyklu léčby a</w:t>
      </w:r>
      <w:r w:rsidRPr="003D520D">
        <w:rPr>
          <w:sz w:val="22"/>
          <w:szCs w:val="22"/>
          <w:lang w:val="cs-CZ"/>
        </w:rPr>
        <w:t xml:space="preserve"> byla </w:t>
      </w:r>
      <w:r w:rsidR="008B40B5">
        <w:rPr>
          <w:sz w:val="22"/>
          <w:szCs w:val="22"/>
          <w:lang w:val="cs-CZ"/>
        </w:rPr>
        <w:t>lehká</w:t>
      </w:r>
      <w:r w:rsidRPr="003D520D">
        <w:rPr>
          <w:sz w:val="22"/>
          <w:szCs w:val="22"/>
          <w:lang w:val="cs-CZ"/>
        </w:rPr>
        <w:t xml:space="preserve"> až středně </w:t>
      </w:r>
      <w:r w:rsidR="008B40B5">
        <w:rPr>
          <w:sz w:val="22"/>
          <w:szCs w:val="22"/>
          <w:lang w:val="cs-CZ"/>
        </w:rPr>
        <w:t>těžká</w:t>
      </w:r>
      <w:r w:rsidRPr="003D520D">
        <w:rPr>
          <w:sz w:val="22"/>
          <w:szCs w:val="22"/>
          <w:lang w:val="cs-CZ"/>
        </w:rPr>
        <w:t xml:space="preserve"> (stupně</w:t>
      </w:r>
      <w:r w:rsidR="00454FC2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1 a 2: </w:t>
      </w:r>
      <w:r w:rsidR="00996CE6">
        <w:rPr>
          <w:sz w:val="22"/>
          <w:szCs w:val="22"/>
          <w:lang w:val="cs-CZ"/>
        </w:rPr>
        <w:t>34,3</w:t>
      </w:r>
      <w:r w:rsidR="00DF131F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%</w:t>
      </w:r>
      <w:r w:rsidR="008E5D96" w:rsidRPr="003D520D">
        <w:rPr>
          <w:sz w:val="22"/>
          <w:szCs w:val="22"/>
          <w:lang w:val="cs-CZ"/>
        </w:rPr>
        <w:t xml:space="preserve"> u CRC</w:t>
      </w:r>
      <w:r w:rsidR="00996CE6">
        <w:rPr>
          <w:sz w:val="22"/>
          <w:szCs w:val="22"/>
          <w:lang w:val="cs-CZ"/>
        </w:rPr>
        <w:t>,</w:t>
      </w:r>
      <w:r w:rsidR="008E5D96" w:rsidRPr="003D520D">
        <w:rPr>
          <w:sz w:val="22"/>
          <w:szCs w:val="22"/>
          <w:lang w:val="cs-CZ"/>
        </w:rPr>
        <w:t xml:space="preserve"> 44,7 % u GIST</w:t>
      </w:r>
      <w:r w:rsidR="00996CE6">
        <w:rPr>
          <w:sz w:val="22"/>
          <w:szCs w:val="22"/>
          <w:lang w:val="cs-CZ"/>
        </w:rPr>
        <w:t xml:space="preserve"> a 39,3 % u HCC</w:t>
      </w:r>
      <w:r w:rsidRPr="003D520D">
        <w:rPr>
          <w:sz w:val="22"/>
          <w:szCs w:val="22"/>
          <w:lang w:val="cs-CZ"/>
        </w:rPr>
        <w:t>)</w:t>
      </w:r>
      <w:r w:rsidR="008E5D96" w:rsidRPr="003D520D">
        <w:rPr>
          <w:sz w:val="22"/>
          <w:szCs w:val="22"/>
          <w:lang w:val="cs-CZ"/>
        </w:rPr>
        <w:t>.</w:t>
      </w:r>
      <w:r w:rsidR="0006354F" w:rsidRPr="003D520D">
        <w:rPr>
          <w:sz w:val="22"/>
          <w:szCs w:val="22"/>
          <w:lang w:val="cs-CZ"/>
        </w:rPr>
        <w:t xml:space="preserve"> </w:t>
      </w:r>
      <w:r w:rsidR="008E5D96" w:rsidRPr="003D520D">
        <w:rPr>
          <w:sz w:val="22"/>
          <w:szCs w:val="22"/>
          <w:lang w:val="cs-CZ"/>
        </w:rPr>
        <w:t>Výsky</w:t>
      </w:r>
      <w:r w:rsidR="003F7F47" w:rsidRPr="003D520D">
        <w:rPr>
          <w:sz w:val="22"/>
          <w:szCs w:val="22"/>
          <w:lang w:val="cs-CZ"/>
        </w:rPr>
        <w:t>t kožní reakce ruka-noha stupně </w:t>
      </w:r>
      <w:r w:rsidR="008E5D96" w:rsidRPr="003D520D">
        <w:rPr>
          <w:sz w:val="22"/>
          <w:szCs w:val="22"/>
          <w:lang w:val="cs-CZ"/>
        </w:rPr>
        <w:t xml:space="preserve">3 byl </w:t>
      </w:r>
      <w:r w:rsidR="00996CE6">
        <w:rPr>
          <w:sz w:val="22"/>
          <w:szCs w:val="22"/>
          <w:lang w:val="cs-CZ"/>
        </w:rPr>
        <w:t>17,1</w:t>
      </w:r>
      <w:r w:rsidR="008E5D96" w:rsidRPr="003D520D">
        <w:rPr>
          <w:sz w:val="22"/>
          <w:szCs w:val="22"/>
          <w:lang w:val="cs-CZ"/>
        </w:rPr>
        <w:t> % (CRC)</w:t>
      </w:r>
      <w:r w:rsidR="00996CE6">
        <w:rPr>
          <w:sz w:val="22"/>
          <w:szCs w:val="22"/>
          <w:lang w:val="cs-CZ"/>
        </w:rPr>
        <w:t>,</w:t>
      </w:r>
      <w:r w:rsidR="008E5D96" w:rsidRPr="003D520D">
        <w:rPr>
          <w:sz w:val="22"/>
          <w:szCs w:val="22"/>
          <w:lang w:val="cs-CZ"/>
        </w:rPr>
        <w:t xml:space="preserve"> 22,0 % (GIST)</w:t>
      </w:r>
      <w:r w:rsidR="00996CE6">
        <w:rPr>
          <w:sz w:val="22"/>
          <w:szCs w:val="22"/>
          <w:lang w:val="cs-CZ"/>
        </w:rPr>
        <w:t xml:space="preserve"> a </w:t>
      </w:r>
      <w:r w:rsidR="00456189">
        <w:rPr>
          <w:sz w:val="22"/>
          <w:szCs w:val="22"/>
          <w:lang w:val="cs-CZ"/>
        </w:rPr>
        <w:t>12,3 % (HCC)</w:t>
      </w:r>
      <w:r w:rsidR="00B02319" w:rsidRPr="003D520D">
        <w:rPr>
          <w:sz w:val="22"/>
          <w:szCs w:val="22"/>
          <w:lang w:val="cs-CZ"/>
        </w:rPr>
        <w:t>.</w:t>
      </w:r>
      <w:r w:rsidR="00713EF7" w:rsidRPr="003D520D">
        <w:rPr>
          <w:sz w:val="22"/>
          <w:szCs w:val="22"/>
          <w:lang w:val="cs-CZ"/>
        </w:rPr>
        <w:t xml:space="preserve"> </w:t>
      </w:r>
      <w:r w:rsidR="00456189">
        <w:rPr>
          <w:sz w:val="22"/>
          <w:szCs w:val="22"/>
          <w:lang w:val="cs-CZ"/>
        </w:rPr>
        <w:t>C</w:t>
      </w:r>
      <w:r w:rsidR="00713EF7" w:rsidRPr="003D520D">
        <w:rPr>
          <w:sz w:val="22"/>
          <w:szCs w:val="22"/>
          <w:lang w:val="cs-CZ"/>
        </w:rPr>
        <w:t>elkový výskyt kožní reakce ruka-noha (</w:t>
      </w:r>
      <w:r w:rsidR="00456189">
        <w:rPr>
          <w:sz w:val="22"/>
          <w:szCs w:val="22"/>
          <w:lang w:val="cs-CZ"/>
        </w:rPr>
        <w:t>74,8</w:t>
      </w:r>
      <w:r w:rsidR="00E11BC1" w:rsidRPr="003D520D">
        <w:rPr>
          <w:sz w:val="22"/>
          <w:szCs w:val="22"/>
          <w:lang w:val="cs-CZ"/>
        </w:rPr>
        <w:t xml:space="preserve"> </w:t>
      </w:r>
      <w:r w:rsidR="00713EF7" w:rsidRPr="003D520D">
        <w:rPr>
          <w:sz w:val="22"/>
          <w:szCs w:val="22"/>
          <w:lang w:val="cs-CZ"/>
        </w:rPr>
        <w:t>% u CRC</w:t>
      </w:r>
      <w:r w:rsidR="00456189">
        <w:rPr>
          <w:sz w:val="22"/>
          <w:szCs w:val="22"/>
          <w:lang w:val="cs-CZ"/>
        </w:rPr>
        <w:t>,</w:t>
      </w:r>
      <w:r w:rsidR="00713EF7" w:rsidRPr="003D520D">
        <w:rPr>
          <w:sz w:val="22"/>
          <w:szCs w:val="22"/>
          <w:lang w:val="cs-CZ"/>
        </w:rPr>
        <w:t xml:space="preserve"> 88,2</w:t>
      </w:r>
      <w:r w:rsidR="00E11BC1" w:rsidRPr="003D520D">
        <w:rPr>
          <w:sz w:val="22"/>
          <w:szCs w:val="22"/>
          <w:lang w:val="cs-CZ"/>
        </w:rPr>
        <w:t xml:space="preserve"> </w:t>
      </w:r>
      <w:r w:rsidR="00713EF7" w:rsidRPr="003D520D">
        <w:rPr>
          <w:sz w:val="22"/>
          <w:szCs w:val="22"/>
          <w:lang w:val="cs-CZ"/>
        </w:rPr>
        <w:t>% u GIST</w:t>
      </w:r>
      <w:r w:rsidR="00456189">
        <w:rPr>
          <w:sz w:val="22"/>
          <w:szCs w:val="22"/>
          <w:lang w:val="cs-CZ"/>
        </w:rPr>
        <w:t xml:space="preserve"> a 67,1 </w:t>
      </w:r>
      <w:r w:rsidR="009D0EF8">
        <w:rPr>
          <w:sz w:val="22"/>
          <w:szCs w:val="22"/>
          <w:lang w:val="cs-CZ"/>
        </w:rPr>
        <w:t xml:space="preserve">% </w:t>
      </w:r>
      <w:r w:rsidR="00456189">
        <w:rPr>
          <w:sz w:val="22"/>
          <w:szCs w:val="22"/>
          <w:lang w:val="cs-CZ"/>
        </w:rPr>
        <w:t>u HCC</w:t>
      </w:r>
      <w:r w:rsidR="00713EF7" w:rsidRPr="003D520D">
        <w:rPr>
          <w:sz w:val="22"/>
          <w:szCs w:val="22"/>
          <w:lang w:val="cs-CZ"/>
        </w:rPr>
        <w:t xml:space="preserve">) </w:t>
      </w:r>
      <w:r w:rsidR="00456189">
        <w:rPr>
          <w:sz w:val="22"/>
          <w:szCs w:val="22"/>
          <w:lang w:val="cs-CZ"/>
        </w:rPr>
        <w:t xml:space="preserve">byl </w:t>
      </w:r>
      <w:r w:rsidR="00713EF7" w:rsidRPr="003D520D">
        <w:rPr>
          <w:sz w:val="22"/>
          <w:szCs w:val="22"/>
          <w:lang w:val="cs-CZ"/>
        </w:rPr>
        <w:t xml:space="preserve">vyšší u pacientů Asiatů léčených přípravkem </w:t>
      </w:r>
      <w:proofErr w:type="spellStart"/>
      <w:r w:rsidR="00713EF7" w:rsidRPr="003D520D">
        <w:rPr>
          <w:sz w:val="22"/>
          <w:szCs w:val="22"/>
          <w:lang w:val="cs-CZ"/>
        </w:rPr>
        <w:t>Stivarga</w:t>
      </w:r>
      <w:proofErr w:type="spellEnd"/>
      <w:r w:rsidR="00713EF7" w:rsidRPr="003D520D">
        <w:rPr>
          <w:sz w:val="22"/>
          <w:szCs w:val="22"/>
          <w:lang w:val="cs-CZ"/>
        </w:rPr>
        <w:t xml:space="preserve"> ve srovnání s pacienty jiných etnických příslušností. Výskyt kožní reakce ruka-noha stupně 3 byl u Asiatů </w:t>
      </w:r>
      <w:r w:rsidR="00456189">
        <w:rPr>
          <w:sz w:val="22"/>
          <w:szCs w:val="22"/>
          <w:lang w:val="cs-CZ"/>
        </w:rPr>
        <w:t xml:space="preserve">20,5 </w:t>
      </w:r>
      <w:r w:rsidR="00713EF7" w:rsidRPr="003D520D">
        <w:rPr>
          <w:sz w:val="22"/>
          <w:szCs w:val="22"/>
          <w:lang w:val="cs-CZ"/>
        </w:rPr>
        <w:t>% (CRC)</w:t>
      </w:r>
      <w:r w:rsidR="00456189">
        <w:rPr>
          <w:sz w:val="22"/>
          <w:szCs w:val="22"/>
          <w:lang w:val="cs-CZ"/>
        </w:rPr>
        <w:t>,</w:t>
      </w:r>
      <w:r w:rsidR="00713EF7" w:rsidRPr="003D520D">
        <w:rPr>
          <w:sz w:val="22"/>
          <w:szCs w:val="22"/>
          <w:lang w:val="cs-CZ"/>
        </w:rPr>
        <w:t xml:space="preserve"> 23,5</w:t>
      </w:r>
      <w:r w:rsidR="00456189">
        <w:rPr>
          <w:sz w:val="22"/>
          <w:szCs w:val="22"/>
          <w:lang w:val="cs-CZ"/>
        </w:rPr>
        <w:t xml:space="preserve"> </w:t>
      </w:r>
      <w:r w:rsidR="00713EF7" w:rsidRPr="003D520D">
        <w:rPr>
          <w:sz w:val="22"/>
          <w:szCs w:val="22"/>
          <w:lang w:val="cs-CZ"/>
        </w:rPr>
        <w:t>% (GIST)</w:t>
      </w:r>
      <w:r w:rsidR="00456189">
        <w:rPr>
          <w:sz w:val="22"/>
          <w:szCs w:val="22"/>
          <w:lang w:val="cs-CZ"/>
        </w:rPr>
        <w:t xml:space="preserve"> a 13,5 % (HCC)</w:t>
      </w:r>
      <w:r w:rsidR="00B648F9" w:rsidRPr="003D520D">
        <w:rPr>
          <w:sz w:val="22"/>
          <w:szCs w:val="22"/>
          <w:lang w:val="cs-CZ"/>
        </w:rPr>
        <w:t xml:space="preserve"> (viz body </w:t>
      </w:r>
      <w:r w:rsidR="00B065FD" w:rsidRPr="003D520D">
        <w:rPr>
          <w:sz w:val="22"/>
          <w:szCs w:val="22"/>
          <w:lang w:val="cs-CZ"/>
        </w:rPr>
        <w:t>4.2 a 4.4)</w:t>
      </w:r>
      <w:r w:rsidR="00713EF7" w:rsidRPr="003D520D">
        <w:rPr>
          <w:sz w:val="22"/>
          <w:szCs w:val="22"/>
          <w:lang w:val="cs-CZ"/>
        </w:rPr>
        <w:t>.</w:t>
      </w:r>
    </w:p>
    <w:p w14:paraId="7D45763A" w14:textId="77777777" w:rsidR="003C7C7A" w:rsidRPr="003D520D" w:rsidRDefault="003C7C7A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63B" w14:textId="77777777" w:rsidR="00B02319" w:rsidRPr="003D520D" w:rsidRDefault="00456189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 placebe</w:t>
      </w:r>
      <w:r w:rsidR="00A734B9">
        <w:rPr>
          <w:sz w:val="22"/>
          <w:szCs w:val="22"/>
          <w:lang w:val="cs-CZ"/>
        </w:rPr>
        <w:t>m</w:t>
      </w:r>
      <w:r>
        <w:rPr>
          <w:sz w:val="22"/>
          <w:szCs w:val="22"/>
          <w:lang w:val="cs-CZ"/>
        </w:rPr>
        <w:t xml:space="preserve"> kontrolovaných studiích fáze III byl celkový výskyt hypertenze vyšší u pacientů léčených přípravkem </w:t>
      </w:r>
      <w:proofErr w:type="spellStart"/>
      <w:r>
        <w:rPr>
          <w:sz w:val="22"/>
          <w:szCs w:val="22"/>
          <w:lang w:val="cs-CZ"/>
        </w:rPr>
        <w:t>Stivarga</w:t>
      </w:r>
      <w:proofErr w:type="spellEnd"/>
      <w:r>
        <w:rPr>
          <w:sz w:val="22"/>
          <w:szCs w:val="22"/>
          <w:lang w:val="cs-CZ"/>
        </w:rPr>
        <w:t xml:space="preserve"> ve srovnání s pacienty užívajícími placebo </w:t>
      </w:r>
      <w:r w:rsidRPr="00456189">
        <w:rPr>
          <w:sz w:val="22"/>
          <w:szCs w:val="22"/>
          <w:lang w:val="cs-CZ"/>
        </w:rPr>
        <w:t>(29</w:t>
      </w:r>
      <w:r>
        <w:rPr>
          <w:sz w:val="22"/>
          <w:szCs w:val="22"/>
          <w:lang w:val="cs-CZ"/>
        </w:rPr>
        <w:t>,</w:t>
      </w:r>
      <w:r w:rsidRPr="00456189">
        <w:rPr>
          <w:sz w:val="22"/>
          <w:szCs w:val="22"/>
          <w:lang w:val="cs-CZ"/>
        </w:rPr>
        <w:t>6</w:t>
      </w:r>
      <w:r>
        <w:rPr>
          <w:sz w:val="22"/>
          <w:szCs w:val="22"/>
          <w:lang w:val="cs-CZ"/>
        </w:rPr>
        <w:t xml:space="preserve"> </w:t>
      </w:r>
      <w:r w:rsidRPr="00456189">
        <w:rPr>
          <w:sz w:val="22"/>
          <w:szCs w:val="22"/>
          <w:lang w:val="cs-CZ"/>
        </w:rPr>
        <w:t>% vs. 7</w:t>
      </w:r>
      <w:r>
        <w:rPr>
          <w:sz w:val="22"/>
          <w:szCs w:val="22"/>
          <w:lang w:val="cs-CZ"/>
        </w:rPr>
        <w:t>,</w:t>
      </w:r>
      <w:r w:rsidRPr="00456189">
        <w:rPr>
          <w:sz w:val="22"/>
          <w:szCs w:val="22"/>
          <w:lang w:val="cs-CZ"/>
        </w:rPr>
        <w:t>5</w:t>
      </w:r>
      <w:r>
        <w:rPr>
          <w:sz w:val="22"/>
          <w:szCs w:val="22"/>
          <w:lang w:val="cs-CZ"/>
        </w:rPr>
        <w:t xml:space="preserve"> </w:t>
      </w:r>
      <w:r w:rsidRPr="00456189">
        <w:rPr>
          <w:sz w:val="22"/>
          <w:szCs w:val="22"/>
          <w:lang w:val="cs-CZ"/>
        </w:rPr>
        <w:t>% CRC, 60</w:t>
      </w:r>
      <w:r>
        <w:rPr>
          <w:sz w:val="22"/>
          <w:szCs w:val="22"/>
          <w:lang w:val="cs-CZ"/>
        </w:rPr>
        <w:t>,</w:t>
      </w:r>
      <w:r w:rsidRPr="00456189">
        <w:rPr>
          <w:sz w:val="22"/>
          <w:szCs w:val="22"/>
          <w:lang w:val="cs-CZ"/>
        </w:rPr>
        <w:t>6</w:t>
      </w:r>
      <w:r>
        <w:rPr>
          <w:sz w:val="22"/>
          <w:szCs w:val="22"/>
          <w:lang w:val="cs-CZ"/>
        </w:rPr>
        <w:t xml:space="preserve"> </w:t>
      </w:r>
      <w:r w:rsidRPr="00456189">
        <w:rPr>
          <w:sz w:val="22"/>
          <w:szCs w:val="22"/>
          <w:lang w:val="cs-CZ"/>
        </w:rPr>
        <w:t>% vs. 25</w:t>
      </w:r>
      <w:r>
        <w:rPr>
          <w:sz w:val="22"/>
          <w:szCs w:val="22"/>
          <w:lang w:val="cs-CZ"/>
        </w:rPr>
        <w:t>,</w:t>
      </w:r>
      <w:r w:rsidRPr="00456189">
        <w:rPr>
          <w:sz w:val="22"/>
          <w:szCs w:val="22"/>
          <w:lang w:val="cs-CZ"/>
        </w:rPr>
        <w:t>8</w:t>
      </w:r>
      <w:r>
        <w:rPr>
          <w:sz w:val="22"/>
          <w:szCs w:val="22"/>
          <w:lang w:val="cs-CZ"/>
        </w:rPr>
        <w:t xml:space="preserve"> </w:t>
      </w:r>
      <w:r w:rsidRPr="00456189">
        <w:rPr>
          <w:sz w:val="22"/>
          <w:szCs w:val="22"/>
          <w:lang w:val="cs-CZ"/>
        </w:rPr>
        <w:t>% GIST a 31</w:t>
      </w:r>
      <w:r>
        <w:rPr>
          <w:sz w:val="22"/>
          <w:szCs w:val="22"/>
          <w:lang w:val="cs-CZ"/>
        </w:rPr>
        <w:t>,</w:t>
      </w:r>
      <w:r w:rsidRPr="00456189">
        <w:rPr>
          <w:sz w:val="22"/>
          <w:szCs w:val="22"/>
          <w:lang w:val="cs-CZ"/>
        </w:rPr>
        <w:t>0</w:t>
      </w:r>
      <w:r>
        <w:rPr>
          <w:sz w:val="22"/>
          <w:szCs w:val="22"/>
          <w:lang w:val="cs-CZ"/>
        </w:rPr>
        <w:t xml:space="preserve"> </w:t>
      </w:r>
      <w:r w:rsidRPr="00456189">
        <w:rPr>
          <w:sz w:val="22"/>
          <w:szCs w:val="22"/>
          <w:lang w:val="cs-CZ"/>
        </w:rPr>
        <w:t>% vs. 6</w:t>
      </w:r>
      <w:r>
        <w:rPr>
          <w:sz w:val="22"/>
          <w:szCs w:val="22"/>
          <w:lang w:val="cs-CZ"/>
        </w:rPr>
        <w:t>,</w:t>
      </w:r>
      <w:r w:rsidRPr="00456189">
        <w:rPr>
          <w:sz w:val="22"/>
          <w:szCs w:val="22"/>
          <w:lang w:val="cs-CZ"/>
        </w:rPr>
        <w:t>2</w:t>
      </w:r>
      <w:r>
        <w:rPr>
          <w:sz w:val="22"/>
          <w:szCs w:val="22"/>
          <w:lang w:val="cs-CZ"/>
        </w:rPr>
        <w:t xml:space="preserve"> </w:t>
      </w:r>
      <w:r w:rsidRPr="00456189">
        <w:rPr>
          <w:sz w:val="22"/>
          <w:szCs w:val="22"/>
          <w:lang w:val="cs-CZ"/>
        </w:rPr>
        <w:t>% HCC).</w:t>
      </w:r>
      <w:r>
        <w:rPr>
          <w:sz w:val="22"/>
          <w:szCs w:val="22"/>
          <w:lang w:val="cs-CZ"/>
        </w:rPr>
        <w:t xml:space="preserve"> V</w:t>
      </w:r>
      <w:r w:rsidR="00B02319" w:rsidRPr="003D520D">
        <w:rPr>
          <w:sz w:val="22"/>
          <w:szCs w:val="22"/>
          <w:lang w:val="cs-CZ"/>
        </w:rPr>
        <w:t xml:space="preserve">ětšina případů hypertenze u pacientů léčených přípravkem </w:t>
      </w:r>
      <w:proofErr w:type="spellStart"/>
      <w:r w:rsidR="00B02319" w:rsidRPr="003D520D">
        <w:rPr>
          <w:sz w:val="22"/>
          <w:szCs w:val="22"/>
          <w:lang w:val="cs-CZ"/>
        </w:rPr>
        <w:t>Stivarga</w:t>
      </w:r>
      <w:proofErr w:type="spellEnd"/>
      <w:r w:rsidR="00B02319" w:rsidRPr="003D520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se </w:t>
      </w:r>
      <w:r w:rsidR="00B02319" w:rsidRPr="003D520D">
        <w:rPr>
          <w:sz w:val="22"/>
          <w:szCs w:val="22"/>
          <w:lang w:val="cs-CZ"/>
        </w:rPr>
        <w:t>objevila během prvního cyklu léčby a byla mírná až středně závažná (stupně</w:t>
      </w:r>
      <w:r w:rsidR="00454FC2" w:rsidRPr="003D520D">
        <w:rPr>
          <w:sz w:val="22"/>
          <w:szCs w:val="22"/>
          <w:lang w:val="cs-CZ"/>
        </w:rPr>
        <w:t> </w:t>
      </w:r>
      <w:r w:rsidR="00B02319" w:rsidRPr="003D520D">
        <w:rPr>
          <w:sz w:val="22"/>
          <w:szCs w:val="22"/>
          <w:lang w:val="cs-CZ"/>
        </w:rPr>
        <w:t xml:space="preserve">1 a 2: </w:t>
      </w:r>
      <w:r>
        <w:rPr>
          <w:sz w:val="22"/>
          <w:szCs w:val="22"/>
          <w:lang w:val="cs-CZ"/>
        </w:rPr>
        <w:t>20,9</w:t>
      </w:r>
      <w:r w:rsidR="00DF131F" w:rsidRPr="003D520D">
        <w:rPr>
          <w:sz w:val="22"/>
          <w:szCs w:val="22"/>
          <w:lang w:val="cs-CZ"/>
        </w:rPr>
        <w:t> </w:t>
      </w:r>
      <w:r w:rsidR="00B02319" w:rsidRPr="003D520D">
        <w:rPr>
          <w:sz w:val="22"/>
          <w:szCs w:val="22"/>
          <w:lang w:val="cs-CZ"/>
        </w:rPr>
        <w:t>%</w:t>
      </w:r>
      <w:r w:rsidR="00590784" w:rsidRPr="003D520D">
        <w:rPr>
          <w:sz w:val="22"/>
          <w:szCs w:val="22"/>
          <w:lang w:val="cs-CZ"/>
        </w:rPr>
        <w:t xml:space="preserve"> u CRC</w:t>
      </w:r>
      <w:r>
        <w:rPr>
          <w:sz w:val="22"/>
          <w:szCs w:val="22"/>
          <w:lang w:val="cs-CZ"/>
        </w:rPr>
        <w:t>,</w:t>
      </w:r>
      <w:r w:rsidR="00590784" w:rsidRPr="003D520D">
        <w:rPr>
          <w:sz w:val="22"/>
          <w:szCs w:val="22"/>
          <w:lang w:val="cs-CZ"/>
        </w:rPr>
        <w:t xml:space="preserve"> </w:t>
      </w:r>
      <w:r w:rsidR="007243A1">
        <w:rPr>
          <w:sz w:val="22"/>
          <w:szCs w:val="22"/>
          <w:lang w:val="cs-CZ"/>
        </w:rPr>
        <w:t>31,8</w:t>
      </w:r>
      <w:r w:rsidR="00590784" w:rsidRPr="003D520D">
        <w:rPr>
          <w:sz w:val="22"/>
          <w:szCs w:val="22"/>
          <w:lang w:val="cs-CZ"/>
        </w:rPr>
        <w:t> % u GIST</w:t>
      </w:r>
      <w:r>
        <w:rPr>
          <w:sz w:val="22"/>
          <w:szCs w:val="22"/>
          <w:lang w:val="cs-CZ"/>
        </w:rPr>
        <w:t xml:space="preserve"> a 15,8 % u HCC</w:t>
      </w:r>
      <w:r w:rsidR="00B02319" w:rsidRPr="003D520D">
        <w:rPr>
          <w:sz w:val="22"/>
          <w:szCs w:val="22"/>
          <w:lang w:val="cs-CZ"/>
        </w:rPr>
        <w:t>).</w:t>
      </w:r>
      <w:r w:rsidR="001B46E3" w:rsidRPr="003D520D">
        <w:rPr>
          <w:sz w:val="22"/>
          <w:szCs w:val="22"/>
          <w:lang w:val="cs-CZ"/>
        </w:rPr>
        <w:t xml:space="preserve"> Výskyt hypertenze stupně </w:t>
      </w:r>
      <w:r w:rsidR="00E90AC0" w:rsidRPr="003D520D">
        <w:rPr>
          <w:sz w:val="22"/>
          <w:szCs w:val="22"/>
          <w:lang w:val="cs-CZ"/>
        </w:rPr>
        <w:t xml:space="preserve">3 byl </w:t>
      </w:r>
      <w:r>
        <w:rPr>
          <w:sz w:val="22"/>
          <w:szCs w:val="22"/>
          <w:lang w:val="cs-CZ"/>
        </w:rPr>
        <w:t>8,7</w:t>
      </w:r>
      <w:r w:rsidR="00E90AC0" w:rsidRPr="003D520D">
        <w:rPr>
          <w:sz w:val="22"/>
          <w:szCs w:val="22"/>
          <w:lang w:val="cs-CZ"/>
        </w:rPr>
        <w:t> % (CRC)</w:t>
      </w:r>
      <w:r>
        <w:rPr>
          <w:sz w:val="22"/>
          <w:szCs w:val="22"/>
          <w:lang w:val="cs-CZ"/>
        </w:rPr>
        <w:t>,</w:t>
      </w:r>
      <w:r w:rsidR="00E90AC0" w:rsidRPr="003D520D">
        <w:rPr>
          <w:sz w:val="22"/>
          <w:szCs w:val="22"/>
          <w:lang w:val="cs-CZ"/>
        </w:rPr>
        <w:t xml:space="preserve"> </w:t>
      </w:r>
      <w:r w:rsidR="007243A1">
        <w:rPr>
          <w:sz w:val="22"/>
          <w:szCs w:val="22"/>
          <w:lang w:val="cs-CZ"/>
        </w:rPr>
        <w:t>28,0</w:t>
      </w:r>
      <w:r w:rsidR="00E90AC0" w:rsidRPr="003D520D">
        <w:rPr>
          <w:sz w:val="22"/>
          <w:szCs w:val="22"/>
          <w:lang w:val="cs-CZ"/>
        </w:rPr>
        <w:t> % (GIST)</w:t>
      </w:r>
      <w:r>
        <w:rPr>
          <w:sz w:val="22"/>
          <w:szCs w:val="22"/>
          <w:lang w:val="cs-CZ"/>
        </w:rPr>
        <w:t xml:space="preserve"> a 15,2 %</w:t>
      </w:r>
      <w:r w:rsidR="00203B5D">
        <w:rPr>
          <w:sz w:val="22"/>
          <w:szCs w:val="22"/>
          <w:lang w:val="cs-CZ"/>
        </w:rPr>
        <w:t xml:space="preserve"> (HCC)</w:t>
      </w:r>
      <w:r w:rsidR="00E90AC0" w:rsidRPr="003D520D">
        <w:rPr>
          <w:sz w:val="22"/>
          <w:szCs w:val="22"/>
          <w:lang w:val="cs-CZ"/>
        </w:rPr>
        <w:t xml:space="preserve">. </w:t>
      </w:r>
      <w:r w:rsidR="00590784" w:rsidRPr="003D520D">
        <w:rPr>
          <w:sz w:val="22"/>
          <w:szCs w:val="22"/>
          <w:lang w:val="cs-CZ"/>
        </w:rPr>
        <w:t xml:space="preserve">Ve studii u GIST nádorů byl zaznamenán jeden případ </w:t>
      </w:r>
      <w:r w:rsidR="00B02319" w:rsidRPr="003D520D">
        <w:rPr>
          <w:sz w:val="22"/>
          <w:szCs w:val="22"/>
          <w:lang w:val="cs-CZ"/>
        </w:rPr>
        <w:t>hypertenze stupně</w:t>
      </w:r>
      <w:r w:rsidR="00454FC2" w:rsidRPr="003D520D">
        <w:rPr>
          <w:sz w:val="22"/>
          <w:szCs w:val="22"/>
          <w:lang w:val="cs-CZ"/>
        </w:rPr>
        <w:t> </w:t>
      </w:r>
      <w:r w:rsidR="00590784" w:rsidRPr="003D520D">
        <w:rPr>
          <w:sz w:val="22"/>
          <w:szCs w:val="22"/>
          <w:lang w:val="cs-CZ"/>
        </w:rPr>
        <w:t>4</w:t>
      </w:r>
      <w:r w:rsidR="00B02319" w:rsidRPr="003D520D">
        <w:rPr>
          <w:sz w:val="22"/>
          <w:szCs w:val="22"/>
          <w:lang w:val="cs-CZ"/>
        </w:rPr>
        <w:t>.</w:t>
      </w:r>
    </w:p>
    <w:p w14:paraId="7D45763C" w14:textId="77777777" w:rsidR="0006354F" w:rsidRPr="003D520D" w:rsidRDefault="0006354F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63D" w14:textId="77777777" w:rsidR="007D71AB" w:rsidRDefault="00402705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V placebem kontrolované klinické studii fáze III byl celkový výskyt proteinurie</w:t>
      </w:r>
      <w:r w:rsidRPr="00402705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u pacientů léčených přípravkem </w:t>
      </w:r>
      <w:proofErr w:type="spellStart"/>
      <w:r>
        <w:rPr>
          <w:sz w:val="22"/>
          <w:szCs w:val="22"/>
          <w:lang w:val="cs-CZ"/>
        </w:rPr>
        <w:t>Stivarga</w:t>
      </w:r>
      <w:proofErr w:type="spellEnd"/>
      <w:r>
        <w:rPr>
          <w:sz w:val="22"/>
          <w:szCs w:val="22"/>
          <w:lang w:val="cs-CZ"/>
        </w:rPr>
        <w:t xml:space="preserve"> </w:t>
      </w:r>
      <w:r w:rsidR="007D3B51">
        <w:rPr>
          <w:sz w:val="22"/>
          <w:szCs w:val="22"/>
          <w:lang w:val="cs-CZ"/>
        </w:rPr>
        <w:t xml:space="preserve">9,1 % </w:t>
      </w:r>
      <w:r>
        <w:rPr>
          <w:sz w:val="22"/>
          <w:szCs w:val="22"/>
          <w:lang w:val="cs-CZ"/>
        </w:rPr>
        <w:t>ve srovnání s</w:t>
      </w:r>
      <w:r w:rsidR="007D3B51">
        <w:rPr>
          <w:sz w:val="22"/>
          <w:szCs w:val="22"/>
          <w:lang w:val="cs-CZ"/>
        </w:rPr>
        <w:t xml:space="preserve"> 1,9 % u </w:t>
      </w:r>
      <w:r>
        <w:rPr>
          <w:sz w:val="22"/>
          <w:szCs w:val="22"/>
          <w:lang w:val="cs-CZ"/>
        </w:rPr>
        <w:t>pacient</w:t>
      </w:r>
      <w:r w:rsidR="007D3B51">
        <w:rPr>
          <w:sz w:val="22"/>
          <w:szCs w:val="22"/>
          <w:lang w:val="cs-CZ"/>
        </w:rPr>
        <w:t>ů</w:t>
      </w:r>
      <w:r>
        <w:rPr>
          <w:sz w:val="22"/>
          <w:szCs w:val="22"/>
          <w:lang w:val="cs-CZ"/>
        </w:rPr>
        <w:t xml:space="preserve"> užívající</w:t>
      </w:r>
      <w:r w:rsidR="007D3B51">
        <w:rPr>
          <w:sz w:val="22"/>
          <w:szCs w:val="22"/>
          <w:lang w:val="cs-CZ"/>
        </w:rPr>
        <w:t>ch</w:t>
      </w:r>
      <w:r>
        <w:rPr>
          <w:sz w:val="22"/>
          <w:szCs w:val="22"/>
          <w:lang w:val="cs-CZ"/>
        </w:rPr>
        <w:t xml:space="preserve"> placebo</w:t>
      </w:r>
      <w:r w:rsidR="007D3B51">
        <w:rPr>
          <w:sz w:val="22"/>
          <w:szCs w:val="22"/>
          <w:lang w:val="cs-CZ"/>
        </w:rPr>
        <w:t xml:space="preserve">. Z těchto případů bylo 35,6 % v rameni s přípravkem </w:t>
      </w:r>
      <w:proofErr w:type="spellStart"/>
      <w:r w:rsidR="007D3B51">
        <w:rPr>
          <w:sz w:val="22"/>
          <w:szCs w:val="22"/>
          <w:lang w:val="cs-CZ"/>
        </w:rPr>
        <w:t>Stivarga</w:t>
      </w:r>
      <w:proofErr w:type="spellEnd"/>
      <w:r w:rsidR="007D3B51">
        <w:rPr>
          <w:sz w:val="22"/>
          <w:szCs w:val="22"/>
          <w:lang w:val="cs-CZ"/>
        </w:rPr>
        <w:t xml:space="preserve"> a 54,5 % v rameni s placebem hlášeno jako nevyléčeno/nevyřešeno.    </w:t>
      </w:r>
    </w:p>
    <w:p w14:paraId="7D45763E" w14:textId="77777777" w:rsidR="00402705" w:rsidRPr="003D520D" w:rsidRDefault="00402705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63F" w14:textId="77777777" w:rsidR="00CA33A2" w:rsidRDefault="007D71AB" w:rsidP="00CA33A2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Napříč všemi klinickými studiemi byly příhody srdečních poruch (všechny stupně) hlášeny častěji (</w:t>
      </w:r>
      <w:r w:rsidR="007D3B51">
        <w:rPr>
          <w:sz w:val="22"/>
          <w:szCs w:val="22"/>
          <w:lang w:val="cs-CZ"/>
        </w:rPr>
        <w:t>13,7</w:t>
      </w:r>
      <w:r w:rsidRPr="003D520D">
        <w:rPr>
          <w:sz w:val="22"/>
          <w:szCs w:val="22"/>
          <w:lang w:val="cs-CZ"/>
        </w:rPr>
        <w:t xml:space="preserve"> % vs. </w:t>
      </w:r>
      <w:r w:rsidR="007D3B51">
        <w:rPr>
          <w:sz w:val="22"/>
          <w:szCs w:val="22"/>
          <w:lang w:val="cs-CZ"/>
        </w:rPr>
        <w:t>6,5</w:t>
      </w:r>
      <w:r w:rsidRPr="003D520D">
        <w:rPr>
          <w:sz w:val="22"/>
          <w:szCs w:val="22"/>
          <w:lang w:val="cs-CZ"/>
        </w:rPr>
        <w:t xml:space="preserve"> %) u pacientů léčených přípravkem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 ve věku 75 let </w:t>
      </w:r>
      <w:r w:rsidR="003C472E" w:rsidRPr="003D520D">
        <w:rPr>
          <w:sz w:val="22"/>
          <w:szCs w:val="22"/>
          <w:lang w:val="cs-CZ"/>
        </w:rPr>
        <w:t>nebo</w:t>
      </w:r>
      <w:r w:rsidRPr="003D520D">
        <w:rPr>
          <w:sz w:val="22"/>
          <w:szCs w:val="22"/>
          <w:lang w:val="cs-CZ"/>
        </w:rPr>
        <w:t xml:space="preserve"> starších (</w:t>
      </w:r>
      <w:r w:rsidR="00A734B9">
        <w:rPr>
          <w:sz w:val="22"/>
          <w:szCs w:val="22"/>
          <w:lang w:val="cs-CZ"/>
        </w:rPr>
        <w:t>n</w:t>
      </w:r>
      <w:r w:rsidRPr="003D520D">
        <w:rPr>
          <w:sz w:val="22"/>
          <w:szCs w:val="22"/>
          <w:lang w:val="cs-CZ"/>
        </w:rPr>
        <w:t>=</w:t>
      </w:r>
      <w:r w:rsidR="007D3B51">
        <w:rPr>
          <w:sz w:val="22"/>
          <w:szCs w:val="22"/>
          <w:lang w:val="cs-CZ"/>
        </w:rPr>
        <w:t>410</w:t>
      </w:r>
      <w:r w:rsidRPr="003D520D">
        <w:rPr>
          <w:sz w:val="22"/>
          <w:szCs w:val="22"/>
          <w:lang w:val="cs-CZ"/>
        </w:rPr>
        <w:t xml:space="preserve">) ve srovnání s pacienty léčenými přípravkem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 mladšími než 75 let (</w:t>
      </w:r>
      <w:r w:rsidR="00A734B9">
        <w:rPr>
          <w:sz w:val="22"/>
          <w:szCs w:val="22"/>
          <w:lang w:val="cs-CZ"/>
        </w:rPr>
        <w:t>n</w:t>
      </w:r>
      <w:r w:rsidRPr="003D520D">
        <w:rPr>
          <w:sz w:val="22"/>
          <w:szCs w:val="22"/>
          <w:lang w:val="cs-CZ"/>
        </w:rPr>
        <w:t>=</w:t>
      </w:r>
      <w:r w:rsidR="007D3B51">
        <w:rPr>
          <w:sz w:val="22"/>
          <w:szCs w:val="22"/>
          <w:lang w:val="cs-CZ"/>
        </w:rPr>
        <w:t>4108</w:t>
      </w:r>
      <w:r w:rsidRPr="003D520D">
        <w:rPr>
          <w:sz w:val="22"/>
          <w:szCs w:val="22"/>
          <w:lang w:val="cs-CZ"/>
        </w:rPr>
        <w:t>).</w:t>
      </w:r>
    </w:p>
    <w:p w14:paraId="7D457640" w14:textId="77777777" w:rsidR="00CA33A2" w:rsidRDefault="00CA33A2" w:rsidP="00CA33A2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641" w14:textId="77777777" w:rsidR="00356F6E" w:rsidRPr="00CA33A2" w:rsidRDefault="00356F6E" w:rsidP="00CA33A2">
      <w:pPr>
        <w:pStyle w:val="BayerBodyTextFull"/>
        <w:spacing w:before="0" w:after="0"/>
        <w:rPr>
          <w:iCs/>
          <w:sz w:val="22"/>
          <w:szCs w:val="22"/>
          <w:lang w:val="cs-CZ"/>
        </w:rPr>
      </w:pPr>
      <w:r w:rsidRPr="00CA33A2">
        <w:rPr>
          <w:iCs/>
          <w:sz w:val="22"/>
          <w:szCs w:val="22"/>
          <w:u w:val="single"/>
          <w:lang w:val="cs-CZ"/>
        </w:rPr>
        <w:t>Abnormality jaterních testů</w:t>
      </w:r>
    </w:p>
    <w:p w14:paraId="7D457642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Laboratorní abnormality objevující se během léčby pozorované v placebem kontrolovan</w:t>
      </w:r>
      <w:r w:rsidR="00AB6A5E" w:rsidRPr="003D520D">
        <w:rPr>
          <w:sz w:val="22"/>
          <w:szCs w:val="22"/>
          <w:lang w:val="cs-CZ"/>
        </w:rPr>
        <w:t>ých</w:t>
      </w:r>
      <w:r w:rsidRPr="003D520D">
        <w:rPr>
          <w:sz w:val="22"/>
          <w:szCs w:val="22"/>
          <w:lang w:val="cs-CZ"/>
        </w:rPr>
        <w:t xml:space="preserve"> </w:t>
      </w:r>
      <w:r w:rsidR="00AB6A5E" w:rsidRPr="003D520D">
        <w:rPr>
          <w:sz w:val="22"/>
          <w:szCs w:val="22"/>
          <w:lang w:val="cs-CZ"/>
        </w:rPr>
        <w:t xml:space="preserve">studiích </w:t>
      </w:r>
      <w:r w:rsidRPr="003D520D">
        <w:rPr>
          <w:sz w:val="22"/>
          <w:szCs w:val="22"/>
          <w:lang w:val="cs-CZ"/>
        </w:rPr>
        <w:t>fáze</w:t>
      </w:r>
      <w:r w:rsidR="00DF131F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III </w:t>
      </w:r>
      <w:r w:rsidR="00303E91" w:rsidRPr="003D520D">
        <w:rPr>
          <w:sz w:val="22"/>
          <w:szCs w:val="22"/>
          <w:lang w:val="cs-CZ"/>
        </w:rPr>
        <w:t>jsou</w:t>
      </w:r>
      <w:r w:rsidRPr="003D520D">
        <w:rPr>
          <w:sz w:val="22"/>
          <w:szCs w:val="22"/>
          <w:lang w:val="cs-CZ"/>
        </w:rPr>
        <w:t xml:space="preserve"> uveden</w:t>
      </w:r>
      <w:r w:rsidR="00303E91" w:rsidRPr="003D520D">
        <w:rPr>
          <w:sz w:val="22"/>
          <w:szCs w:val="22"/>
          <w:lang w:val="cs-CZ"/>
        </w:rPr>
        <w:t>y</w:t>
      </w:r>
      <w:r w:rsidRPr="003D520D">
        <w:rPr>
          <w:sz w:val="22"/>
          <w:szCs w:val="22"/>
          <w:lang w:val="cs-CZ"/>
        </w:rPr>
        <w:t xml:space="preserve"> v </w:t>
      </w:r>
      <w:r w:rsidR="00DB3F49">
        <w:rPr>
          <w:sz w:val="22"/>
          <w:szCs w:val="22"/>
          <w:lang w:val="cs-CZ"/>
        </w:rPr>
        <w:t>t</w:t>
      </w:r>
      <w:r w:rsidRPr="003D520D">
        <w:rPr>
          <w:sz w:val="22"/>
          <w:szCs w:val="22"/>
          <w:lang w:val="cs-CZ"/>
        </w:rPr>
        <w:t>abulce</w:t>
      </w:r>
      <w:r w:rsidR="00DF131F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4</w:t>
      </w:r>
      <w:r w:rsidR="007D3B51">
        <w:rPr>
          <w:sz w:val="22"/>
          <w:szCs w:val="22"/>
          <w:lang w:val="cs-CZ"/>
        </w:rPr>
        <w:t xml:space="preserve"> a</w:t>
      </w:r>
      <w:r w:rsidR="007309D6" w:rsidRPr="003D520D">
        <w:rPr>
          <w:sz w:val="22"/>
          <w:szCs w:val="22"/>
          <w:lang w:val="cs-CZ"/>
        </w:rPr>
        <w:t xml:space="preserve"> </w:t>
      </w:r>
      <w:r w:rsidR="00DB3F49">
        <w:rPr>
          <w:sz w:val="22"/>
          <w:szCs w:val="22"/>
          <w:lang w:val="cs-CZ"/>
        </w:rPr>
        <w:t>t</w:t>
      </w:r>
      <w:r w:rsidR="00F91537">
        <w:rPr>
          <w:sz w:val="22"/>
          <w:szCs w:val="22"/>
          <w:lang w:val="cs-CZ"/>
        </w:rPr>
        <w:t xml:space="preserve">abulce </w:t>
      </w:r>
      <w:proofErr w:type="gramStart"/>
      <w:r w:rsidR="007309D6" w:rsidRPr="003D520D">
        <w:rPr>
          <w:sz w:val="22"/>
          <w:szCs w:val="22"/>
          <w:lang w:val="cs-CZ"/>
        </w:rPr>
        <w:t>4a</w:t>
      </w:r>
      <w:proofErr w:type="gramEnd"/>
      <w:r w:rsidRPr="003D520D">
        <w:rPr>
          <w:sz w:val="22"/>
          <w:szCs w:val="22"/>
          <w:lang w:val="cs-CZ"/>
        </w:rPr>
        <w:t xml:space="preserve"> (viz také bod</w:t>
      </w:r>
      <w:r w:rsidR="00DF131F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4.4).</w:t>
      </w:r>
    </w:p>
    <w:p w14:paraId="7D457643" w14:textId="77777777" w:rsidR="006E5769" w:rsidRDefault="006E5769" w:rsidP="00D707AB">
      <w:pPr>
        <w:spacing w:after="0"/>
        <w:rPr>
          <w:szCs w:val="22"/>
          <w:lang w:val="cs-CZ"/>
        </w:rPr>
        <w:sectPr w:rsidR="006E5769" w:rsidSect="00356F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1416" w:bottom="1560" w:left="1418" w:header="720" w:footer="720" w:gutter="0"/>
          <w:cols w:space="720"/>
        </w:sectPr>
      </w:pPr>
    </w:p>
    <w:p w14:paraId="7D457644" w14:textId="77777777" w:rsidR="007D3B51" w:rsidRPr="00277634" w:rsidRDefault="00356F6E" w:rsidP="00D707AB">
      <w:pPr>
        <w:spacing w:after="0"/>
        <w:rPr>
          <w:b/>
          <w:szCs w:val="22"/>
          <w:lang w:val="cs-CZ"/>
        </w:rPr>
      </w:pPr>
      <w:r w:rsidRPr="00E02CB3">
        <w:rPr>
          <w:b/>
          <w:szCs w:val="22"/>
          <w:lang w:val="cs-CZ"/>
        </w:rPr>
        <w:lastRenderedPageBreak/>
        <w:t>Tabulka</w:t>
      </w:r>
      <w:r w:rsidR="00454FC2" w:rsidRPr="00B63E26">
        <w:rPr>
          <w:b/>
          <w:szCs w:val="22"/>
          <w:lang w:val="cs-CZ"/>
        </w:rPr>
        <w:t> </w:t>
      </w:r>
      <w:r w:rsidRPr="00B63E26">
        <w:rPr>
          <w:b/>
          <w:szCs w:val="22"/>
          <w:lang w:val="cs-CZ"/>
        </w:rPr>
        <w:t>4: Abnormality laboratorních testů, které se objevily během léčby v placebem kontrolované studii fáze</w:t>
      </w:r>
      <w:r w:rsidR="00DF131F" w:rsidRPr="00B63E26">
        <w:rPr>
          <w:b/>
          <w:szCs w:val="22"/>
          <w:lang w:val="cs-CZ"/>
        </w:rPr>
        <w:t> </w:t>
      </w:r>
      <w:r w:rsidRPr="00F6735C">
        <w:rPr>
          <w:b/>
          <w:szCs w:val="22"/>
          <w:lang w:val="cs-CZ"/>
        </w:rPr>
        <w:t>III u pacientů s metastaz</w:t>
      </w:r>
      <w:r w:rsidRPr="002B3DDC">
        <w:rPr>
          <w:b/>
          <w:szCs w:val="22"/>
          <w:lang w:val="cs-CZ"/>
        </w:rPr>
        <w:t>ujícím CRC</w:t>
      </w:r>
      <w:r w:rsidR="003F0F10" w:rsidRPr="002B3DDC">
        <w:rPr>
          <w:b/>
          <w:szCs w:val="22"/>
          <w:lang w:val="cs-CZ"/>
        </w:rPr>
        <w:t xml:space="preserve"> (CORRECT)</w:t>
      </w:r>
      <w:r w:rsidR="007D3B51" w:rsidRPr="002B3DDC">
        <w:rPr>
          <w:b/>
          <w:szCs w:val="22"/>
          <w:lang w:val="cs-CZ"/>
        </w:rPr>
        <w:t xml:space="preserve">, s GIST (GRID) a </w:t>
      </w:r>
      <w:r w:rsidR="007D3B51" w:rsidRPr="00277634">
        <w:rPr>
          <w:b/>
          <w:szCs w:val="22"/>
          <w:lang w:val="cs-CZ"/>
        </w:rPr>
        <w:t>HCC (RESORCE)</w:t>
      </w:r>
    </w:p>
    <w:tbl>
      <w:tblPr>
        <w:tblW w:w="5666" w:type="pct"/>
        <w:tblInd w:w="-10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1033"/>
        <w:gridCol w:w="968"/>
        <w:gridCol w:w="987"/>
        <w:gridCol w:w="1112"/>
        <w:gridCol w:w="1034"/>
        <w:gridCol w:w="952"/>
        <w:gridCol w:w="987"/>
        <w:gridCol w:w="1347"/>
        <w:gridCol w:w="1012"/>
        <w:gridCol w:w="1002"/>
        <w:gridCol w:w="965"/>
        <w:gridCol w:w="1196"/>
      </w:tblGrid>
      <w:tr w:rsidR="006E5769" w:rsidRPr="00123772" w14:paraId="7D457649" w14:textId="77777777" w:rsidTr="002D693F">
        <w:trPr>
          <w:trHeight w:val="221"/>
          <w:tblHeader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457645" w14:textId="77777777" w:rsidR="007D3B51" w:rsidRPr="00277634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b/>
                <w:sz w:val="20"/>
                <w:szCs w:val="22"/>
                <w:lang w:val="cs-CZ" w:eastAsia="en-US"/>
              </w:rPr>
            </w:pPr>
          </w:p>
        </w:tc>
        <w:tc>
          <w:tcPr>
            <w:tcW w:w="130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24" w:space="0" w:color="auto"/>
            </w:tcBorders>
          </w:tcPr>
          <w:p w14:paraId="7D45764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>mCRC (CORRECT)</w:t>
            </w:r>
          </w:p>
        </w:tc>
        <w:tc>
          <w:tcPr>
            <w:tcW w:w="1379" w:type="pct"/>
            <w:gridSpan w:val="4"/>
            <w:tcBorders>
              <w:top w:val="single" w:sz="8" w:space="0" w:color="auto"/>
              <w:left w:val="thickThinLargeGap" w:sz="24" w:space="0" w:color="auto"/>
              <w:bottom w:val="single" w:sz="8" w:space="0" w:color="auto"/>
              <w:right w:val="thickThinLargeGap" w:sz="24" w:space="0" w:color="auto"/>
            </w:tcBorders>
          </w:tcPr>
          <w:p w14:paraId="7D457647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>GIST (GRID)</w:t>
            </w:r>
          </w:p>
        </w:tc>
        <w:tc>
          <w:tcPr>
            <w:tcW w:w="1333" w:type="pct"/>
            <w:gridSpan w:val="4"/>
            <w:tcBorders>
              <w:top w:val="single" w:sz="8" w:space="0" w:color="auto"/>
              <w:left w:val="thickThinLargeGap" w:sz="24" w:space="0" w:color="auto"/>
              <w:bottom w:val="single" w:sz="8" w:space="0" w:color="auto"/>
              <w:right w:val="single" w:sz="8" w:space="0" w:color="auto"/>
            </w:tcBorders>
          </w:tcPr>
          <w:p w14:paraId="7D45764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>HCC (RESORCE)</w:t>
            </w:r>
          </w:p>
        </w:tc>
      </w:tr>
      <w:tr w:rsidR="006E5769" w:rsidRPr="00123772" w14:paraId="7D457660" w14:textId="77777777" w:rsidTr="002B3DDC">
        <w:trPr>
          <w:trHeight w:val="801"/>
          <w:tblHeader/>
        </w:trPr>
        <w:tc>
          <w:tcPr>
            <w:tcW w:w="97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45764A" w14:textId="77777777" w:rsidR="007243A1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  <w:proofErr w:type="spellStart"/>
            <w:r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>Laborator</w:t>
            </w:r>
            <w:r w:rsidR="009C276F">
              <w:rPr>
                <w:rFonts w:eastAsia="Calibri"/>
                <w:b/>
                <w:sz w:val="20"/>
                <w:szCs w:val="22"/>
                <w:lang w:val="en-US" w:eastAsia="en-US"/>
              </w:rPr>
              <w:t>ní</w:t>
            </w:r>
            <w:proofErr w:type="spellEnd"/>
            <w:r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r w:rsidR="009C276F">
              <w:rPr>
                <w:rFonts w:eastAsia="Calibri"/>
                <w:b/>
                <w:sz w:val="20"/>
                <w:szCs w:val="22"/>
                <w:lang w:val="en-US" w:eastAsia="en-US"/>
              </w:rPr>
              <w:t>p</w:t>
            </w:r>
            <w:r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>arameter</w:t>
            </w:r>
            <w:r w:rsidR="007243A1"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</w:p>
          <w:p w14:paraId="7D45764B" w14:textId="77777777" w:rsidR="007D3B51" w:rsidRPr="00123772" w:rsidRDefault="007243A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(v %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vyšetřených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vzorků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764C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Stivarga</w:t>
            </w:r>
            <w:proofErr w:type="spellEnd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 xml:space="preserve"> plus 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br/>
              <w:t xml:space="preserve">BSC 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br/>
              <w:t>(n= 500)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764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Placebo plus BSC</w:t>
            </w:r>
          </w:p>
          <w:p w14:paraId="7D45764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(n=253)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764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Stivarga</w:t>
            </w:r>
            <w:proofErr w:type="spellEnd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 xml:space="preserve"> plus BSC</w:t>
            </w:r>
          </w:p>
          <w:p w14:paraId="7D45765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(n= 500)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LargeGap" w:sz="24" w:space="0" w:color="auto"/>
            </w:tcBorders>
          </w:tcPr>
          <w:p w14:paraId="7D45765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Placebo plus BSC</w:t>
            </w:r>
          </w:p>
          <w:p w14:paraId="7D45765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(n=253)</w:t>
            </w:r>
          </w:p>
        </w:tc>
        <w:tc>
          <w:tcPr>
            <w:tcW w:w="330" w:type="pct"/>
            <w:tcBorders>
              <w:top w:val="single" w:sz="8" w:space="0" w:color="auto"/>
              <w:left w:val="thickThinLargeGap" w:sz="24" w:space="0" w:color="auto"/>
              <w:right w:val="single" w:sz="8" w:space="0" w:color="auto"/>
            </w:tcBorders>
          </w:tcPr>
          <w:p w14:paraId="7D457653" w14:textId="77777777" w:rsidR="007D3B51" w:rsidRPr="00123772" w:rsidRDefault="007D3B51" w:rsidP="00D707AB">
            <w:pPr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Stivarga</w:t>
            </w:r>
            <w:proofErr w:type="spellEnd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 xml:space="preserve"> plus 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br/>
              <w:t xml:space="preserve">BSC 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br/>
              <w:t>(n= 132)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654" w14:textId="77777777" w:rsidR="007D3B51" w:rsidRPr="00123772" w:rsidRDefault="007D3B51" w:rsidP="00D707AB">
            <w:pPr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Placebo plus BSC</w:t>
            </w:r>
          </w:p>
          <w:p w14:paraId="7D457655" w14:textId="77777777" w:rsidR="007D3B51" w:rsidRPr="00123772" w:rsidRDefault="007D3B51" w:rsidP="00D707AB">
            <w:pPr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(n= 66)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656" w14:textId="77777777" w:rsidR="007D3B51" w:rsidRPr="00123772" w:rsidRDefault="007D3B51" w:rsidP="00D707AB">
            <w:pPr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Stivarga</w:t>
            </w:r>
            <w:proofErr w:type="spellEnd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 xml:space="preserve"> plus BSC</w:t>
            </w:r>
          </w:p>
          <w:p w14:paraId="7D457657" w14:textId="77777777" w:rsidR="007D3B51" w:rsidRPr="00123772" w:rsidRDefault="007D3B51" w:rsidP="00D707AB">
            <w:pPr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(n=132)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right w:val="thickThinLargeGap" w:sz="24" w:space="0" w:color="auto"/>
            </w:tcBorders>
          </w:tcPr>
          <w:p w14:paraId="7D457658" w14:textId="77777777" w:rsidR="007D3B51" w:rsidRPr="00123772" w:rsidRDefault="007D3B51" w:rsidP="00D707AB">
            <w:pPr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Placebo plus BSC</w:t>
            </w:r>
          </w:p>
          <w:p w14:paraId="7D457659" w14:textId="77777777" w:rsidR="007D3B51" w:rsidRPr="00123772" w:rsidRDefault="007D3B51" w:rsidP="00D707AB">
            <w:pPr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(n= 66)</w:t>
            </w:r>
          </w:p>
        </w:tc>
        <w:tc>
          <w:tcPr>
            <w:tcW w:w="323" w:type="pct"/>
            <w:tcBorders>
              <w:top w:val="single" w:sz="8" w:space="0" w:color="auto"/>
              <w:left w:val="thickThinLargeGap" w:sz="24" w:space="0" w:color="auto"/>
              <w:right w:val="single" w:sz="8" w:space="0" w:color="auto"/>
            </w:tcBorders>
          </w:tcPr>
          <w:p w14:paraId="7D45765A" w14:textId="77777777" w:rsidR="007D3B51" w:rsidRPr="00123772" w:rsidRDefault="007D3B51" w:rsidP="00D707AB">
            <w:pPr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Stivarga</w:t>
            </w:r>
            <w:proofErr w:type="spellEnd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 xml:space="preserve"> plus BSC 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br/>
              <w:t>(n= 374)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65B" w14:textId="77777777" w:rsidR="007D3B51" w:rsidRPr="00123772" w:rsidRDefault="007D3B51" w:rsidP="00D707AB">
            <w:pPr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Placebo plus BSC (n=193)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65C" w14:textId="77777777" w:rsidR="007D3B51" w:rsidRPr="00123772" w:rsidRDefault="007D3B51" w:rsidP="00D707AB">
            <w:pPr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Stivarga</w:t>
            </w:r>
            <w:proofErr w:type="spellEnd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 xml:space="preserve"> plus BSC</w:t>
            </w:r>
          </w:p>
          <w:p w14:paraId="7D45765D" w14:textId="77777777" w:rsidR="007D3B51" w:rsidRPr="00123772" w:rsidRDefault="007D3B51" w:rsidP="00D707AB">
            <w:pPr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(n= 374)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65E" w14:textId="77777777" w:rsidR="007D3B51" w:rsidRPr="00123772" w:rsidRDefault="007D3B51" w:rsidP="00D707AB">
            <w:pPr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Placebo plus BSC</w:t>
            </w:r>
          </w:p>
          <w:p w14:paraId="7D45765F" w14:textId="77777777" w:rsidR="007D3B51" w:rsidRPr="00123772" w:rsidRDefault="007D3B51" w:rsidP="00D707AB">
            <w:pPr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(n=193)</w:t>
            </w:r>
          </w:p>
        </w:tc>
      </w:tr>
      <w:tr w:rsidR="006E5769" w:rsidRPr="00123772" w14:paraId="7D457665" w14:textId="77777777" w:rsidTr="002D693F">
        <w:trPr>
          <w:trHeight w:val="139"/>
          <w:tblHeader/>
        </w:trPr>
        <w:tc>
          <w:tcPr>
            <w:tcW w:w="97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45766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30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thickThinLargeGap" w:sz="24" w:space="0" w:color="auto"/>
            </w:tcBorders>
          </w:tcPr>
          <w:p w14:paraId="7D45766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Stupeň</w:t>
            </w:r>
            <w:proofErr w:type="spellEnd"/>
            <w:r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r w:rsidRPr="00123772">
              <w:rPr>
                <w:rFonts w:eastAsia="Calibri"/>
                <w:b/>
                <w:sz w:val="20"/>
                <w:szCs w:val="22"/>
                <w:vertAlign w:val="superscript"/>
                <w:lang w:val="en-US" w:eastAsia="en-US"/>
              </w:rPr>
              <w:t>a</w:t>
            </w:r>
          </w:p>
        </w:tc>
        <w:tc>
          <w:tcPr>
            <w:tcW w:w="1379" w:type="pct"/>
            <w:gridSpan w:val="4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D45766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Stupeň</w:t>
            </w:r>
            <w:proofErr w:type="spellEnd"/>
            <w:r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r w:rsidRPr="00123772">
              <w:rPr>
                <w:rFonts w:eastAsia="Calibri"/>
                <w:b/>
                <w:sz w:val="20"/>
                <w:szCs w:val="22"/>
                <w:vertAlign w:val="superscript"/>
                <w:lang w:val="en-US" w:eastAsia="en-US"/>
              </w:rPr>
              <w:t>b</w:t>
            </w:r>
          </w:p>
        </w:tc>
        <w:tc>
          <w:tcPr>
            <w:tcW w:w="1333" w:type="pct"/>
            <w:gridSpan w:val="4"/>
            <w:tcBorders>
              <w:left w:val="thickThinLargeGap" w:sz="24" w:space="0" w:color="auto"/>
              <w:right w:val="single" w:sz="8" w:space="0" w:color="auto"/>
            </w:tcBorders>
          </w:tcPr>
          <w:p w14:paraId="7D45766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Stupeň</w:t>
            </w:r>
            <w:proofErr w:type="spellEnd"/>
            <w:r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r w:rsidRPr="00123772">
              <w:rPr>
                <w:rFonts w:eastAsia="Calibri"/>
                <w:b/>
                <w:sz w:val="20"/>
                <w:szCs w:val="22"/>
                <w:vertAlign w:val="superscript"/>
                <w:lang w:val="en-US" w:eastAsia="en-US"/>
              </w:rPr>
              <w:t>b</w:t>
            </w:r>
          </w:p>
        </w:tc>
      </w:tr>
      <w:tr w:rsidR="006E5769" w:rsidRPr="00123772" w14:paraId="7D45766D" w14:textId="77777777" w:rsidTr="002B3DDC">
        <w:trPr>
          <w:trHeight w:val="139"/>
          <w:tblHeader/>
        </w:trPr>
        <w:tc>
          <w:tcPr>
            <w:tcW w:w="97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45766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7667" w14:textId="77777777" w:rsidR="007D3B51" w:rsidRPr="00123772" w:rsidRDefault="009C276F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Všechny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stupně</w:t>
            </w:r>
            <w:proofErr w:type="spellEnd"/>
            <w:r w:rsidR="007D3B51"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6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thickThinLargeGap" w:sz="24" w:space="0" w:color="auto"/>
            </w:tcBorders>
          </w:tcPr>
          <w:p w14:paraId="7D457668" w14:textId="77777777" w:rsidR="007D3B51" w:rsidRPr="00123772" w:rsidRDefault="009C276F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Všechny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stupně</w:t>
            </w:r>
            <w:proofErr w:type="spellEnd"/>
            <w:r w:rsidR="007D3B51"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3/4 %</w:t>
            </w:r>
          </w:p>
        </w:tc>
        <w:tc>
          <w:tcPr>
            <w:tcW w:w="634" w:type="pct"/>
            <w:gridSpan w:val="2"/>
            <w:tcBorders>
              <w:left w:val="thickThinLargeGap" w:sz="24" w:space="0" w:color="auto"/>
              <w:right w:val="single" w:sz="8" w:space="0" w:color="auto"/>
            </w:tcBorders>
          </w:tcPr>
          <w:p w14:paraId="7D457669" w14:textId="77777777" w:rsidR="007D3B51" w:rsidRPr="00123772" w:rsidRDefault="009C276F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Všechny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stupně</w:t>
            </w:r>
            <w:proofErr w:type="spellEnd"/>
            <w:r w:rsidR="007D3B51"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745" w:type="pct"/>
            <w:gridSpan w:val="2"/>
            <w:tcBorders>
              <w:left w:val="single" w:sz="8" w:space="0" w:color="auto"/>
              <w:right w:val="thickThinLargeGap" w:sz="24" w:space="0" w:color="auto"/>
            </w:tcBorders>
          </w:tcPr>
          <w:p w14:paraId="7D45766A" w14:textId="77777777" w:rsidR="007D3B51" w:rsidRPr="00123772" w:rsidRDefault="009C276F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Všechny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stupně</w:t>
            </w:r>
            <w:proofErr w:type="spellEnd"/>
            <w:r w:rsidR="007D3B51"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3/4 %</w:t>
            </w:r>
          </w:p>
        </w:tc>
        <w:tc>
          <w:tcPr>
            <w:tcW w:w="643" w:type="pct"/>
            <w:gridSpan w:val="2"/>
            <w:tcBorders>
              <w:left w:val="thickThinLargeGap" w:sz="24" w:space="0" w:color="auto"/>
              <w:right w:val="single" w:sz="8" w:space="0" w:color="auto"/>
            </w:tcBorders>
          </w:tcPr>
          <w:p w14:paraId="7D45766B" w14:textId="77777777" w:rsidR="007D3B51" w:rsidRPr="00123772" w:rsidRDefault="009C276F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Všechny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stupně</w:t>
            </w:r>
            <w:proofErr w:type="spellEnd"/>
            <w:r w:rsidR="007D3B51"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690" w:type="pct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D45766C" w14:textId="77777777" w:rsidR="007D3B51" w:rsidRPr="00123772" w:rsidRDefault="009C276F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Všechny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stupně</w:t>
            </w:r>
            <w:proofErr w:type="spellEnd"/>
            <w:r w:rsidR="007D3B51"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3/4 %</w:t>
            </w:r>
          </w:p>
        </w:tc>
      </w:tr>
      <w:tr w:rsidR="006E5769" w:rsidRPr="00123772" w14:paraId="7D4576BC" w14:textId="77777777" w:rsidTr="002B3DDC">
        <w:trPr>
          <w:trHeight w:val="1479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45766E" w14:textId="77777777" w:rsidR="009C276F" w:rsidRDefault="009C276F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3D520D">
              <w:rPr>
                <w:b/>
                <w:bCs/>
                <w:szCs w:val="22"/>
                <w:lang w:val="cs-CZ" w:eastAsia="en-US"/>
              </w:rPr>
              <w:t xml:space="preserve">Poruchy krve a lymfatického </w:t>
            </w:r>
            <w:r w:rsidRPr="003D520D">
              <w:rPr>
                <w:b/>
                <w:bCs/>
                <w:szCs w:val="22"/>
                <w:lang w:val="cs-CZ" w:eastAsia="ko-KR"/>
              </w:rPr>
              <w:t>systému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 xml:space="preserve"> </w:t>
            </w:r>
          </w:p>
          <w:p w14:paraId="7D45766F" w14:textId="77777777" w:rsidR="007D3B51" w:rsidRPr="00123772" w:rsidRDefault="009C276F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2"/>
                <w:lang w:val="en-US" w:eastAsia="en-US"/>
              </w:rPr>
              <w:t>Snížení</w:t>
            </w:r>
            <w:proofErr w:type="spellEnd"/>
            <w:r>
              <w:rPr>
                <w:rFonts w:eastAsia="Calibri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2"/>
                <w:lang w:val="en-US" w:eastAsia="en-US"/>
              </w:rPr>
              <w:t>hladiny</w:t>
            </w:r>
            <w:proofErr w:type="spellEnd"/>
            <w:r>
              <w:rPr>
                <w:rFonts w:eastAsia="Calibri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2"/>
                <w:lang w:val="en-US" w:eastAsia="en-US"/>
              </w:rPr>
              <w:t>h</w:t>
            </w:r>
            <w:r w:rsidR="007D3B51" w:rsidRPr="00123772">
              <w:rPr>
                <w:rFonts w:eastAsia="Calibri"/>
                <w:sz w:val="20"/>
                <w:szCs w:val="22"/>
                <w:lang w:val="en-US" w:eastAsia="en-US"/>
              </w:rPr>
              <w:t>emoglobin</w:t>
            </w:r>
            <w:r>
              <w:rPr>
                <w:rFonts w:eastAsia="Calibri"/>
                <w:sz w:val="20"/>
                <w:szCs w:val="22"/>
                <w:lang w:val="en-US" w:eastAsia="en-US"/>
              </w:rPr>
              <w:t>u</w:t>
            </w:r>
            <w:proofErr w:type="spellEnd"/>
            <w:r w:rsidR="007D3B51" w:rsidRPr="00123772">
              <w:rPr>
                <w:rFonts w:eastAsia="Calibri"/>
                <w:sz w:val="20"/>
                <w:szCs w:val="22"/>
                <w:lang w:val="en-US" w:eastAsia="en-US"/>
              </w:rPr>
              <w:t xml:space="preserve"> </w:t>
            </w:r>
          </w:p>
          <w:p w14:paraId="7D45767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Trombocytopeni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e</w:t>
            </w:r>
            <w:proofErr w:type="spellEnd"/>
          </w:p>
          <w:p w14:paraId="7D45767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Neutropeni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e</w:t>
            </w:r>
          </w:p>
          <w:p w14:paraId="7D45767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Lym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f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openi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e</w:t>
            </w:r>
            <w:proofErr w:type="spellEnd"/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67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7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75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78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  <w:p w14:paraId="7D45767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40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  <w:p w14:paraId="7D457677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2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</w:p>
          <w:p w14:paraId="7D45767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54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67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7A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7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66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</w:p>
          <w:p w14:paraId="7D45767C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16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</w:p>
          <w:p w14:paraId="7D45767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7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34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67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8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8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</w:p>
          <w:p w14:paraId="7D45768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2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</w:p>
          <w:p w14:paraId="7D45768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6</w:t>
            </w:r>
          </w:p>
          <w:p w14:paraId="7D45768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9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right w:val="thickThinLargeGap" w:sz="24" w:space="0" w:color="auto"/>
            </w:tcBorders>
          </w:tcPr>
          <w:p w14:paraId="7D457685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8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87" w14:textId="77777777" w:rsidR="009C276F" w:rsidRDefault="009C276F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8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2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</w:p>
          <w:p w14:paraId="7D45768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</w:p>
          <w:p w14:paraId="7D45768A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8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</w:tc>
        <w:tc>
          <w:tcPr>
            <w:tcW w:w="330" w:type="pct"/>
            <w:tcBorders>
              <w:left w:val="thickThinLargeGap" w:sz="24" w:space="0" w:color="auto"/>
              <w:right w:val="single" w:sz="8" w:space="0" w:color="auto"/>
            </w:tcBorders>
          </w:tcPr>
          <w:p w14:paraId="7D45768C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8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8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75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8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12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9</w:t>
            </w:r>
          </w:p>
          <w:p w14:paraId="7D45769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15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9</w:t>
            </w:r>
          </w:p>
          <w:p w14:paraId="7D45769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29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9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14:paraId="7D45769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9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9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72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7</w:t>
            </w:r>
          </w:p>
          <w:p w14:paraId="7D457695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  <w:p w14:paraId="7D45769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12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</w:p>
          <w:p w14:paraId="7D457697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24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2</w:t>
            </w:r>
          </w:p>
        </w:tc>
        <w:tc>
          <w:tcPr>
            <w:tcW w:w="315" w:type="pct"/>
            <w:tcBorders>
              <w:left w:val="single" w:sz="8" w:space="0" w:color="auto"/>
              <w:right w:val="single" w:sz="8" w:space="0" w:color="auto"/>
            </w:tcBorders>
          </w:tcPr>
          <w:p w14:paraId="7D45769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9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9A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9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</w:p>
          <w:p w14:paraId="7D45769C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</w:p>
          <w:p w14:paraId="7D45769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7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6</w:t>
            </w:r>
          </w:p>
        </w:tc>
        <w:tc>
          <w:tcPr>
            <w:tcW w:w="430" w:type="pct"/>
            <w:tcBorders>
              <w:left w:val="single" w:sz="8" w:space="0" w:color="auto"/>
              <w:right w:val="thickThinLargeGap" w:sz="24" w:space="0" w:color="auto"/>
            </w:tcBorders>
          </w:tcPr>
          <w:p w14:paraId="7D45769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9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A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  <w:p w14:paraId="7D4576A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  <w:p w14:paraId="7D4576A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A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</w:tc>
        <w:tc>
          <w:tcPr>
            <w:tcW w:w="323" w:type="pct"/>
            <w:tcBorders>
              <w:left w:val="thickThinLargeGap" w:sz="24" w:space="0" w:color="auto"/>
              <w:right w:val="single" w:sz="8" w:space="0" w:color="auto"/>
            </w:tcBorders>
          </w:tcPr>
          <w:p w14:paraId="7D4576A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A5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A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72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  <w:p w14:paraId="7D4576A7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63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</w:p>
          <w:p w14:paraId="7D4576A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6</w:t>
            </w:r>
          </w:p>
          <w:p w14:paraId="7D4576A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67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14:paraId="7D4576AA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A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AC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71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</w:p>
          <w:p w14:paraId="7D4576A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50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A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14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9</w:t>
            </w:r>
          </w:p>
          <w:p w14:paraId="7D4576A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58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</w:tc>
        <w:tc>
          <w:tcPr>
            <w:tcW w:w="308" w:type="pct"/>
            <w:tcBorders>
              <w:left w:val="single" w:sz="8" w:space="0" w:color="auto"/>
              <w:right w:val="single" w:sz="8" w:space="0" w:color="auto"/>
            </w:tcBorders>
          </w:tcPr>
          <w:p w14:paraId="7D4576B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B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B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6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B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</w:p>
          <w:p w14:paraId="7D4576B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B5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17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</w:p>
        </w:tc>
        <w:tc>
          <w:tcPr>
            <w:tcW w:w="382" w:type="pct"/>
            <w:tcBorders>
              <w:left w:val="single" w:sz="8" w:space="0" w:color="auto"/>
              <w:right w:val="single" w:sz="8" w:space="0" w:color="auto"/>
            </w:tcBorders>
          </w:tcPr>
          <w:p w14:paraId="7D4576B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B7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B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</w:p>
          <w:p w14:paraId="7D4576B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BA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B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7</w:t>
            </w:r>
          </w:p>
        </w:tc>
      </w:tr>
      <w:tr w:rsidR="006E5769" w:rsidRPr="00123772" w14:paraId="7D4576F1" w14:textId="77777777" w:rsidTr="002B3DDC">
        <w:trPr>
          <w:trHeight w:val="1225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4576BD" w14:textId="77777777" w:rsidR="007D3B51" w:rsidRPr="00123772" w:rsidRDefault="009C276F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Poruchy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m</w:t>
            </w:r>
            <w:r w:rsidR="007D3B51"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>etabolism</w:t>
            </w:r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u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r w:rsidR="007D3B51" w:rsidRPr="00123772">
              <w:rPr>
                <w:rFonts w:eastAsia="Calibri"/>
                <w:b/>
                <w:sz w:val="20"/>
                <w:szCs w:val="22"/>
                <w:lang w:val="en-US" w:eastAsia="en-US"/>
              </w:rPr>
              <w:t>a</w:t>
            </w:r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výživy</w:t>
            </w:r>
            <w:proofErr w:type="spellEnd"/>
          </w:p>
          <w:p w14:paraId="7D4576B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Hypo</w:t>
            </w:r>
            <w:r w:rsidR="00203B5D">
              <w:rPr>
                <w:rFonts w:eastAsia="Calibri"/>
                <w:sz w:val="20"/>
                <w:szCs w:val="22"/>
                <w:lang w:val="en-US" w:eastAsia="en-US"/>
              </w:rPr>
              <w:t>k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alc</w:t>
            </w:r>
            <w:r w:rsidR="00434FDE">
              <w:rPr>
                <w:rFonts w:eastAsia="Calibri"/>
                <w:sz w:val="20"/>
                <w:szCs w:val="22"/>
                <w:lang w:val="en-US" w:eastAsia="en-US"/>
              </w:rPr>
              <w:t>e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mie</w:t>
            </w:r>
            <w:proofErr w:type="spellEnd"/>
          </w:p>
          <w:p w14:paraId="7D4576B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Hypokal</w:t>
            </w:r>
            <w:r w:rsidR="00434FDE">
              <w:rPr>
                <w:rFonts w:eastAsia="Calibri"/>
                <w:sz w:val="20"/>
                <w:szCs w:val="22"/>
                <w:lang w:val="en-US" w:eastAsia="en-US"/>
              </w:rPr>
              <w:t>e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mie</w:t>
            </w:r>
            <w:proofErr w:type="spellEnd"/>
          </w:p>
          <w:p w14:paraId="7D4576C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Hypo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fosfat</w:t>
            </w:r>
            <w:r w:rsidR="00434FDE">
              <w:rPr>
                <w:rFonts w:eastAsia="Calibri"/>
                <w:sz w:val="20"/>
                <w:szCs w:val="22"/>
                <w:lang w:val="en-US" w:eastAsia="en-US"/>
              </w:rPr>
              <w:t>e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mie</w:t>
            </w:r>
            <w:proofErr w:type="spellEnd"/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6C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C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59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</w:p>
          <w:p w14:paraId="7D4576C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25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7</w:t>
            </w:r>
          </w:p>
          <w:p w14:paraId="7D4576C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57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6C5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C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18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</w:p>
          <w:p w14:paraId="7D4576C7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</w:p>
          <w:p w14:paraId="7D4576C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6C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CA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2</w:t>
            </w:r>
          </w:p>
          <w:p w14:paraId="7D4576C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</w:p>
          <w:p w14:paraId="7D4576CC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right w:val="thickThinLargeGap" w:sz="24" w:space="0" w:color="auto"/>
            </w:tcBorders>
          </w:tcPr>
          <w:p w14:paraId="7D4576C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C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2</w:t>
            </w:r>
          </w:p>
          <w:p w14:paraId="7D4576C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</w:p>
          <w:p w14:paraId="7D4576D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6</w:t>
            </w:r>
          </w:p>
        </w:tc>
        <w:tc>
          <w:tcPr>
            <w:tcW w:w="330" w:type="pct"/>
            <w:tcBorders>
              <w:left w:val="thickThinLargeGap" w:sz="24" w:space="0" w:color="auto"/>
              <w:right w:val="single" w:sz="8" w:space="0" w:color="auto"/>
            </w:tcBorders>
          </w:tcPr>
          <w:p w14:paraId="7D4576D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D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16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7</w:t>
            </w:r>
          </w:p>
          <w:p w14:paraId="7D4576D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20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  <w:p w14:paraId="7D4576D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54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14:paraId="7D4576D5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D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  <w:p w14:paraId="7D4576D7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D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</w:p>
        </w:tc>
        <w:tc>
          <w:tcPr>
            <w:tcW w:w="315" w:type="pct"/>
            <w:tcBorders>
              <w:left w:val="single" w:sz="8" w:space="0" w:color="auto"/>
              <w:right w:val="single" w:sz="8" w:space="0" w:color="auto"/>
            </w:tcBorders>
          </w:tcPr>
          <w:p w14:paraId="7D4576D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DA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  <w:p w14:paraId="7D4576D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DC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21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2</w:t>
            </w:r>
          </w:p>
        </w:tc>
        <w:tc>
          <w:tcPr>
            <w:tcW w:w="430" w:type="pct"/>
            <w:tcBorders>
              <w:left w:val="single" w:sz="8" w:space="0" w:color="auto"/>
              <w:right w:val="thickThinLargeGap" w:sz="24" w:space="0" w:color="auto"/>
            </w:tcBorders>
          </w:tcPr>
          <w:p w14:paraId="7D4576D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D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D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E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</w:tc>
        <w:tc>
          <w:tcPr>
            <w:tcW w:w="323" w:type="pct"/>
            <w:tcBorders>
              <w:left w:val="thickThinLargeGap" w:sz="24" w:space="0" w:color="auto"/>
              <w:right w:val="single" w:sz="8" w:space="0" w:color="auto"/>
            </w:tcBorders>
          </w:tcPr>
          <w:p w14:paraId="7D4576E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E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23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</w:p>
          <w:p w14:paraId="7D4576E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30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7</w:t>
            </w:r>
          </w:p>
          <w:p w14:paraId="7D4576E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70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14:paraId="7D4576E5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E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10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</w:p>
          <w:p w14:paraId="7D4576E7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9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E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</w:p>
        </w:tc>
        <w:tc>
          <w:tcPr>
            <w:tcW w:w="308" w:type="pct"/>
            <w:tcBorders>
              <w:left w:val="single" w:sz="8" w:space="0" w:color="auto"/>
              <w:right w:val="single" w:sz="8" w:space="0" w:color="auto"/>
            </w:tcBorders>
          </w:tcPr>
          <w:p w14:paraId="7D4576E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EA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</w:p>
          <w:p w14:paraId="7D4576E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</w:p>
          <w:p w14:paraId="7D4576EC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9</w:t>
            </w:r>
          </w:p>
        </w:tc>
        <w:tc>
          <w:tcPr>
            <w:tcW w:w="382" w:type="pct"/>
            <w:tcBorders>
              <w:left w:val="single" w:sz="8" w:space="0" w:color="auto"/>
              <w:right w:val="single" w:sz="8" w:space="0" w:color="auto"/>
            </w:tcBorders>
          </w:tcPr>
          <w:p w14:paraId="7D4576E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E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E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2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</w:p>
          <w:p w14:paraId="7D4576F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6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9</w:t>
            </w:r>
          </w:p>
        </w:tc>
      </w:tr>
      <w:tr w:rsidR="006E5769" w:rsidRPr="00123772" w14:paraId="7D457726" w14:textId="77777777" w:rsidTr="002B3DDC">
        <w:trPr>
          <w:trHeight w:val="1038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4576F2" w14:textId="77777777" w:rsidR="007D3B51" w:rsidRPr="00123772" w:rsidRDefault="009C276F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Poruchy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jater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žlučových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cest</w:t>
            </w:r>
            <w:proofErr w:type="spellEnd"/>
          </w:p>
          <w:p w14:paraId="7D4576F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Hyperbilirubin</w:t>
            </w:r>
            <w:r w:rsidR="00434FDE">
              <w:rPr>
                <w:rFonts w:eastAsia="Calibri"/>
                <w:sz w:val="20"/>
                <w:szCs w:val="22"/>
                <w:lang w:val="en-US" w:eastAsia="en-US"/>
              </w:rPr>
              <w:t>e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mie</w:t>
            </w:r>
            <w:proofErr w:type="spellEnd"/>
          </w:p>
          <w:p w14:paraId="7D4576F4" w14:textId="77777777" w:rsidR="007D3B51" w:rsidRPr="00123772" w:rsidRDefault="009C276F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2"/>
                <w:lang w:val="en-US" w:eastAsia="en-US"/>
              </w:rPr>
              <w:t>Zvýšení</w:t>
            </w:r>
            <w:proofErr w:type="spellEnd"/>
            <w:r w:rsidR="007D3B51" w:rsidRPr="00123772">
              <w:rPr>
                <w:rFonts w:eastAsia="Calibri"/>
                <w:sz w:val="20"/>
                <w:szCs w:val="22"/>
                <w:lang w:val="en-US" w:eastAsia="en-US"/>
              </w:rPr>
              <w:t xml:space="preserve"> AST</w:t>
            </w:r>
          </w:p>
          <w:p w14:paraId="7D4576F5" w14:textId="77777777" w:rsidR="007D3B51" w:rsidRPr="00123772" w:rsidRDefault="009C276F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2"/>
                <w:lang w:val="en-US" w:eastAsia="en-US"/>
              </w:rPr>
              <w:t>Zvýšení</w:t>
            </w:r>
            <w:proofErr w:type="spellEnd"/>
            <w:r w:rsidR="007D3B51" w:rsidRPr="00123772">
              <w:rPr>
                <w:rFonts w:eastAsia="Calibri"/>
                <w:sz w:val="20"/>
                <w:szCs w:val="22"/>
                <w:lang w:val="en-US" w:eastAsia="en-US"/>
              </w:rPr>
              <w:t xml:space="preserve"> ALT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6F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F7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44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6</w:t>
            </w:r>
          </w:p>
          <w:p w14:paraId="7D4576F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65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6F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45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2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6FA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F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17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</w:p>
          <w:p w14:paraId="7D4576FC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45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6</w:t>
            </w:r>
          </w:p>
          <w:p w14:paraId="7D4576F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29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6F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6F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12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2</w:t>
            </w:r>
          </w:p>
          <w:p w14:paraId="7D45770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9</w:t>
            </w:r>
          </w:p>
          <w:p w14:paraId="7D45770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right w:val="thickThinLargeGap" w:sz="24" w:space="0" w:color="auto"/>
            </w:tcBorders>
          </w:tcPr>
          <w:p w14:paraId="7D45770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0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</w:p>
          <w:p w14:paraId="7D45770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2</w:t>
            </w:r>
          </w:p>
          <w:p w14:paraId="7D457705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2</w:t>
            </w:r>
          </w:p>
        </w:tc>
        <w:tc>
          <w:tcPr>
            <w:tcW w:w="330" w:type="pct"/>
            <w:tcBorders>
              <w:left w:val="thickThinLargeGap" w:sz="24" w:space="0" w:color="auto"/>
              <w:right w:val="single" w:sz="8" w:space="0" w:color="auto"/>
            </w:tcBorders>
          </w:tcPr>
          <w:p w14:paraId="7D45770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07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</w:p>
          <w:p w14:paraId="7D45770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58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</w:p>
          <w:p w14:paraId="7D45770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39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14:paraId="7D45770A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0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12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</w:p>
          <w:p w14:paraId="7D45770C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47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70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39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</w:p>
        </w:tc>
        <w:tc>
          <w:tcPr>
            <w:tcW w:w="315" w:type="pct"/>
            <w:tcBorders>
              <w:left w:val="single" w:sz="8" w:space="0" w:color="auto"/>
              <w:right w:val="single" w:sz="8" w:space="0" w:color="auto"/>
            </w:tcBorders>
          </w:tcPr>
          <w:p w14:paraId="7D45770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0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</w:p>
          <w:p w14:paraId="7D45771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</w:p>
          <w:p w14:paraId="7D45771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6</w:t>
            </w:r>
          </w:p>
        </w:tc>
        <w:tc>
          <w:tcPr>
            <w:tcW w:w="430" w:type="pct"/>
            <w:tcBorders>
              <w:left w:val="single" w:sz="8" w:space="0" w:color="auto"/>
              <w:right w:val="thickThinLargeGap" w:sz="24" w:space="0" w:color="auto"/>
            </w:tcBorders>
          </w:tcPr>
          <w:p w14:paraId="7D45771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1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  <w:p w14:paraId="7D45771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  <w:p w14:paraId="7D457715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</w:tc>
        <w:tc>
          <w:tcPr>
            <w:tcW w:w="323" w:type="pct"/>
            <w:tcBorders>
              <w:left w:val="thickThinLargeGap" w:sz="24" w:space="0" w:color="auto"/>
              <w:right w:val="single" w:sz="8" w:space="0" w:color="auto"/>
            </w:tcBorders>
          </w:tcPr>
          <w:p w14:paraId="7D45771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17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78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2</w:t>
            </w:r>
          </w:p>
          <w:p w14:paraId="7D45771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92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7</w:t>
            </w:r>
          </w:p>
          <w:p w14:paraId="7D45771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70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14:paraId="7D45771A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1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54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  <w:p w14:paraId="7D45771C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84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3</w:t>
            </w:r>
          </w:p>
          <w:p w14:paraId="7D45771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58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6</w:t>
            </w:r>
          </w:p>
        </w:tc>
        <w:tc>
          <w:tcPr>
            <w:tcW w:w="308" w:type="pct"/>
            <w:tcBorders>
              <w:left w:val="single" w:sz="8" w:space="0" w:color="auto"/>
              <w:right w:val="single" w:sz="8" w:space="0" w:color="auto"/>
            </w:tcBorders>
          </w:tcPr>
          <w:p w14:paraId="7D45771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1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15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9</w:t>
            </w:r>
          </w:p>
          <w:p w14:paraId="7D45772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17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</w:p>
          <w:p w14:paraId="7D45772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6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2</w:t>
            </w:r>
          </w:p>
        </w:tc>
        <w:tc>
          <w:tcPr>
            <w:tcW w:w="382" w:type="pct"/>
            <w:tcBorders>
              <w:left w:val="single" w:sz="8" w:space="0" w:color="auto"/>
              <w:right w:val="single" w:sz="8" w:space="0" w:color="auto"/>
            </w:tcBorders>
          </w:tcPr>
          <w:p w14:paraId="7D45772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2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15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7</w:t>
            </w:r>
          </w:p>
          <w:p w14:paraId="7D45772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19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9</w:t>
            </w:r>
          </w:p>
          <w:p w14:paraId="7D457725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4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7</w:t>
            </w:r>
          </w:p>
        </w:tc>
      </w:tr>
      <w:tr w:rsidR="006E5769" w:rsidRPr="00123772" w14:paraId="7D457741" w14:textId="77777777" w:rsidTr="002B3DDC">
        <w:trPr>
          <w:trHeight w:val="735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457727" w14:textId="77777777" w:rsidR="007D3B51" w:rsidRPr="00123772" w:rsidRDefault="009C276F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Poruchy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ledvin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močových</w:t>
            </w:r>
            <w:proofErr w:type="spellEnd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cest</w:t>
            </w:r>
            <w:proofErr w:type="spellEnd"/>
          </w:p>
          <w:p w14:paraId="7D45772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Proteinuri</w:t>
            </w:r>
            <w:r w:rsidR="00C75951">
              <w:rPr>
                <w:rFonts w:eastAsia="Calibri"/>
                <w:sz w:val="20"/>
                <w:szCs w:val="22"/>
                <w:lang w:val="en-US" w:eastAsia="en-US"/>
              </w:rPr>
              <w:t>e</w:t>
            </w:r>
            <w:proofErr w:type="spellEnd"/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72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2A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83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6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72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2C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61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72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2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right w:val="thickThinLargeGap" w:sz="24" w:space="0" w:color="auto"/>
            </w:tcBorders>
          </w:tcPr>
          <w:p w14:paraId="7D45772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3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0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8</w:t>
            </w:r>
          </w:p>
        </w:tc>
        <w:tc>
          <w:tcPr>
            <w:tcW w:w="330" w:type="pct"/>
            <w:tcBorders>
              <w:left w:val="thickThinLargeGap" w:sz="24" w:space="0" w:color="auto"/>
              <w:right w:val="single" w:sz="8" w:space="0" w:color="auto"/>
            </w:tcBorders>
          </w:tcPr>
          <w:p w14:paraId="7D45773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3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59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2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14:paraId="7D45773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3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52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5</w:t>
            </w:r>
          </w:p>
        </w:tc>
        <w:tc>
          <w:tcPr>
            <w:tcW w:w="315" w:type="pct"/>
            <w:tcBorders>
              <w:left w:val="single" w:sz="8" w:space="0" w:color="auto"/>
              <w:right w:val="single" w:sz="8" w:space="0" w:color="auto"/>
            </w:tcBorders>
          </w:tcPr>
          <w:p w14:paraId="7D457735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3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3.1</w:t>
            </w:r>
          </w:p>
        </w:tc>
        <w:tc>
          <w:tcPr>
            <w:tcW w:w="430" w:type="pct"/>
            <w:tcBorders>
              <w:left w:val="single" w:sz="8" w:space="0" w:color="auto"/>
              <w:right w:val="thickThinLargeGap" w:sz="24" w:space="0" w:color="auto"/>
            </w:tcBorders>
          </w:tcPr>
          <w:p w14:paraId="7D457737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3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3.4</w:t>
            </w:r>
          </w:p>
        </w:tc>
        <w:tc>
          <w:tcPr>
            <w:tcW w:w="323" w:type="pct"/>
            <w:tcBorders>
              <w:left w:val="thickThinLargeGap" w:sz="24" w:space="0" w:color="auto"/>
              <w:right w:val="single" w:sz="8" w:space="0" w:color="auto"/>
            </w:tcBorders>
          </w:tcPr>
          <w:p w14:paraId="7D45773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3A" w14:textId="77777777" w:rsidR="007D3B51" w:rsidRPr="00123772" w:rsidRDefault="00AB1F53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51,0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14:paraId="7D45773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3C" w14:textId="77777777" w:rsidR="007D3B51" w:rsidRPr="00123772" w:rsidRDefault="000765C2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36,5</w:t>
            </w:r>
          </w:p>
        </w:tc>
        <w:tc>
          <w:tcPr>
            <w:tcW w:w="308" w:type="pct"/>
            <w:tcBorders>
              <w:left w:val="single" w:sz="8" w:space="0" w:color="auto"/>
              <w:right w:val="single" w:sz="8" w:space="0" w:color="auto"/>
            </w:tcBorders>
          </w:tcPr>
          <w:p w14:paraId="7D45773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3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23772">
              <w:rPr>
                <w:rFonts w:eastAsia="Calibri"/>
                <w:sz w:val="20"/>
                <w:lang w:val="en-US" w:eastAsia="en-US"/>
              </w:rPr>
              <w:t>16</w:t>
            </w:r>
            <w:r w:rsidR="009C276F">
              <w:rPr>
                <w:rFonts w:eastAsia="Calibri"/>
                <w:sz w:val="20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lang w:val="en-US" w:eastAsia="en-US"/>
              </w:rPr>
              <w:t>7</w:t>
            </w:r>
          </w:p>
        </w:tc>
        <w:tc>
          <w:tcPr>
            <w:tcW w:w="382" w:type="pct"/>
            <w:tcBorders>
              <w:left w:val="single" w:sz="8" w:space="0" w:color="auto"/>
              <w:right w:val="single" w:sz="8" w:space="0" w:color="auto"/>
            </w:tcBorders>
          </w:tcPr>
          <w:p w14:paraId="7D45773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7D457740" w14:textId="77777777" w:rsidR="007D3B51" w:rsidRPr="00123772" w:rsidRDefault="000765C2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3,1</w:t>
            </w:r>
          </w:p>
        </w:tc>
      </w:tr>
      <w:tr w:rsidR="006E5769" w:rsidRPr="00123772" w14:paraId="7D457776" w14:textId="77777777" w:rsidTr="002B3DDC">
        <w:trPr>
          <w:trHeight w:val="408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457742" w14:textId="77777777" w:rsidR="007D3B51" w:rsidRPr="00123772" w:rsidRDefault="00C75951" w:rsidP="00D707AB">
            <w:pPr>
              <w:keepNext/>
              <w:keepLines/>
              <w:widowControl w:val="0"/>
              <w:spacing w:after="0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2"/>
                <w:lang w:val="en-US" w:eastAsia="en-US"/>
              </w:rPr>
              <w:t>Vyšetření</w:t>
            </w:r>
            <w:proofErr w:type="spellEnd"/>
          </w:p>
          <w:p w14:paraId="7D457743" w14:textId="77777777" w:rsidR="007D3B51" w:rsidRPr="00123772" w:rsidRDefault="00C75951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2"/>
                <w:lang w:val="en-US" w:eastAsia="en-US"/>
              </w:rPr>
              <w:t>Zvýšený</w:t>
            </w:r>
            <w:proofErr w:type="spellEnd"/>
            <w:r w:rsidR="007D3B51" w:rsidRPr="00123772">
              <w:rPr>
                <w:rFonts w:eastAsia="Calibri"/>
                <w:sz w:val="20"/>
                <w:szCs w:val="22"/>
                <w:lang w:val="en-US" w:eastAsia="en-US"/>
              </w:rPr>
              <w:t xml:space="preserve"> INR*</w:t>
            </w:r>
          </w:p>
          <w:p w14:paraId="7D457744" w14:textId="77777777" w:rsidR="002D693F" w:rsidRDefault="00C75951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2"/>
                <w:lang w:val="en-US" w:eastAsia="en-US"/>
              </w:rPr>
              <w:t>Zvýšená</w:t>
            </w:r>
            <w:proofErr w:type="spellEnd"/>
            <w:r>
              <w:rPr>
                <w:rFonts w:eastAsia="Calibri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2"/>
                <w:lang w:val="en-US" w:eastAsia="en-US"/>
              </w:rPr>
              <w:t>lipáza</w:t>
            </w:r>
            <w:proofErr w:type="spellEnd"/>
            <w:r w:rsidR="007D3B51" w:rsidRPr="00123772">
              <w:rPr>
                <w:rFonts w:eastAsia="Calibri"/>
                <w:sz w:val="20"/>
                <w:szCs w:val="22"/>
                <w:lang w:val="en-US" w:eastAsia="en-US"/>
              </w:rPr>
              <w:t xml:space="preserve"> </w:t>
            </w:r>
          </w:p>
          <w:p w14:paraId="7D457745" w14:textId="77777777" w:rsidR="007D3B51" w:rsidRPr="00123772" w:rsidRDefault="00C75951" w:rsidP="00D707AB">
            <w:pPr>
              <w:keepNext/>
              <w:keepLines/>
              <w:widowControl w:val="0"/>
              <w:spacing w:after="0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2"/>
                <w:lang w:val="en-US" w:eastAsia="en-US"/>
              </w:rPr>
              <w:t>Zvýšená</w:t>
            </w:r>
            <w:proofErr w:type="spellEnd"/>
            <w:r>
              <w:rPr>
                <w:rFonts w:eastAsia="Calibri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2"/>
                <w:lang w:val="en-US" w:eastAsia="en-US"/>
              </w:rPr>
              <w:t>amyláza</w:t>
            </w:r>
            <w:proofErr w:type="spellEnd"/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74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14:paraId="7D457747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23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7</w:t>
            </w:r>
          </w:p>
          <w:p w14:paraId="7D45774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46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0</w:t>
            </w:r>
          </w:p>
          <w:p w14:paraId="7D45774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25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5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45774A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14:paraId="7D45774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16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6</w:t>
            </w:r>
          </w:p>
          <w:p w14:paraId="7D45774C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18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7</w:t>
            </w:r>
          </w:p>
          <w:p w14:paraId="7D45774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16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7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7D45774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14:paraId="7D45774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4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2</w:t>
            </w:r>
          </w:p>
          <w:p w14:paraId="7D45775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11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4</w:t>
            </w:r>
          </w:p>
          <w:p w14:paraId="7D45775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2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6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thickThinLargeGap" w:sz="24" w:space="0" w:color="auto"/>
            </w:tcBorders>
          </w:tcPr>
          <w:p w14:paraId="7D45775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14:paraId="7D45775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1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6</w:t>
            </w:r>
          </w:p>
          <w:p w14:paraId="7D45775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4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4</w:t>
            </w:r>
          </w:p>
          <w:p w14:paraId="7D457755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2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4</w:t>
            </w:r>
          </w:p>
        </w:tc>
        <w:tc>
          <w:tcPr>
            <w:tcW w:w="330" w:type="pct"/>
            <w:tcBorders>
              <w:left w:val="thickThinLargeGap" w:sz="24" w:space="0" w:color="auto"/>
              <w:right w:val="single" w:sz="8" w:space="0" w:color="auto"/>
            </w:tcBorders>
          </w:tcPr>
          <w:p w14:paraId="7D45775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14:paraId="7D457757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9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3</w:t>
            </w:r>
          </w:p>
          <w:p w14:paraId="7D45775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14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4</w:t>
            </w:r>
          </w:p>
          <w:p w14:paraId="7D45775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-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14:paraId="7D45775A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14:paraId="7D45775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12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5</w:t>
            </w:r>
          </w:p>
          <w:p w14:paraId="7D45775C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4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6</w:t>
            </w:r>
          </w:p>
          <w:p w14:paraId="7D45775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-</w:t>
            </w:r>
          </w:p>
        </w:tc>
        <w:tc>
          <w:tcPr>
            <w:tcW w:w="315" w:type="pct"/>
            <w:tcBorders>
              <w:left w:val="single" w:sz="8" w:space="0" w:color="auto"/>
              <w:right w:val="single" w:sz="8" w:space="0" w:color="auto"/>
            </w:tcBorders>
          </w:tcPr>
          <w:p w14:paraId="7D45775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14:paraId="7D45775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1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6</w:t>
            </w:r>
          </w:p>
          <w:p w14:paraId="7D45776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0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8</w:t>
            </w:r>
          </w:p>
          <w:p w14:paraId="7D45776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-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2" w:space="0" w:color="000000"/>
              <w:right w:val="thickThinLargeGap" w:sz="24" w:space="0" w:color="auto"/>
            </w:tcBorders>
          </w:tcPr>
          <w:p w14:paraId="7D45776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14:paraId="7D45776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4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7</w:t>
            </w:r>
          </w:p>
          <w:p w14:paraId="7D45776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0</w:t>
            </w:r>
          </w:p>
          <w:p w14:paraId="7D457765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-</w:t>
            </w:r>
          </w:p>
        </w:tc>
        <w:tc>
          <w:tcPr>
            <w:tcW w:w="323" w:type="pct"/>
            <w:tcBorders>
              <w:left w:val="thickThinLargeGap" w:sz="24" w:space="0" w:color="auto"/>
              <w:right w:val="single" w:sz="8" w:space="0" w:color="auto"/>
            </w:tcBorders>
          </w:tcPr>
          <w:p w14:paraId="7D457766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14:paraId="7D457767" w14:textId="77777777" w:rsidR="007D3B51" w:rsidRPr="00123772" w:rsidRDefault="000765C2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>
              <w:rPr>
                <w:rFonts w:eastAsia="Calibri"/>
                <w:sz w:val="20"/>
                <w:szCs w:val="22"/>
                <w:lang w:val="en-US" w:eastAsia="en-US"/>
              </w:rPr>
              <w:t>44,4</w:t>
            </w:r>
          </w:p>
          <w:p w14:paraId="7D457768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40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5</w:t>
            </w:r>
          </w:p>
          <w:p w14:paraId="7D457769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23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0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14:paraId="7D45776A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14:paraId="7D45776B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35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4</w:t>
            </w:r>
          </w:p>
          <w:p w14:paraId="7D45776C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27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0</w:t>
            </w:r>
          </w:p>
          <w:p w14:paraId="7D45776D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19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0</w:t>
            </w:r>
          </w:p>
        </w:tc>
        <w:tc>
          <w:tcPr>
            <w:tcW w:w="308" w:type="pct"/>
            <w:tcBorders>
              <w:left w:val="single" w:sz="8" w:space="0" w:color="auto"/>
              <w:right w:val="single" w:sz="8" w:space="0" w:color="auto"/>
            </w:tcBorders>
          </w:tcPr>
          <w:p w14:paraId="7D45776E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14:paraId="7D45776F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0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7</w:t>
            </w:r>
          </w:p>
          <w:p w14:paraId="7D457770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14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2</w:t>
            </w:r>
          </w:p>
          <w:p w14:paraId="7D457771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2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8</w:t>
            </w:r>
          </w:p>
        </w:tc>
        <w:tc>
          <w:tcPr>
            <w:tcW w:w="382" w:type="pct"/>
            <w:tcBorders>
              <w:left w:val="single" w:sz="8" w:space="0" w:color="auto"/>
              <w:right w:val="single" w:sz="8" w:space="0" w:color="auto"/>
            </w:tcBorders>
          </w:tcPr>
          <w:p w14:paraId="7D457772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14:paraId="7D457773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2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1</w:t>
            </w:r>
          </w:p>
          <w:p w14:paraId="7D457774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8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7</w:t>
            </w:r>
          </w:p>
          <w:p w14:paraId="7D457775" w14:textId="77777777" w:rsidR="007D3B51" w:rsidRPr="00123772" w:rsidRDefault="007D3B51" w:rsidP="00D707AB">
            <w:pPr>
              <w:keepNext/>
              <w:keepLines/>
              <w:widowControl w:val="0"/>
              <w:spacing w:after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2</w:t>
            </w:r>
            <w:r w:rsidR="009C276F">
              <w:rPr>
                <w:rFonts w:eastAsia="Calibri"/>
                <w:sz w:val="20"/>
                <w:szCs w:val="22"/>
                <w:lang w:val="en-US" w:eastAsia="en-US"/>
              </w:rPr>
              <w:t>,</w:t>
            </w:r>
            <w:r w:rsidRPr="00123772">
              <w:rPr>
                <w:rFonts w:eastAsia="Calibri"/>
                <w:sz w:val="20"/>
                <w:szCs w:val="22"/>
                <w:lang w:val="en-US" w:eastAsia="en-US"/>
              </w:rPr>
              <w:t>7</w:t>
            </w:r>
          </w:p>
        </w:tc>
      </w:tr>
    </w:tbl>
    <w:p w14:paraId="7D457777" w14:textId="77777777" w:rsidR="009C276F" w:rsidRDefault="007D3B51" w:rsidP="00D707AB">
      <w:pPr>
        <w:spacing w:after="0" w:line="276" w:lineRule="auto"/>
        <w:rPr>
          <w:szCs w:val="22"/>
          <w:lang w:val="cs-CZ"/>
        </w:rPr>
      </w:pPr>
      <w:r w:rsidRPr="00123772">
        <w:rPr>
          <w:rFonts w:eastAsia="Calibri"/>
          <w:sz w:val="20"/>
          <w:szCs w:val="22"/>
          <w:vertAlign w:val="superscript"/>
          <w:lang w:val="en-US" w:eastAsia="en-US"/>
        </w:rPr>
        <w:t>a</w:t>
      </w:r>
      <w:r w:rsidRPr="00123772">
        <w:rPr>
          <w:rFonts w:eastAsia="Calibri"/>
          <w:sz w:val="20"/>
          <w:szCs w:val="22"/>
          <w:lang w:eastAsia="en-US"/>
        </w:rPr>
        <w:t xml:space="preserve"> </w:t>
      </w:r>
      <w:r w:rsidR="009C276F" w:rsidRPr="003D520D">
        <w:rPr>
          <w:szCs w:val="22"/>
          <w:lang w:val="cs-CZ"/>
        </w:rPr>
        <w:t xml:space="preserve">CTC kritéria pro nežádoucí </w:t>
      </w:r>
      <w:r w:rsidR="00A734B9">
        <w:rPr>
          <w:szCs w:val="22"/>
          <w:lang w:val="cs-CZ"/>
        </w:rPr>
        <w:t>účinky</w:t>
      </w:r>
      <w:r w:rsidR="009C276F" w:rsidRPr="003D520D">
        <w:rPr>
          <w:szCs w:val="22"/>
          <w:lang w:val="cs-CZ"/>
        </w:rPr>
        <w:t xml:space="preserve"> (</w:t>
      </w:r>
      <w:proofErr w:type="spellStart"/>
      <w:r w:rsidR="009C276F" w:rsidRPr="003D520D">
        <w:rPr>
          <w:szCs w:val="22"/>
          <w:lang w:val="cs-CZ"/>
        </w:rPr>
        <w:t>Common</w:t>
      </w:r>
      <w:proofErr w:type="spellEnd"/>
      <w:r w:rsidR="009C276F" w:rsidRPr="003D520D">
        <w:rPr>
          <w:szCs w:val="22"/>
          <w:lang w:val="cs-CZ"/>
        </w:rPr>
        <w:t xml:space="preserve"> Terminology </w:t>
      </w:r>
      <w:proofErr w:type="spellStart"/>
      <w:r w:rsidR="009C276F" w:rsidRPr="003D520D">
        <w:rPr>
          <w:szCs w:val="22"/>
          <w:lang w:val="cs-CZ"/>
        </w:rPr>
        <w:t>Criteria</w:t>
      </w:r>
      <w:proofErr w:type="spellEnd"/>
      <w:r w:rsidR="009C276F" w:rsidRPr="003D520D">
        <w:rPr>
          <w:szCs w:val="22"/>
          <w:lang w:val="cs-CZ"/>
        </w:rPr>
        <w:t xml:space="preserve"> </w:t>
      </w:r>
      <w:proofErr w:type="spellStart"/>
      <w:r w:rsidR="009C276F" w:rsidRPr="003D520D">
        <w:rPr>
          <w:szCs w:val="22"/>
          <w:lang w:val="cs-CZ"/>
        </w:rPr>
        <w:t>for</w:t>
      </w:r>
      <w:proofErr w:type="spellEnd"/>
      <w:r w:rsidR="009C276F" w:rsidRPr="003D520D">
        <w:rPr>
          <w:szCs w:val="22"/>
          <w:lang w:val="cs-CZ"/>
        </w:rPr>
        <w:t xml:space="preserve"> </w:t>
      </w:r>
      <w:proofErr w:type="spellStart"/>
      <w:r w:rsidR="009C276F" w:rsidRPr="003D520D">
        <w:rPr>
          <w:szCs w:val="22"/>
          <w:lang w:val="cs-CZ"/>
        </w:rPr>
        <w:t>Adverse</w:t>
      </w:r>
      <w:proofErr w:type="spellEnd"/>
      <w:r w:rsidR="009C276F" w:rsidRPr="003D520D">
        <w:rPr>
          <w:szCs w:val="22"/>
          <w:lang w:val="cs-CZ"/>
        </w:rPr>
        <w:t xml:space="preserve"> </w:t>
      </w:r>
      <w:proofErr w:type="spellStart"/>
      <w:r w:rsidR="009C276F" w:rsidRPr="003D520D">
        <w:rPr>
          <w:szCs w:val="22"/>
          <w:lang w:val="cs-CZ"/>
        </w:rPr>
        <w:t>Events</w:t>
      </w:r>
      <w:proofErr w:type="spellEnd"/>
      <w:r w:rsidR="009C276F" w:rsidRPr="003D520D">
        <w:rPr>
          <w:szCs w:val="22"/>
          <w:lang w:val="cs-CZ"/>
        </w:rPr>
        <w:t xml:space="preserve">, CTCAE), verze 3.0 </w:t>
      </w:r>
    </w:p>
    <w:p w14:paraId="7D457778" w14:textId="77777777" w:rsidR="009C276F" w:rsidRDefault="007D3B51" w:rsidP="00D707AB">
      <w:pPr>
        <w:spacing w:after="0" w:line="276" w:lineRule="auto"/>
        <w:rPr>
          <w:szCs w:val="22"/>
          <w:lang w:val="cs-CZ"/>
        </w:rPr>
      </w:pPr>
      <w:r w:rsidRPr="00123772">
        <w:rPr>
          <w:rFonts w:eastAsia="Calibri"/>
          <w:sz w:val="20"/>
          <w:szCs w:val="22"/>
          <w:vertAlign w:val="superscript"/>
          <w:lang w:eastAsia="en-US"/>
        </w:rPr>
        <w:t>b</w:t>
      </w:r>
      <w:r w:rsidRPr="00123772">
        <w:rPr>
          <w:rFonts w:eastAsia="Calibri"/>
          <w:sz w:val="20"/>
          <w:szCs w:val="22"/>
          <w:lang w:eastAsia="en-US"/>
        </w:rPr>
        <w:t xml:space="preserve"> </w:t>
      </w:r>
      <w:r w:rsidR="009C276F" w:rsidRPr="003D520D">
        <w:rPr>
          <w:szCs w:val="22"/>
          <w:lang w:val="cs-CZ"/>
        </w:rPr>
        <w:t xml:space="preserve">CTC kritéria pro nežádoucí </w:t>
      </w:r>
      <w:r w:rsidR="00A734B9">
        <w:rPr>
          <w:szCs w:val="22"/>
          <w:lang w:val="cs-CZ"/>
        </w:rPr>
        <w:t>účinky</w:t>
      </w:r>
      <w:r w:rsidR="009C276F" w:rsidRPr="003D520D">
        <w:rPr>
          <w:szCs w:val="22"/>
          <w:lang w:val="cs-CZ"/>
        </w:rPr>
        <w:t xml:space="preserve"> (</w:t>
      </w:r>
      <w:proofErr w:type="spellStart"/>
      <w:r w:rsidR="009C276F" w:rsidRPr="003D520D">
        <w:rPr>
          <w:szCs w:val="22"/>
          <w:lang w:val="cs-CZ"/>
        </w:rPr>
        <w:t>Common</w:t>
      </w:r>
      <w:proofErr w:type="spellEnd"/>
      <w:r w:rsidR="009C276F" w:rsidRPr="003D520D">
        <w:rPr>
          <w:szCs w:val="22"/>
          <w:lang w:val="cs-CZ"/>
        </w:rPr>
        <w:t xml:space="preserve"> Terminology </w:t>
      </w:r>
      <w:proofErr w:type="spellStart"/>
      <w:r w:rsidR="009C276F" w:rsidRPr="003D520D">
        <w:rPr>
          <w:szCs w:val="22"/>
          <w:lang w:val="cs-CZ"/>
        </w:rPr>
        <w:t>Criteria</w:t>
      </w:r>
      <w:proofErr w:type="spellEnd"/>
      <w:r w:rsidR="009C276F" w:rsidRPr="003D520D">
        <w:rPr>
          <w:szCs w:val="22"/>
          <w:lang w:val="cs-CZ"/>
        </w:rPr>
        <w:t xml:space="preserve"> </w:t>
      </w:r>
      <w:proofErr w:type="spellStart"/>
      <w:r w:rsidR="009C276F" w:rsidRPr="003D520D">
        <w:rPr>
          <w:szCs w:val="22"/>
          <w:lang w:val="cs-CZ"/>
        </w:rPr>
        <w:t>for</w:t>
      </w:r>
      <w:proofErr w:type="spellEnd"/>
      <w:r w:rsidR="009C276F" w:rsidRPr="003D520D">
        <w:rPr>
          <w:szCs w:val="22"/>
          <w:lang w:val="cs-CZ"/>
        </w:rPr>
        <w:t xml:space="preserve"> </w:t>
      </w:r>
      <w:proofErr w:type="spellStart"/>
      <w:r w:rsidR="009C276F" w:rsidRPr="003D520D">
        <w:rPr>
          <w:szCs w:val="22"/>
          <w:lang w:val="cs-CZ"/>
        </w:rPr>
        <w:t>Adverse</w:t>
      </w:r>
      <w:proofErr w:type="spellEnd"/>
      <w:r w:rsidR="009C276F" w:rsidRPr="003D520D">
        <w:rPr>
          <w:szCs w:val="22"/>
          <w:lang w:val="cs-CZ"/>
        </w:rPr>
        <w:t xml:space="preserve"> </w:t>
      </w:r>
      <w:proofErr w:type="spellStart"/>
      <w:r w:rsidR="009C276F" w:rsidRPr="003D520D">
        <w:rPr>
          <w:szCs w:val="22"/>
          <w:lang w:val="cs-CZ"/>
        </w:rPr>
        <w:t>Events</w:t>
      </w:r>
      <w:proofErr w:type="spellEnd"/>
      <w:r w:rsidR="009C276F" w:rsidRPr="003D520D">
        <w:rPr>
          <w:szCs w:val="22"/>
          <w:lang w:val="cs-CZ"/>
        </w:rPr>
        <w:t xml:space="preserve">, CTCAE), verze </w:t>
      </w:r>
      <w:r w:rsidR="009C276F">
        <w:rPr>
          <w:szCs w:val="22"/>
          <w:lang w:val="cs-CZ"/>
        </w:rPr>
        <w:t>4</w:t>
      </w:r>
      <w:r w:rsidR="009C276F" w:rsidRPr="003D520D">
        <w:rPr>
          <w:szCs w:val="22"/>
          <w:lang w:val="cs-CZ"/>
        </w:rPr>
        <w:t xml:space="preserve">.0 </w:t>
      </w:r>
    </w:p>
    <w:p w14:paraId="7D457779" w14:textId="77777777" w:rsidR="009C276F" w:rsidRPr="003D520D" w:rsidRDefault="007D3B51" w:rsidP="00D707AB">
      <w:pPr>
        <w:spacing w:after="0" w:line="276" w:lineRule="auto"/>
        <w:rPr>
          <w:szCs w:val="22"/>
          <w:lang w:val="cs-CZ"/>
        </w:rPr>
      </w:pPr>
      <w:r w:rsidRPr="009C276F">
        <w:rPr>
          <w:rFonts w:eastAsia="Calibri"/>
          <w:sz w:val="20"/>
          <w:szCs w:val="22"/>
          <w:lang w:val="cs-CZ" w:eastAsia="en-US"/>
        </w:rPr>
        <w:t>*</w:t>
      </w:r>
      <w:r w:rsidR="009C276F">
        <w:rPr>
          <w:rFonts w:eastAsia="Calibri"/>
          <w:sz w:val="20"/>
          <w:szCs w:val="22"/>
          <w:lang w:val="cs-CZ" w:eastAsia="en-US"/>
        </w:rPr>
        <w:t xml:space="preserve"> </w:t>
      </w:r>
      <w:r w:rsidR="009C276F" w:rsidRPr="003D520D">
        <w:rPr>
          <w:szCs w:val="22"/>
          <w:lang w:val="cs-CZ"/>
        </w:rPr>
        <w:t>Mezinárodní normalizovaný poměr</w:t>
      </w:r>
    </w:p>
    <w:p w14:paraId="7D45777A" w14:textId="77777777" w:rsidR="006E5769" w:rsidRPr="006E5769" w:rsidRDefault="007D3B51" w:rsidP="00D707AB">
      <w:pPr>
        <w:rPr>
          <w:szCs w:val="22"/>
          <w:lang w:val="cs-CZ"/>
        </w:rPr>
        <w:sectPr w:rsidR="006E5769" w:rsidRPr="006E5769" w:rsidSect="00492DDA">
          <w:pgSz w:w="16838" w:h="11906" w:orient="landscape" w:code="9"/>
          <w:pgMar w:top="1418" w:right="1440" w:bottom="1276" w:left="1559" w:header="720" w:footer="720" w:gutter="0"/>
          <w:cols w:space="720"/>
        </w:sectPr>
      </w:pPr>
      <w:r w:rsidRPr="009C276F">
        <w:rPr>
          <w:rFonts w:eastAsia="Calibri"/>
          <w:sz w:val="20"/>
          <w:szCs w:val="22"/>
          <w:lang w:val="cs-CZ" w:eastAsia="en-US"/>
        </w:rPr>
        <w:t>BSC = nejlepší podpůrná péče</w:t>
      </w:r>
    </w:p>
    <w:p w14:paraId="7D45777B" w14:textId="77777777" w:rsidR="006E5769" w:rsidRPr="003D520D" w:rsidRDefault="006E5769" w:rsidP="00D707AB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szCs w:val="22"/>
          <w:lang w:val="cs-CZ"/>
        </w:rPr>
      </w:pPr>
    </w:p>
    <w:p w14:paraId="7D45777C" w14:textId="77777777" w:rsidR="00B17ED7" w:rsidRDefault="006E5769" w:rsidP="00D707AB">
      <w:pPr>
        <w:rPr>
          <w:rFonts w:eastAsia="MS Mincho"/>
          <w:szCs w:val="24"/>
          <w:lang w:val="cs-CZ"/>
        </w:rPr>
      </w:pPr>
      <w:r w:rsidRPr="003D520D">
        <w:rPr>
          <w:rFonts w:eastAsia="MS Mincho"/>
          <w:szCs w:val="24"/>
          <w:lang w:val="cs-CZ"/>
        </w:rPr>
        <w:t xml:space="preserve">V porovnání s globální studií fáze III u CRC (CORRECT), do které byli zařazeni převáženě (přibližně 80 %) bělošští pacienti, byla pozorována vyšší incidence zvýšení jaterních enzymů u pacientů léčených přípravkem </w:t>
      </w:r>
      <w:proofErr w:type="spellStart"/>
      <w:r w:rsidRPr="003D520D">
        <w:rPr>
          <w:rFonts w:eastAsia="MS Mincho"/>
          <w:szCs w:val="24"/>
          <w:lang w:val="cs-CZ"/>
        </w:rPr>
        <w:t>Stivarga</w:t>
      </w:r>
      <w:proofErr w:type="spellEnd"/>
      <w:r w:rsidRPr="003D520D">
        <w:rPr>
          <w:rFonts w:eastAsia="MS Mincho"/>
          <w:szCs w:val="24"/>
          <w:lang w:val="cs-CZ"/>
        </w:rPr>
        <w:t xml:space="preserve"> v asijské studii fáze III u CRC (CONCUR), do které byli zařazeni převážně (&gt; 90 %) východoasijští pacienti</w:t>
      </w:r>
    </w:p>
    <w:p w14:paraId="7D45777D" w14:textId="77777777" w:rsidR="00B63E26" w:rsidRDefault="00B63E26" w:rsidP="00D707AB">
      <w:pPr>
        <w:rPr>
          <w:rFonts w:eastAsia="MS Mincho"/>
          <w:szCs w:val="24"/>
          <w:lang w:val="cs-CZ"/>
        </w:rPr>
      </w:pPr>
    </w:p>
    <w:p w14:paraId="7D45777E" w14:textId="77777777" w:rsidR="00B17ED7" w:rsidRPr="003D520D" w:rsidRDefault="00E35F79" w:rsidP="00D707AB">
      <w:pPr>
        <w:rPr>
          <w:rFonts w:eastAsia="MS Mincho"/>
          <w:b/>
          <w:szCs w:val="24"/>
          <w:lang w:val="cs-CZ"/>
        </w:rPr>
      </w:pPr>
      <w:r w:rsidRPr="003D520D">
        <w:rPr>
          <w:rFonts w:eastAsia="MS Mincho"/>
          <w:b/>
          <w:szCs w:val="24"/>
          <w:lang w:val="cs-CZ"/>
        </w:rPr>
        <w:t>Tabulka</w:t>
      </w:r>
      <w:r w:rsidR="00B648F9" w:rsidRPr="003D520D">
        <w:rPr>
          <w:rFonts w:eastAsia="MS Mincho"/>
          <w:b/>
          <w:szCs w:val="24"/>
          <w:lang w:val="cs-CZ"/>
        </w:rPr>
        <w:t> </w:t>
      </w:r>
      <w:proofErr w:type="gramStart"/>
      <w:r w:rsidR="00B17ED7" w:rsidRPr="003D520D">
        <w:rPr>
          <w:rFonts w:eastAsia="MS Mincho"/>
          <w:b/>
          <w:szCs w:val="24"/>
          <w:lang w:val="cs-CZ"/>
        </w:rPr>
        <w:t>4a</w:t>
      </w:r>
      <w:proofErr w:type="gramEnd"/>
      <w:r w:rsidR="00B17ED7" w:rsidRPr="003D520D">
        <w:rPr>
          <w:rFonts w:eastAsia="MS Mincho"/>
          <w:b/>
          <w:szCs w:val="24"/>
          <w:lang w:val="cs-CZ"/>
        </w:rPr>
        <w:t xml:space="preserve">: </w:t>
      </w:r>
      <w:r w:rsidR="00C21804" w:rsidRPr="003D520D">
        <w:rPr>
          <w:rFonts w:eastAsia="MS Mincho"/>
          <w:b/>
          <w:szCs w:val="24"/>
          <w:lang w:val="cs-CZ"/>
        </w:rPr>
        <w:t xml:space="preserve">Abnormality </w:t>
      </w:r>
      <w:r w:rsidR="00360E2D" w:rsidRPr="003D520D">
        <w:rPr>
          <w:rFonts w:eastAsia="MS Mincho"/>
          <w:b/>
          <w:szCs w:val="24"/>
          <w:lang w:val="cs-CZ"/>
        </w:rPr>
        <w:t xml:space="preserve">laboratorních </w:t>
      </w:r>
      <w:r w:rsidR="00C21804" w:rsidRPr="003D520D">
        <w:rPr>
          <w:rFonts w:eastAsia="MS Mincho"/>
          <w:b/>
          <w:szCs w:val="24"/>
          <w:lang w:val="cs-CZ"/>
        </w:rPr>
        <w:t xml:space="preserve">testů jaterních enzymů, </w:t>
      </w:r>
      <w:r w:rsidR="00C21804" w:rsidRPr="003D520D">
        <w:rPr>
          <w:b/>
          <w:szCs w:val="22"/>
          <w:lang w:val="cs-CZ"/>
        </w:rPr>
        <w:t xml:space="preserve">které se objevily během léčby v placebem kontrolované studii fáze III u </w:t>
      </w:r>
      <w:r w:rsidR="00360E2D" w:rsidRPr="003D520D">
        <w:rPr>
          <w:b/>
          <w:szCs w:val="22"/>
          <w:lang w:val="cs-CZ"/>
        </w:rPr>
        <w:t xml:space="preserve">asijských </w:t>
      </w:r>
      <w:r w:rsidR="00C21804" w:rsidRPr="003D520D">
        <w:rPr>
          <w:b/>
          <w:szCs w:val="22"/>
          <w:lang w:val="cs-CZ"/>
        </w:rPr>
        <w:t xml:space="preserve">pacientů s metastazujícím CRC </w:t>
      </w:r>
      <w:r w:rsidR="00B17ED7" w:rsidRPr="003D520D">
        <w:rPr>
          <w:rFonts w:eastAsia="MS Mincho"/>
          <w:b/>
          <w:szCs w:val="24"/>
          <w:lang w:val="cs-CZ"/>
        </w:rPr>
        <w:t>(CONCUR)</w:t>
      </w:r>
    </w:p>
    <w:tbl>
      <w:tblPr>
        <w:tblW w:w="90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1063"/>
        <w:gridCol w:w="1064"/>
        <w:gridCol w:w="1062"/>
        <w:gridCol w:w="1063"/>
        <w:gridCol w:w="1063"/>
        <w:gridCol w:w="1064"/>
      </w:tblGrid>
      <w:tr w:rsidR="00B17ED7" w:rsidRPr="003D520D" w14:paraId="7D457784" w14:textId="77777777" w:rsidTr="00FD35D4">
        <w:trPr>
          <w:trHeight w:val="141"/>
          <w:tblHeader/>
        </w:trPr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7D45777F" w14:textId="77777777" w:rsidR="00B17ED7" w:rsidRPr="002E5504" w:rsidRDefault="00C21804" w:rsidP="00D707AB">
            <w:pPr>
              <w:widowControl w:val="0"/>
              <w:spacing w:after="0"/>
              <w:jc w:val="center"/>
              <w:rPr>
                <w:rFonts w:eastAsia="MS Mincho"/>
                <w:b/>
                <w:szCs w:val="24"/>
                <w:lang w:eastAsia="ko-KR"/>
              </w:rPr>
            </w:pPr>
            <w:r w:rsidRPr="003D520D">
              <w:rPr>
                <w:b/>
                <w:bCs/>
                <w:szCs w:val="22"/>
                <w:lang w:val="cs-CZ" w:eastAsia="ko-KR"/>
              </w:rPr>
              <w:t xml:space="preserve">Laboratorní parametr </w:t>
            </w:r>
            <w:r w:rsidRPr="003D520D">
              <w:rPr>
                <w:b/>
                <w:bCs/>
                <w:szCs w:val="22"/>
                <w:lang w:val="cs-CZ" w:eastAsia="ko-KR"/>
              </w:rPr>
              <w:br/>
              <w:t>(v % hodnocených vzorků)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7780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b/>
                <w:szCs w:val="24"/>
                <w:lang w:eastAsia="ko-KR"/>
              </w:rPr>
            </w:pPr>
            <w:proofErr w:type="spellStart"/>
            <w:r w:rsidRPr="003D520D">
              <w:rPr>
                <w:rFonts w:eastAsia="MS Mincho"/>
                <w:b/>
                <w:szCs w:val="24"/>
                <w:lang w:eastAsia="ko-KR"/>
              </w:rPr>
              <w:t>Stivarga</w:t>
            </w:r>
            <w:proofErr w:type="spellEnd"/>
            <w:r w:rsidRPr="003D520D">
              <w:rPr>
                <w:rFonts w:eastAsia="MS Mincho"/>
                <w:b/>
                <w:szCs w:val="24"/>
                <w:lang w:eastAsia="ko-KR"/>
              </w:rPr>
              <w:t xml:space="preserve"> </w:t>
            </w:r>
            <w:r w:rsidRPr="003D520D">
              <w:rPr>
                <w:rFonts w:eastAsia="MS Mincho"/>
                <w:b/>
                <w:szCs w:val="24"/>
              </w:rPr>
              <w:t>plus BSC</w:t>
            </w:r>
            <w:r w:rsidRPr="003D520D">
              <w:rPr>
                <w:rFonts w:eastAsia="MS Mincho"/>
                <w:b/>
                <w:szCs w:val="24"/>
                <w:vertAlign w:val="superscript"/>
              </w:rPr>
              <w:t>§</w:t>
            </w:r>
          </w:p>
          <w:p w14:paraId="7D457781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b/>
                <w:szCs w:val="24"/>
                <w:lang w:eastAsia="ko-KR"/>
              </w:rPr>
            </w:pPr>
            <w:r w:rsidRPr="003D520D">
              <w:rPr>
                <w:rFonts w:eastAsia="MS Mincho"/>
                <w:b/>
                <w:szCs w:val="24"/>
                <w:lang w:eastAsia="ko-KR"/>
              </w:rPr>
              <w:t>(</w:t>
            </w:r>
            <w:r w:rsidR="00A734B9">
              <w:rPr>
                <w:rFonts w:eastAsia="MS Mincho"/>
                <w:b/>
                <w:szCs w:val="24"/>
                <w:lang w:eastAsia="ko-KR"/>
              </w:rPr>
              <w:t>n</w:t>
            </w:r>
            <w:r w:rsidRPr="003D520D">
              <w:rPr>
                <w:rFonts w:eastAsia="MS Mincho"/>
                <w:b/>
                <w:szCs w:val="24"/>
                <w:lang w:eastAsia="ko-KR"/>
              </w:rPr>
              <w:t>=136)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7782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b/>
                <w:szCs w:val="24"/>
                <w:lang w:eastAsia="ko-KR"/>
              </w:rPr>
            </w:pPr>
            <w:r w:rsidRPr="003D520D">
              <w:rPr>
                <w:rFonts w:eastAsia="MS Mincho"/>
                <w:b/>
                <w:szCs w:val="24"/>
                <w:lang w:eastAsia="ko-KR"/>
              </w:rPr>
              <w:t xml:space="preserve">Placebo </w:t>
            </w:r>
            <w:r w:rsidRPr="003D520D">
              <w:rPr>
                <w:rFonts w:eastAsia="MS Mincho"/>
                <w:b/>
                <w:szCs w:val="24"/>
              </w:rPr>
              <w:t>plus BSC</w:t>
            </w:r>
            <w:r w:rsidRPr="003D520D">
              <w:rPr>
                <w:rFonts w:eastAsia="MS Mincho"/>
                <w:b/>
                <w:szCs w:val="24"/>
                <w:vertAlign w:val="superscript"/>
              </w:rPr>
              <w:t>§</w:t>
            </w:r>
          </w:p>
          <w:p w14:paraId="7D457783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b/>
                <w:szCs w:val="24"/>
                <w:lang w:eastAsia="ko-KR"/>
              </w:rPr>
            </w:pPr>
            <w:r w:rsidRPr="003D520D">
              <w:rPr>
                <w:rFonts w:eastAsia="MS Mincho"/>
                <w:b/>
                <w:szCs w:val="24"/>
                <w:lang w:eastAsia="ko-KR"/>
              </w:rPr>
              <w:t>(</w:t>
            </w:r>
            <w:r w:rsidR="00A734B9">
              <w:rPr>
                <w:rFonts w:eastAsia="MS Mincho"/>
                <w:b/>
                <w:szCs w:val="24"/>
                <w:lang w:eastAsia="ko-KR"/>
              </w:rPr>
              <w:t>n</w:t>
            </w:r>
            <w:r w:rsidRPr="003D520D">
              <w:rPr>
                <w:rFonts w:eastAsia="MS Mincho"/>
                <w:b/>
                <w:szCs w:val="24"/>
                <w:lang w:eastAsia="ko-KR"/>
              </w:rPr>
              <w:t>=68)</w:t>
            </w:r>
          </w:p>
        </w:tc>
      </w:tr>
      <w:tr w:rsidR="00B17ED7" w:rsidRPr="003D520D" w14:paraId="7D45778E" w14:textId="77777777" w:rsidTr="00FD35D4">
        <w:trPr>
          <w:trHeight w:val="317"/>
          <w:tblHeader/>
        </w:trPr>
        <w:tc>
          <w:tcPr>
            <w:tcW w:w="263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457785" w14:textId="77777777" w:rsidR="00B17ED7" w:rsidRPr="003D520D" w:rsidRDefault="00B17ED7" w:rsidP="00D707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Batang"/>
                <w:b/>
                <w:bCs/>
                <w:szCs w:val="24"/>
                <w:lang w:eastAsia="ko-KR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7786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b/>
                <w:szCs w:val="24"/>
                <w:lang w:eastAsia="ko-KR"/>
              </w:rPr>
            </w:pPr>
          </w:p>
          <w:p w14:paraId="7D457787" w14:textId="77777777" w:rsidR="00B17ED7" w:rsidRPr="003D520D" w:rsidRDefault="00C21804" w:rsidP="00D707AB">
            <w:pPr>
              <w:widowControl w:val="0"/>
              <w:spacing w:after="0"/>
              <w:jc w:val="center"/>
              <w:rPr>
                <w:rFonts w:eastAsia="MS Mincho"/>
                <w:b/>
                <w:szCs w:val="24"/>
                <w:lang w:eastAsia="ko-KR"/>
              </w:rPr>
            </w:pPr>
            <w:proofErr w:type="spellStart"/>
            <w:r w:rsidRPr="003D520D">
              <w:rPr>
                <w:rFonts w:eastAsia="MS Mincho"/>
                <w:b/>
                <w:szCs w:val="24"/>
                <w:lang w:eastAsia="ko-KR"/>
              </w:rPr>
              <w:t>Všechny</w:t>
            </w:r>
            <w:proofErr w:type="spellEnd"/>
            <w:r w:rsidRPr="003D520D">
              <w:rPr>
                <w:rFonts w:eastAsia="MS Mincho"/>
                <w:b/>
                <w:szCs w:val="24"/>
                <w:lang w:eastAsia="ko-KR"/>
              </w:rPr>
              <w:t xml:space="preserve"> </w:t>
            </w:r>
            <w:proofErr w:type="spellStart"/>
            <w:r w:rsidRPr="003D520D">
              <w:rPr>
                <w:rFonts w:eastAsia="MS Mincho"/>
                <w:b/>
                <w:szCs w:val="24"/>
                <w:lang w:eastAsia="ko-KR"/>
              </w:rPr>
              <w:t>stupně</w:t>
            </w:r>
            <w:proofErr w:type="spellEnd"/>
            <w:r w:rsidR="00B17ED7" w:rsidRPr="003D520D">
              <w:rPr>
                <w:rFonts w:eastAsia="MS Mincho"/>
                <w:b/>
                <w:szCs w:val="24"/>
                <w:lang w:eastAsia="ko-KR"/>
              </w:rPr>
              <w:t>*</w:t>
            </w:r>
          </w:p>
          <w:p w14:paraId="7D457788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b/>
                <w:szCs w:val="24"/>
                <w:lang w:eastAsia="ko-K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7789" w14:textId="77777777" w:rsidR="00B17ED7" w:rsidRPr="003D520D" w:rsidRDefault="00C21804" w:rsidP="00D707AB">
            <w:pPr>
              <w:widowControl w:val="0"/>
              <w:spacing w:after="0"/>
              <w:jc w:val="center"/>
              <w:rPr>
                <w:rFonts w:eastAsia="MS Mincho"/>
                <w:b/>
                <w:szCs w:val="24"/>
                <w:lang w:eastAsia="ko-KR"/>
              </w:rPr>
            </w:pPr>
            <w:proofErr w:type="spellStart"/>
            <w:r w:rsidRPr="003D520D">
              <w:rPr>
                <w:rFonts w:eastAsia="MS Mincho"/>
                <w:b/>
                <w:szCs w:val="24"/>
                <w:lang w:eastAsia="ko-KR"/>
              </w:rPr>
              <w:t>Stupeň</w:t>
            </w:r>
            <w:proofErr w:type="spellEnd"/>
            <w:r w:rsidR="00B17ED7" w:rsidRPr="003D520D">
              <w:rPr>
                <w:rFonts w:eastAsia="MS Mincho"/>
                <w:b/>
                <w:szCs w:val="24"/>
                <w:lang w:eastAsia="ko-KR"/>
              </w:rPr>
              <w:t xml:space="preserve"> 3*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778A" w14:textId="77777777" w:rsidR="00B17ED7" w:rsidRPr="003D520D" w:rsidRDefault="00C21804" w:rsidP="00D707AB">
            <w:pPr>
              <w:widowControl w:val="0"/>
              <w:spacing w:after="0"/>
              <w:jc w:val="center"/>
              <w:rPr>
                <w:rFonts w:eastAsia="MS Mincho"/>
                <w:b/>
                <w:szCs w:val="24"/>
                <w:lang w:eastAsia="ko-KR"/>
              </w:rPr>
            </w:pPr>
            <w:proofErr w:type="spellStart"/>
            <w:r w:rsidRPr="003D520D">
              <w:rPr>
                <w:rFonts w:eastAsia="MS Mincho"/>
                <w:b/>
                <w:szCs w:val="24"/>
                <w:lang w:eastAsia="ko-KR"/>
              </w:rPr>
              <w:t>Stupeň</w:t>
            </w:r>
            <w:proofErr w:type="spellEnd"/>
            <w:r w:rsidR="00B17ED7" w:rsidRPr="003D520D">
              <w:rPr>
                <w:rFonts w:eastAsia="MS Mincho"/>
                <w:b/>
                <w:szCs w:val="24"/>
                <w:lang w:eastAsia="ko-KR"/>
              </w:rPr>
              <w:t xml:space="preserve"> 4*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778B" w14:textId="77777777" w:rsidR="00B17ED7" w:rsidRPr="003D520D" w:rsidRDefault="00C21804" w:rsidP="00D707AB">
            <w:pPr>
              <w:widowControl w:val="0"/>
              <w:spacing w:after="0"/>
              <w:jc w:val="center"/>
              <w:rPr>
                <w:rFonts w:eastAsia="MS Mincho"/>
                <w:b/>
                <w:szCs w:val="24"/>
                <w:lang w:eastAsia="ko-KR"/>
              </w:rPr>
            </w:pPr>
            <w:proofErr w:type="spellStart"/>
            <w:r w:rsidRPr="003D520D">
              <w:rPr>
                <w:rFonts w:eastAsia="MS Mincho"/>
                <w:b/>
                <w:szCs w:val="24"/>
                <w:lang w:eastAsia="ko-KR"/>
              </w:rPr>
              <w:t>Všechny</w:t>
            </w:r>
            <w:proofErr w:type="spellEnd"/>
            <w:r w:rsidRPr="003D520D">
              <w:rPr>
                <w:rFonts w:eastAsia="MS Mincho"/>
                <w:b/>
                <w:szCs w:val="24"/>
                <w:lang w:eastAsia="ko-KR"/>
              </w:rPr>
              <w:t xml:space="preserve"> </w:t>
            </w:r>
            <w:proofErr w:type="spellStart"/>
            <w:r w:rsidRPr="003D520D">
              <w:rPr>
                <w:rFonts w:eastAsia="MS Mincho"/>
                <w:b/>
                <w:szCs w:val="24"/>
                <w:lang w:eastAsia="ko-KR"/>
              </w:rPr>
              <w:t>stupně</w:t>
            </w:r>
            <w:proofErr w:type="spellEnd"/>
            <w:r w:rsidR="00B17ED7" w:rsidRPr="003D520D">
              <w:rPr>
                <w:rFonts w:eastAsia="MS Mincho"/>
                <w:b/>
                <w:szCs w:val="24"/>
                <w:lang w:eastAsia="ko-KR"/>
              </w:rPr>
              <w:t>*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778C" w14:textId="77777777" w:rsidR="00B17ED7" w:rsidRPr="003D520D" w:rsidRDefault="00C21804" w:rsidP="00D707AB">
            <w:pPr>
              <w:widowControl w:val="0"/>
              <w:spacing w:after="0"/>
              <w:jc w:val="center"/>
              <w:rPr>
                <w:rFonts w:eastAsia="MS Mincho"/>
                <w:b/>
                <w:szCs w:val="24"/>
                <w:lang w:eastAsia="ko-KR"/>
              </w:rPr>
            </w:pPr>
            <w:proofErr w:type="spellStart"/>
            <w:r w:rsidRPr="003D520D">
              <w:rPr>
                <w:rFonts w:eastAsia="MS Mincho"/>
                <w:b/>
                <w:szCs w:val="24"/>
                <w:lang w:eastAsia="ko-KR"/>
              </w:rPr>
              <w:t>Stupeň</w:t>
            </w:r>
            <w:proofErr w:type="spellEnd"/>
            <w:r w:rsidR="00B17ED7" w:rsidRPr="003D520D">
              <w:rPr>
                <w:rFonts w:eastAsia="MS Mincho"/>
                <w:b/>
                <w:szCs w:val="24"/>
                <w:lang w:eastAsia="ko-KR"/>
              </w:rPr>
              <w:t xml:space="preserve"> 3*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778D" w14:textId="77777777" w:rsidR="00B17ED7" w:rsidRPr="003D520D" w:rsidRDefault="00C21804" w:rsidP="00D707AB">
            <w:pPr>
              <w:widowControl w:val="0"/>
              <w:spacing w:after="0"/>
              <w:jc w:val="center"/>
              <w:rPr>
                <w:rFonts w:eastAsia="MS Mincho"/>
                <w:b/>
                <w:szCs w:val="24"/>
                <w:lang w:eastAsia="ko-KR"/>
              </w:rPr>
            </w:pPr>
            <w:proofErr w:type="spellStart"/>
            <w:r w:rsidRPr="003D520D">
              <w:rPr>
                <w:rFonts w:eastAsia="MS Mincho"/>
                <w:b/>
                <w:szCs w:val="24"/>
                <w:lang w:eastAsia="ko-KR"/>
              </w:rPr>
              <w:t>Stupeň</w:t>
            </w:r>
            <w:proofErr w:type="spellEnd"/>
            <w:r w:rsidR="00B17ED7" w:rsidRPr="003D520D">
              <w:rPr>
                <w:rFonts w:eastAsia="MS Mincho"/>
                <w:b/>
                <w:szCs w:val="24"/>
                <w:lang w:eastAsia="ko-KR"/>
              </w:rPr>
              <w:t xml:space="preserve"> 4*</w:t>
            </w:r>
          </w:p>
        </w:tc>
      </w:tr>
      <w:tr w:rsidR="00B17ED7" w:rsidRPr="003D520D" w14:paraId="7D457796" w14:textId="77777777" w:rsidTr="00FD35D4">
        <w:trPr>
          <w:trHeight w:val="60"/>
        </w:trPr>
        <w:tc>
          <w:tcPr>
            <w:tcW w:w="263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D45778F" w14:textId="77777777" w:rsidR="00B17ED7" w:rsidRPr="003D520D" w:rsidDel="00072184" w:rsidRDefault="00C21804" w:rsidP="00D707AB">
            <w:pPr>
              <w:widowControl w:val="0"/>
              <w:spacing w:after="0"/>
              <w:rPr>
                <w:rFonts w:eastAsia="Batang"/>
                <w:szCs w:val="24"/>
                <w:lang w:eastAsia="ko-KR"/>
              </w:rPr>
            </w:pPr>
            <w:proofErr w:type="spellStart"/>
            <w:r w:rsidRPr="003D520D">
              <w:rPr>
                <w:rFonts w:eastAsia="Batang"/>
                <w:szCs w:val="24"/>
                <w:lang w:eastAsia="ko-KR"/>
              </w:rPr>
              <w:t>Zvýšení</w:t>
            </w:r>
            <w:proofErr w:type="spellEnd"/>
            <w:r w:rsidRPr="003D520D">
              <w:rPr>
                <w:rFonts w:eastAsia="Batang"/>
                <w:szCs w:val="24"/>
                <w:lang w:eastAsia="ko-KR"/>
              </w:rPr>
              <w:t xml:space="preserve"> </w:t>
            </w:r>
            <w:proofErr w:type="spellStart"/>
            <w:r w:rsidRPr="003D520D">
              <w:rPr>
                <w:rFonts w:eastAsia="Batang"/>
                <w:szCs w:val="24"/>
                <w:lang w:eastAsia="ko-KR"/>
              </w:rPr>
              <w:t>hladiny</w:t>
            </w:r>
            <w:proofErr w:type="spellEnd"/>
            <w:r w:rsidRPr="003D520D">
              <w:rPr>
                <w:rFonts w:eastAsia="Batang"/>
                <w:szCs w:val="24"/>
                <w:lang w:eastAsia="ko-KR"/>
              </w:rPr>
              <w:t xml:space="preserve"> </w:t>
            </w:r>
            <w:proofErr w:type="spellStart"/>
            <w:r w:rsidRPr="003D520D">
              <w:rPr>
                <w:rFonts w:eastAsia="Batang"/>
                <w:szCs w:val="24"/>
                <w:lang w:eastAsia="ko-KR"/>
              </w:rPr>
              <w:t>bilirubinu</w:t>
            </w:r>
            <w:proofErr w:type="spellEnd"/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57790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66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7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57791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7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4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57792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4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57793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32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8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57794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4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5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57795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0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0</w:t>
            </w:r>
          </w:p>
        </w:tc>
      </w:tr>
      <w:tr w:rsidR="00B17ED7" w:rsidRPr="003D520D" w14:paraId="7D45779E" w14:textId="77777777" w:rsidTr="00FD35D4">
        <w:trPr>
          <w:trHeight w:val="70"/>
        </w:trPr>
        <w:tc>
          <w:tcPr>
            <w:tcW w:w="263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D457797" w14:textId="77777777" w:rsidR="00B17ED7" w:rsidRPr="003D520D" w:rsidRDefault="00C21804" w:rsidP="00D707AB">
            <w:pPr>
              <w:widowControl w:val="0"/>
              <w:spacing w:after="0"/>
              <w:rPr>
                <w:rFonts w:eastAsia="Batang"/>
                <w:szCs w:val="24"/>
                <w:lang w:eastAsia="ko-KR"/>
              </w:rPr>
            </w:pPr>
            <w:proofErr w:type="spellStart"/>
            <w:r w:rsidRPr="003D520D">
              <w:rPr>
                <w:rFonts w:eastAsia="Batang"/>
                <w:szCs w:val="24"/>
                <w:lang w:eastAsia="ko-KR"/>
              </w:rPr>
              <w:t>Zvýšení</w:t>
            </w:r>
            <w:proofErr w:type="spellEnd"/>
            <w:r w:rsidRPr="003D520D">
              <w:rPr>
                <w:rFonts w:eastAsia="Batang"/>
                <w:szCs w:val="24"/>
                <w:lang w:eastAsia="ko-KR"/>
              </w:rPr>
              <w:t xml:space="preserve"> </w:t>
            </w:r>
            <w:proofErr w:type="spellStart"/>
            <w:r w:rsidRPr="003D520D">
              <w:rPr>
                <w:rFonts w:eastAsia="Batang"/>
                <w:szCs w:val="24"/>
                <w:lang w:eastAsia="ko-KR"/>
              </w:rPr>
              <w:t>hladiny</w:t>
            </w:r>
            <w:proofErr w:type="spellEnd"/>
            <w:r w:rsidRPr="003D520D">
              <w:rPr>
                <w:rFonts w:eastAsia="Batang"/>
                <w:szCs w:val="24"/>
                <w:lang w:eastAsia="ko-KR"/>
              </w:rPr>
              <w:t xml:space="preserve"> </w:t>
            </w:r>
            <w:r w:rsidR="00B17ED7" w:rsidRPr="003D520D">
              <w:rPr>
                <w:rFonts w:eastAsia="Batang"/>
                <w:szCs w:val="24"/>
                <w:lang w:eastAsia="ko-KR"/>
              </w:rPr>
              <w:t>AST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57798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69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6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57799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10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4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5779A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0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7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5779B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47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8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5779C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3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5779D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0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0</w:t>
            </w:r>
          </w:p>
        </w:tc>
      </w:tr>
      <w:tr w:rsidR="00B17ED7" w:rsidRPr="003D520D" w14:paraId="7D4577A6" w14:textId="77777777" w:rsidTr="00FD35D4">
        <w:trPr>
          <w:trHeight w:val="164"/>
        </w:trPr>
        <w:tc>
          <w:tcPr>
            <w:tcW w:w="263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45779F" w14:textId="77777777" w:rsidR="00B17ED7" w:rsidRPr="003D520D" w:rsidRDefault="00C21804" w:rsidP="00D707AB">
            <w:pPr>
              <w:widowControl w:val="0"/>
              <w:spacing w:after="0"/>
              <w:rPr>
                <w:rFonts w:eastAsia="Batang"/>
                <w:szCs w:val="24"/>
                <w:lang w:eastAsia="ko-KR"/>
              </w:rPr>
            </w:pPr>
            <w:proofErr w:type="spellStart"/>
            <w:r w:rsidRPr="003D520D">
              <w:rPr>
                <w:rFonts w:eastAsia="Batang"/>
                <w:szCs w:val="24"/>
                <w:lang w:eastAsia="ko-KR"/>
              </w:rPr>
              <w:t>Zvýšení</w:t>
            </w:r>
            <w:proofErr w:type="spellEnd"/>
            <w:r w:rsidRPr="003D520D">
              <w:rPr>
                <w:rFonts w:eastAsia="Batang"/>
                <w:szCs w:val="24"/>
                <w:lang w:eastAsia="ko-KR"/>
              </w:rPr>
              <w:t xml:space="preserve"> </w:t>
            </w:r>
            <w:proofErr w:type="spellStart"/>
            <w:r w:rsidRPr="003D520D">
              <w:rPr>
                <w:rFonts w:eastAsia="Batang"/>
                <w:szCs w:val="24"/>
                <w:lang w:eastAsia="ko-KR"/>
              </w:rPr>
              <w:t>hladiny</w:t>
            </w:r>
            <w:proofErr w:type="spellEnd"/>
            <w:r w:rsidRPr="003D520D">
              <w:rPr>
                <w:rFonts w:eastAsia="Batang"/>
                <w:szCs w:val="24"/>
                <w:lang w:eastAsia="ko-KR"/>
              </w:rPr>
              <w:t xml:space="preserve"> </w:t>
            </w:r>
            <w:r w:rsidR="00B17ED7" w:rsidRPr="003D520D">
              <w:rPr>
                <w:rFonts w:eastAsia="Batang"/>
                <w:szCs w:val="24"/>
                <w:lang w:eastAsia="ko-KR"/>
              </w:rPr>
              <w:t>ALT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77A0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54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77A1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8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9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77A2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0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0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77A3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29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9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77A4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1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5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77A5" w14:textId="77777777" w:rsidR="00B17ED7" w:rsidRPr="003D520D" w:rsidRDefault="00B17ED7" w:rsidP="00D707AB">
            <w:pPr>
              <w:widowControl w:val="0"/>
              <w:spacing w:after="0"/>
              <w:jc w:val="center"/>
              <w:rPr>
                <w:rFonts w:eastAsia="MS Mincho"/>
                <w:szCs w:val="24"/>
                <w:lang w:eastAsia="ko-KR"/>
              </w:rPr>
            </w:pPr>
            <w:r w:rsidRPr="003D520D">
              <w:rPr>
                <w:rFonts w:eastAsia="MS Mincho"/>
                <w:szCs w:val="24"/>
                <w:lang w:eastAsia="ko-KR"/>
              </w:rPr>
              <w:t>0</w:t>
            </w:r>
            <w:r w:rsidR="00C21804" w:rsidRPr="003D520D">
              <w:rPr>
                <w:rFonts w:eastAsia="MS Mincho"/>
                <w:szCs w:val="24"/>
                <w:lang w:eastAsia="ko-KR"/>
              </w:rPr>
              <w:t>,</w:t>
            </w:r>
            <w:r w:rsidRPr="003D520D">
              <w:rPr>
                <w:rFonts w:eastAsia="MS Mincho"/>
                <w:szCs w:val="24"/>
                <w:lang w:eastAsia="ko-KR"/>
              </w:rPr>
              <w:t>0</w:t>
            </w:r>
          </w:p>
        </w:tc>
      </w:tr>
    </w:tbl>
    <w:p w14:paraId="7D4577A7" w14:textId="77777777" w:rsidR="00B17ED7" w:rsidRPr="003D520D" w:rsidRDefault="00B17ED7" w:rsidP="00D707AB">
      <w:pPr>
        <w:pStyle w:val="BayerTableFootnote"/>
        <w:rPr>
          <w:rFonts w:eastAsia="MS Mincho"/>
        </w:rPr>
      </w:pPr>
      <w:r w:rsidRPr="003D520D">
        <w:rPr>
          <w:rFonts w:eastAsia="MS Mincho"/>
          <w:vertAlign w:val="superscript"/>
        </w:rPr>
        <w:t>§</w:t>
      </w:r>
      <w:r w:rsidRPr="003D520D">
        <w:rPr>
          <w:rFonts w:eastAsia="MS Mincho"/>
        </w:rPr>
        <w:t xml:space="preserve"> </w:t>
      </w:r>
      <w:r w:rsidR="00E35F79" w:rsidRPr="003D520D">
        <w:rPr>
          <w:bCs/>
          <w:szCs w:val="22"/>
          <w:lang w:val="cs-CZ" w:eastAsia="ko-KR"/>
        </w:rPr>
        <w:t>Nejlepší podpůrná péče</w:t>
      </w:r>
    </w:p>
    <w:p w14:paraId="7D4577A8" w14:textId="77777777" w:rsidR="00B17ED7" w:rsidRPr="003D520D" w:rsidRDefault="00B17ED7" w:rsidP="00D707AB">
      <w:pPr>
        <w:autoSpaceDE w:val="0"/>
        <w:autoSpaceDN w:val="0"/>
        <w:adjustRightInd w:val="0"/>
        <w:spacing w:after="0"/>
        <w:rPr>
          <w:szCs w:val="22"/>
          <w:lang w:val="cs-CZ"/>
        </w:rPr>
      </w:pPr>
      <w:r w:rsidRPr="003D520D">
        <w:rPr>
          <w:rFonts w:eastAsia="MS Mincho"/>
        </w:rPr>
        <w:t xml:space="preserve">* </w:t>
      </w:r>
      <w:r w:rsidR="00E35F79" w:rsidRPr="003D520D">
        <w:rPr>
          <w:szCs w:val="22"/>
          <w:lang w:val="cs-CZ"/>
        </w:rPr>
        <w:t xml:space="preserve">CTC kritéria pro nežádoucí </w:t>
      </w:r>
      <w:r w:rsidR="00A734B9">
        <w:rPr>
          <w:szCs w:val="22"/>
          <w:lang w:val="cs-CZ"/>
        </w:rPr>
        <w:t>účinky</w:t>
      </w:r>
      <w:r w:rsidR="00E35F79" w:rsidRPr="003D520D">
        <w:rPr>
          <w:szCs w:val="22"/>
          <w:lang w:val="cs-CZ"/>
        </w:rPr>
        <w:t xml:space="preserve"> (</w:t>
      </w:r>
      <w:proofErr w:type="spellStart"/>
      <w:r w:rsidR="00E35F79" w:rsidRPr="003D520D">
        <w:rPr>
          <w:szCs w:val="22"/>
          <w:lang w:val="cs-CZ"/>
        </w:rPr>
        <w:t>Common</w:t>
      </w:r>
      <w:proofErr w:type="spellEnd"/>
      <w:r w:rsidR="00E35F79" w:rsidRPr="003D520D">
        <w:rPr>
          <w:szCs w:val="22"/>
          <w:lang w:val="cs-CZ"/>
        </w:rPr>
        <w:t xml:space="preserve"> Terminology </w:t>
      </w:r>
      <w:proofErr w:type="spellStart"/>
      <w:r w:rsidR="00E35F79" w:rsidRPr="003D520D">
        <w:rPr>
          <w:szCs w:val="22"/>
          <w:lang w:val="cs-CZ"/>
        </w:rPr>
        <w:t>Criteria</w:t>
      </w:r>
      <w:proofErr w:type="spellEnd"/>
      <w:r w:rsidR="00E35F79" w:rsidRPr="003D520D">
        <w:rPr>
          <w:szCs w:val="22"/>
          <w:lang w:val="cs-CZ"/>
        </w:rPr>
        <w:t xml:space="preserve"> </w:t>
      </w:r>
      <w:proofErr w:type="spellStart"/>
      <w:r w:rsidR="00E35F79" w:rsidRPr="003D520D">
        <w:rPr>
          <w:szCs w:val="22"/>
          <w:lang w:val="cs-CZ"/>
        </w:rPr>
        <w:t>fo</w:t>
      </w:r>
      <w:r w:rsidR="00B648F9" w:rsidRPr="003D520D">
        <w:rPr>
          <w:szCs w:val="22"/>
          <w:lang w:val="cs-CZ"/>
        </w:rPr>
        <w:t>r</w:t>
      </w:r>
      <w:proofErr w:type="spellEnd"/>
      <w:r w:rsidR="00B648F9" w:rsidRPr="003D520D">
        <w:rPr>
          <w:szCs w:val="22"/>
          <w:lang w:val="cs-CZ"/>
        </w:rPr>
        <w:t xml:space="preserve"> </w:t>
      </w:r>
      <w:proofErr w:type="spellStart"/>
      <w:r w:rsidR="00B648F9" w:rsidRPr="003D520D">
        <w:rPr>
          <w:szCs w:val="22"/>
          <w:lang w:val="cs-CZ"/>
        </w:rPr>
        <w:t>Adverse</w:t>
      </w:r>
      <w:proofErr w:type="spellEnd"/>
      <w:r w:rsidR="00B648F9" w:rsidRPr="003D520D">
        <w:rPr>
          <w:szCs w:val="22"/>
          <w:lang w:val="cs-CZ"/>
        </w:rPr>
        <w:t xml:space="preserve"> </w:t>
      </w:r>
      <w:proofErr w:type="spellStart"/>
      <w:r w:rsidR="00B648F9" w:rsidRPr="003D520D">
        <w:rPr>
          <w:szCs w:val="22"/>
          <w:lang w:val="cs-CZ"/>
        </w:rPr>
        <w:t>Events</w:t>
      </w:r>
      <w:proofErr w:type="spellEnd"/>
      <w:r w:rsidR="00B648F9" w:rsidRPr="003D520D">
        <w:rPr>
          <w:szCs w:val="22"/>
          <w:lang w:val="cs-CZ"/>
        </w:rPr>
        <w:t>, CTCAE), verze </w:t>
      </w:r>
      <w:r w:rsidR="00E35F79" w:rsidRPr="003D520D">
        <w:rPr>
          <w:szCs w:val="22"/>
          <w:lang w:val="cs-CZ"/>
        </w:rPr>
        <w:t>4.0</w:t>
      </w:r>
    </w:p>
    <w:p w14:paraId="7D4577A9" w14:textId="77777777" w:rsidR="003F0F10" w:rsidRPr="003D520D" w:rsidRDefault="003F0F10" w:rsidP="00D707AB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szCs w:val="22"/>
          <w:lang w:val="cs-CZ"/>
        </w:rPr>
      </w:pPr>
    </w:p>
    <w:p w14:paraId="7D4577AA" w14:textId="77777777" w:rsidR="00872E57" w:rsidRPr="003D520D" w:rsidRDefault="00A0168B" w:rsidP="00D707AB">
      <w:pPr>
        <w:tabs>
          <w:tab w:val="left" w:pos="284"/>
        </w:tabs>
        <w:autoSpaceDE w:val="0"/>
        <w:autoSpaceDN w:val="0"/>
        <w:adjustRightInd w:val="0"/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>V placebem kontrolov</w:t>
      </w:r>
      <w:r w:rsidR="008524E2" w:rsidRPr="003D520D">
        <w:rPr>
          <w:szCs w:val="22"/>
          <w:lang w:val="cs-CZ"/>
        </w:rPr>
        <w:t>aných studiích fáze </w:t>
      </w:r>
      <w:r w:rsidRPr="003D520D">
        <w:rPr>
          <w:szCs w:val="22"/>
          <w:lang w:val="cs-CZ"/>
        </w:rPr>
        <w:t>III t</w:t>
      </w:r>
      <w:r w:rsidR="00872E57" w:rsidRPr="003D520D">
        <w:rPr>
          <w:szCs w:val="22"/>
          <w:lang w:val="cs-CZ"/>
        </w:rPr>
        <w:t xml:space="preserve">esty </w:t>
      </w:r>
      <w:proofErr w:type="spellStart"/>
      <w:r w:rsidR="00872E57" w:rsidRPr="003D520D">
        <w:rPr>
          <w:szCs w:val="22"/>
          <w:lang w:val="cs-CZ"/>
        </w:rPr>
        <w:t>tyreotropního</w:t>
      </w:r>
      <w:proofErr w:type="spellEnd"/>
      <w:r w:rsidR="00872E57" w:rsidRPr="003D520D">
        <w:rPr>
          <w:szCs w:val="22"/>
          <w:lang w:val="cs-CZ"/>
        </w:rPr>
        <w:t xml:space="preserve"> hormonu hypofýzy (TSH) celkově prokázaly hladinu TSH</w:t>
      </w:r>
      <w:r w:rsidR="000F3607" w:rsidRPr="003D520D">
        <w:rPr>
          <w:szCs w:val="22"/>
          <w:lang w:val="cs-CZ"/>
        </w:rPr>
        <w:t xml:space="preserve"> po výchozím stavu </w:t>
      </w:r>
      <w:r w:rsidR="00017464" w:rsidRPr="003D520D">
        <w:rPr>
          <w:szCs w:val="22"/>
          <w:lang w:val="cs-CZ"/>
        </w:rPr>
        <w:t>vyšší než</w:t>
      </w:r>
      <w:r w:rsidR="000F3607" w:rsidRPr="003D520D">
        <w:rPr>
          <w:szCs w:val="22"/>
          <w:lang w:val="cs-CZ"/>
        </w:rPr>
        <w:t> </w:t>
      </w:r>
      <w:r w:rsidR="00872E57" w:rsidRPr="003D520D">
        <w:rPr>
          <w:szCs w:val="22"/>
          <w:lang w:val="cs-CZ"/>
        </w:rPr>
        <w:t xml:space="preserve">horní hranice normálních hodnot </w:t>
      </w:r>
      <w:r w:rsidR="00454FC2" w:rsidRPr="003D520D">
        <w:rPr>
          <w:szCs w:val="22"/>
          <w:lang w:val="cs-CZ"/>
        </w:rPr>
        <w:t xml:space="preserve">u </w:t>
      </w:r>
      <w:r w:rsidR="00C75951">
        <w:rPr>
          <w:szCs w:val="22"/>
          <w:lang w:val="cs-CZ"/>
        </w:rPr>
        <w:t>34,6</w:t>
      </w:r>
      <w:r w:rsidR="00454FC2" w:rsidRPr="003D520D">
        <w:rPr>
          <w:szCs w:val="22"/>
          <w:lang w:val="cs-CZ"/>
        </w:rPr>
        <w:t> </w:t>
      </w:r>
      <w:r w:rsidR="00872E57" w:rsidRPr="003D520D">
        <w:rPr>
          <w:szCs w:val="22"/>
          <w:lang w:val="cs-CZ"/>
        </w:rPr>
        <w:t xml:space="preserve">% pacientů </w:t>
      </w:r>
      <w:r w:rsidRPr="003D520D">
        <w:rPr>
          <w:szCs w:val="22"/>
          <w:lang w:val="cs-CZ"/>
        </w:rPr>
        <w:t xml:space="preserve">léčených přípravkem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</w:t>
      </w:r>
      <w:r w:rsidR="00454FC2" w:rsidRPr="003D520D">
        <w:rPr>
          <w:szCs w:val="22"/>
          <w:lang w:val="cs-CZ"/>
        </w:rPr>
        <w:t xml:space="preserve">a </w:t>
      </w:r>
      <w:r w:rsidRPr="003D520D">
        <w:rPr>
          <w:szCs w:val="22"/>
          <w:lang w:val="cs-CZ"/>
        </w:rPr>
        <w:t xml:space="preserve">u </w:t>
      </w:r>
      <w:r w:rsidR="00C75951">
        <w:rPr>
          <w:szCs w:val="22"/>
          <w:lang w:val="cs-CZ"/>
        </w:rPr>
        <w:t>17,2</w:t>
      </w:r>
      <w:r w:rsidRPr="003D520D">
        <w:rPr>
          <w:szCs w:val="22"/>
          <w:lang w:val="cs-CZ"/>
        </w:rPr>
        <w:t> </w:t>
      </w:r>
      <w:r w:rsidR="00872E57" w:rsidRPr="003D520D">
        <w:rPr>
          <w:szCs w:val="22"/>
          <w:lang w:val="cs-CZ"/>
        </w:rPr>
        <w:t xml:space="preserve">% </w:t>
      </w:r>
      <w:r w:rsidRPr="003D520D">
        <w:rPr>
          <w:szCs w:val="22"/>
          <w:lang w:val="cs-CZ"/>
        </w:rPr>
        <w:t xml:space="preserve">pacientů užívajících </w:t>
      </w:r>
      <w:r w:rsidR="00872E57" w:rsidRPr="003D520D">
        <w:rPr>
          <w:szCs w:val="22"/>
          <w:lang w:val="cs-CZ"/>
        </w:rPr>
        <w:t>placeb</w:t>
      </w:r>
      <w:r w:rsidRPr="003D520D">
        <w:rPr>
          <w:szCs w:val="22"/>
          <w:lang w:val="cs-CZ"/>
        </w:rPr>
        <w:t>o</w:t>
      </w:r>
      <w:r w:rsidR="00872E57" w:rsidRPr="003D520D">
        <w:rPr>
          <w:szCs w:val="22"/>
          <w:lang w:val="cs-CZ"/>
        </w:rPr>
        <w:t>.</w:t>
      </w:r>
      <w:r w:rsidR="00DA5D2F" w:rsidRPr="003D520D">
        <w:rPr>
          <w:szCs w:val="22"/>
          <w:lang w:val="cs-CZ"/>
        </w:rPr>
        <w:t xml:space="preserve"> </w:t>
      </w:r>
      <w:r w:rsidR="00974175" w:rsidRPr="003D520D">
        <w:rPr>
          <w:szCs w:val="22"/>
          <w:lang w:val="cs-CZ"/>
        </w:rPr>
        <w:t>U 6,</w:t>
      </w:r>
      <w:r w:rsidR="00C75951">
        <w:rPr>
          <w:szCs w:val="22"/>
          <w:lang w:val="cs-CZ"/>
        </w:rPr>
        <w:t>5</w:t>
      </w:r>
      <w:r w:rsidR="00974175" w:rsidRPr="003D520D">
        <w:rPr>
          <w:szCs w:val="22"/>
          <w:lang w:val="cs-CZ"/>
        </w:rPr>
        <w:t xml:space="preserve"> % pacientů léčených přípravkem </w:t>
      </w:r>
      <w:proofErr w:type="spellStart"/>
      <w:r w:rsidR="00974175" w:rsidRPr="003D520D">
        <w:rPr>
          <w:szCs w:val="22"/>
          <w:lang w:val="cs-CZ"/>
        </w:rPr>
        <w:t>Stivarga</w:t>
      </w:r>
      <w:proofErr w:type="spellEnd"/>
      <w:r w:rsidR="00974175" w:rsidRPr="003D520D">
        <w:rPr>
          <w:szCs w:val="22"/>
          <w:lang w:val="cs-CZ"/>
        </w:rPr>
        <w:t xml:space="preserve"> a u </w:t>
      </w:r>
      <w:r w:rsidR="00C75951">
        <w:rPr>
          <w:szCs w:val="22"/>
          <w:lang w:val="cs-CZ"/>
        </w:rPr>
        <w:t>1,3</w:t>
      </w:r>
      <w:r w:rsidR="00974175" w:rsidRPr="003D520D">
        <w:rPr>
          <w:szCs w:val="22"/>
          <w:lang w:val="cs-CZ"/>
        </w:rPr>
        <w:t xml:space="preserve"> % pacientů </w:t>
      </w:r>
      <w:r w:rsidR="00DA5D2F" w:rsidRPr="003D520D">
        <w:rPr>
          <w:szCs w:val="22"/>
          <w:lang w:val="cs-CZ"/>
        </w:rPr>
        <w:t>užívajících</w:t>
      </w:r>
      <w:r w:rsidR="00974175" w:rsidRPr="003D520D">
        <w:rPr>
          <w:szCs w:val="22"/>
          <w:lang w:val="cs-CZ"/>
        </w:rPr>
        <w:t xml:space="preserve"> placeb</w:t>
      </w:r>
      <w:r w:rsidR="00DA5D2F" w:rsidRPr="003D520D">
        <w:rPr>
          <w:szCs w:val="22"/>
          <w:lang w:val="cs-CZ"/>
        </w:rPr>
        <w:t>o</w:t>
      </w:r>
      <w:r w:rsidR="00974175" w:rsidRPr="003D520D">
        <w:rPr>
          <w:szCs w:val="22"/>
          <w:lang w:val="cs-CZ"/>
        </w:rPr>
        <w:t xml:space="preserve"> byly hlášeny hladiny TSH po výchozím stavu &gt;4krát vyšší než horní hranice normálních hodnot.</w:t>
      </w:r>
      <w:r w:rsidR="00872E57" w:rsidRPr="003D520D">
        <w:rPr>
          <w:szCs w:val="22"/>
          <w:lang w:val="cs-CZ"/>
        </w:rPr>
        <w:t xml:space="preserve"> Koncentrace volného </w:t>
      </w:r>
      <w:proofErr w:type="spellStart"/>
      <w:r w:rsidR="00872E57" w:rsidRPr="003D520D">
        <w:rPr>
          <w:szCs w:val="22"/>
          <w:lang w:val="cs-CZ"/>
        </w:rPr>
        <w:t>trijodtyroninu</w:t>
      </w:r>
      <w:proofErr w:type="spellEnd"/>
      <w:r w:rsidR="00872E57" w:rsidRPr="003D520D">
        <w:rPr>
          <w:szCs w:val="22"/>
          <w:lang w:val="cs-CZ"/>
        </w:rPr>
        <w:t xml:space="preserve"> (FT3) po výchozím stavu pod dolní hranicí normálních hodnot </w:t>
      </w:r>
      <w:proofErr w:type="gramStart"/>
      <w:r w:rsidR="00454FC2" w:rsidRPr="003D520D">
        <w:rPr>
          <w:szCs w:val="22"/>
          <w:lang w:val="cs-CZ"/>
        </w:rPr>
        <w:t>(&lt; </w:t>
      </w:r>
      <w:r w:rsidR="00872E57" w:rsidRPr="003D520D">
        <w:rPr>
          <w:szCs w:val="22"/>
          <w:lang w:val="cs-CZ"/>
        </w:rPr>
        <w:t>LLN</w:t>
      </w:r>
      <w:proofErr w:type="gramEnd"/>
      <w:r w:rsidR="00872E57" w:rsidRPr="003D520D">
        <w:rPr>
          <w:szCs w:val="22"/>
          <w:lang w:val="cs-CZ"/>
        </w:rPr>
        <w:t>)</w:t>
      </w:r>
      <w:r w:rsidR="00454FC2" w:rsidRPr="003D520D">
        <w:rPr>
          <w:szCs w:val="22"/>
          <w:lang w:val="cs-CZ"/>
        </w:rPr>
        <w:t xml:space="preserve"> byla hlášena u </w:t>
      </w:r>
      <w:r w:rsidR="00C75951">
        <w:rPr>
          <w:szCs w:val="22"/>
          <w:lang w:val="cs-CZ"/>
        </w:rPr>
        <w:t>29,2</w:t>
      </w:r>
      <w:r w:rsidR="003B535E" w:rsidRPr="003D520D">
        <w:rPr>
          <w:szCs w:val="22"/>
          <w:lang w:val="cs-CZ"/>
        </w:rPr>
        <w:t> </w:t>
      </w:r>
      <w:r w:rsidR="00872E57" w:rsidRPr="003D520D">
        <w:rPr>
          <w:szCs w:val="22"/>
          <w:lang w:val="cs-CZ"/>
        </w:rPr>
        <w:t>% pacientů</w:t>
      </w:r>
      <w:r w:rsidR="003B535E" w:rsidRPr="003D520D">
        <w:rPr>
          <w:szCs w:val="22"/>
          <w:lang w:val="cs-CZ"/>
        </w:rPr>
        <w:t xml:space="preserve"> léčených přípravkem </w:t>
      </w:r>
      <w:proofErr w:type="spellStart"/>
      <w:r w:rsidR="003B535E" w:rsidRPr="003D520D">
        <w:rPr>
          <w:szCs w:val="22"/>
          <w:lang w:val="cs-CZ"/>
        </w:rPr>
        <w:t>Stivarga</w:t>
      </w:r>
      <w:proofErr w:type="spellEnd"/>
      <w:r w:rsidR="003B535E" w:rsidRPr="003D520D">
        <w:rPr>
          <w:szCs w:val="22"/>
          <w:lang w:val="cs-CZ"/>
        </w:rPr>
        <w:t xml:space="preserve"> </w:t>
      </w:r>
      <w:r w:rsidR="00BA3CEE" w:rsidRPr="003D520D">
        <w:rPr>
          <w:szCs w:val="22"/>
          <w:lang w:val="cs-CZ"/>
        </w:rPr>
        <w:t xml:space="preserve">a u </w:t>
      </w:r>
      <w:r w:rsidR="00C75951">
        <w:rPr>
          <w:szCs w:val="22"/>
          <w:lang w:val="cs-CZ"/>
        </w:rPr>
        <w:t>20,4</w:t>
      </w:r>
      <w:r w:rsidR="00BA3CEE" w:rsidRPr="003D520D">
        <w:rPr>
          <w:szCs w:val="22"/>
          <w:lang w:val="cs-CZ"/>
        </w:rPr>
        <w:t> </w:t>
      </w:r>
      <w:r w:rsidR="00872E57" w:rsidRPr="003D520D">
        <w:rPr>
          <w:szCs w:val="22"/>
          <w:lang w:val="cs-CZ"/>
        </w:rPr>
        <w:t xml:space="preserve">% pacientů </w:t>
      </w:r>
      <w:r w:rsidR="003B535E" w:rsidRPr="003D520D">
        <w:rPr>
          <w:szCs w:val="22"/>
          <w:lang w:val="cs-CZ"/>
        </w:rPr>
        <w:t>užívajících</w:t>
      </w:r>
      <w:r w:rsidR="00872E57" w:rsidRPr="003D520D">
        <w:rPr>
          <w:szCs w:val="22"/>
          <w:lang w:val="cs-CZ"/>
        </w:rPr>
        <w:t xml:space="preserve"> </w:t>
      </w:r>
      <w:r w:rsidR="003B535E" w:rsidRPr="003D520D">
        <w:rPr>
          <w:szCs w:val="22"/>
          <w:lang w:val="cs-CZ"/>
        </w:rPr>
        <w:t>placebo</w:t>
      </w:r>
      <w:r w:rsidR="00872E57" w:rsidRPr="003D520D">
        <w:rPr>
          <w:szCs w:val="22"/>
          <w:lang w:val="cs-CZ"/>
        </w:rPr>
        <w:t xml:space="preserve">. Koncentrace volného tyroxinu (FT4) po výchozím stavu </w:t>
      </w:r>
      <w:proofErr w:type="gramStart"/>
      <w:r w:rsidR="00017464" w:rsidRPr="003D520D">
        <w:rPr>
          <w:szCs w:val="22"/>
          <w:lang w:val="cs-CZ"/>
        </w:rPr>
        <w:t>nižší</w:t>
      </w:r>
      <w:proofErr w:type="gramEnd"/>
      <w:r w:rsidR="00017464" w:rsidRPr="003D520D">
        <w:rPr>
          <w:szCs w:val="22"/>
          <w:lang w:val="cs-CZ"/>
        </w:rPr>
        <w:t xml:space="preserve"> než</w:t>
      </w:r>
      <w:r w:rsidR="00454FC2" w:rsidRPr="003D520D">
        <w:rPr>
          <w:szCs w:val="22"/>
          <w:lang w:val="cs-CZ"/>
        </w:rPr>
        <w:t xml:space="preserve"> LLN byla hlášena u </w:t>
      </w:r>
      <w:r w:rsidR="00C75951">
        <w:rPr>
          <w:szCs w:val="22"/>
          <w:lang w:val="cs-CZ"/>
        </w:rPr>
        <w:t>8,1</w:t>
      </w:r>
      <w:r w:rsidR="00BE3D61" w:rsidRPr="003D520D">
        <w:rPr>
          <w:szCs w:val="22"/>
          <w:lang w:val="cs-CZ"/>
        </w:rPr>
        <w:t> </w:t>
      </w:r>
      <w:r w:rsidR="00872E57" w:rsidRPr="003D520D">
        <w:rPr>
          <w:szCs w:val="22"/>
          <w:lang w:val="cs-CZ"/>
        </w:rPr>
        <w:t xml:space="preserve">% pacientů </w:t>
      </w:r>
      <w:r w:rsidR="00BE3D61" w:rsidRPr="003D520D">
        <w:rPr>
          <w:szCs w:val="22"/>
          <w:lang w:val="cs-CZ"/>
        </w:rPr>
        <w:t xml:space="preserve">léčených přípravkem </w:t>
      </w:r>
      <w:proofErr w:type="spellStart"/>
      <w:r w:rsidR="00BE3D61" w:rsidRPr="003D520D">
        <w:rPr>
          <w:szCs w:val="22"/>
          <w:lang w:val="cs-CZ"/>
        </w:rPr>
        <w:t>Stivarga</w:t>
      </w:r>
      <w:proofErr w:type="spellEnd"/>
      <w:r w:rsidR="00BE3D61" w:rsidRPr="003D520D">
        <w:rPr>
          <w:szCs w:val="22"/>
          <w:lang w:val="cs-CZ"/>
        </w:rPr>
        <w:t xml:space="preserve"> </w:t>
      </w:r>
      <w:r w:rsidR="00454FC2" w:rsidRPr="003D520D">
        <w:rPr>
          <w:szCs w:val="22"/>
          <w:lang w:val="cs-CZ"/>
        </w:rPr>
        <w:t xml:space="preserve">a u </w:t>
      </w:r>
      <w:r w:rsidR="00C75951">
        <w:rPr>
          <w:szCs w:val="22"/>
          <w:lang w:val="cs-CZ"/>
        </w:rPr>
        <w:t>5,6</w:t>
      </w:r>
      <w:r w:rsidR="00454FC2" w:rsidRPr="003D520D">
        <w:rPr>
          <w:szCs w:val="22"/>
          <w:lang w:val="cs-CZ"/>
        </w:rPr>
        <w:t> </w:t>
      </w:r>
      <w:r w:rsidR="00872E57" w:rsidRPr="003D520D">
        <w:rPr>
          <w:szCs w:val="22"/>
          <w:lang w:val="cs-CZ"/>
        </w:rPr>
        <w:t xml:space="preserve">% pacientů </w:t>
      </w:r>
      <w:r w:rsidR="00BE3D61" w:rsidRPr="003D520D">
        <w:rPr>
          <w:szCs w:val="22"/>
          <w:lang w:val="cs-CZ"/>
        </w:rPr>
        <w:t>užívajících placebo</w:t>
      </w:r>
      <w:r w:rsidR="00872E57" w:rsidRPr="003D520D">
        <w:rPr>
          <w:szCs w:val="22"/>
          <w:lang w:val="cs-CZ"/>
        </w:rPr>
        <w:t>.</w:t>
      </w:r>
      <w:r w:rsidR="00DA5D2F" w:rsidRPr="003D520D">
        <w:rPr>
          <w:szCs w:val="22"/>
          <w:lang w:val="cs-CZ"/>
        </w:rPr>
        <w:t xml:space="preserve"> Celkově se u přibližně </w:t>
      </w:r>
      <w:r w:rsidR="00C75951">
        <w:rPr>
          <w:szCs w:val="22"/>
          <w:lang w:val="cs-CZ"/>
        </w:rPr>
        <w:t>4,6</w:t>
      </w:r>
      <w:r w:rsidR="00E11BC1" w:rsidRPr="003D520D">
        <w:rPr>
          <w:szCs w:val="22"/>
          <w:lang w:val="cs-CZ"/>
        </w:rPr>
        <w:t xml:space="preserve"> </w:t>
      </w:r>
      <w:r w:rsidR="00DA5D2F" w:rsidRPr="003D520D">
        <w:rPr>
          <w:szCs w:val="22"/>
          <w:lang w:val="cs-CZ"/>
        </w:rPr>
        <w:t xml:space="preserve">% pacientů léčených přípravkem </w:t>
      </w:r>
      <w:proofErr w:type="spellStart"/>
      <w:r w:rsidR="00DA5D2F" w:rsidRPr="003D520D">
        <w:rPr>
          <w:szCs w:val="22"/>
          <w:lang w:val="cs-CZ"/>
        </w:rPr>
        <w:t>Stivarga</w:t>
      </w:r>
      <w:proofErr w:type="spellEnd"/>
      <w:r w:rsidR="00DA5D2F" w:rsidRPr="003D520D">
        <w:rPr>
          <w:szCs w:val="22"/>
          <w:lang w:val="cs-CZ"/>
        </w:rPr>
        <w:t xml:space="preserve"> </w:t>
      </w:r>
      <w:r w:rsidR="004843A5" w:rsidRPr="003D520D">
        <w:rPr>
          <w:szCs w:val="22"/>
          <w:lang w:val="cs-CZ"/>
        </w:rPr>
        <w:t>objevila</w:t>
      </w:r>
      <w:r w:rsidR="00DA5D2F" w:rsidRPr="003D520D">
        <w:rPr>
          <w:szCs w:val="22"/>
          <w:lang w:val="cs-CZ"/>
        </w:rPr>
        <w:t xml:space="preserve"> </w:t>
      </w:r>
      <w:proofErr w:type="spellStart"/>
      <w:r w:rsidR="00DA5D2F" w:rsidRPr="003D520D">
        <w:rPr>
          <w:szCs w:val="22"/>
          <w:lang w:val="cs-CZ"/>
        </w:rPr>
        <w:t>hypothyreóza</w:t>
      </w:r>
      <w:proofErr w:type="spellEnd"/>
      <w:r w:rsidR="00DA5D2F" w:rsidRPr="003D520D">
        <w:rPr>
          <w:szCs w:val="22"/>
          <w:lang w:val="cs-CZ"/>
        </w:rPr>
        <w:t xml:space="preserve"> vyžadující hormonální substituční léčbu.</w:t>
      </w:r>
    </w:p>
    <w:p w14:paraId="7D4577AB" w14:textId="77777777" w:rsidR="00872E57" w:rsidRPr="003D520D" w:rsidRDefault="00872E57" w:rsidP="00D707AB">
      <w:pPr>
        <w:tabs>
          <w:tab w:val="left" w:pos="284"/>
        </w:tabs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7AC" w14:textId="77777777" w:rsidR="00180965" w:rsidRPr="003D520D" w:rsidRDefault="00180965" w:rsidP="00D707AB">
      <w:pPr>
        <w:autoSpaceDE w:val="0"/>
        <w:autoSpaceDN w:val="0"/>
        <w:adjustRightInd w:val="0"/>
        <w:jc w:val="both"/>
        <w:rPr>
          <w:szCs w:val="24"/>
          <w:u w:val="single"/>
          <w:lang w:val="cs-CZ"/>
        </w:rPr>
      </w:pPr>
      <w:r w:rsidRPr="003D520D">
        <w:rPr>
          <w:noProof/>
          <w:szCs w:val="24"/>
          <w:u w:val="single"/>
          <w:lang w:val="cs-CZ"/>
        </w:rPr>
        <w:t>Hlášení podezření na nežádoucí účinky</w:t>
      </w:r>
    </w:p>
    <w:p w14:paraId="04B0D9DD" w14:textId="5640FCDE" w:rsidR="008B3024" w:rsidRPr="008B3024" w:rsidRDefault="00180965" w:rsidP="008B3024">
      <w:pPr>
        <w:spacing w:before="100" w:after="100"/>
        <w:rPr>
          <w:szCs w:val="22"/>
          <w:lang w:val="cs-CZ"/>
        </w:rPr>
      </w:pPr>
      <w:r w:rsidRPr="003D520D">
        <w:rPr>
          <w:noProof/>
          <w:szCs w:val="24"/>
          <w:lang w:val="cs-CZ"/>
        </w:rPr>
        <w:t>Hlášení podezření na nežádoucí účinky po registraci léčivého přípravku je důležité. Umožňuje to pokrač</w:t>
      </w:r>
      <w:r w:rsidRPr="003D520D">
        <w:rPr>
          <w:szCs w:val="24"/>
          <w:lang w:val="cs-CZ"/>
        </w:rPr>
        <w:t>ovat ve</w:t>
      </w:r>
      <w:r w:rsidRPr="003D520D">
        <w:rPr>
          <w:noProof/>
          <w:szCs w:val="24"/>
          <w:lang w:val="cs-CZ"/>
        </w:rPr>
        <w:t xml:space="preserve"> sledování poměru přínosů a rizik léčivého přípravku. Žádáme </w:t>
      </w:r>
      <w:r w:rsidRPr="003D520D">
        <w:rPr>
          <w:szCs w:val="24"/>
          <w:lang w:val="cs-CZ"/>
        </w:rPr>
        <w:t>zdravotnické pracovníky, aby hlásili podezření na nežádoucí úči</w:t>
      </w:r>
      <w:r w:rsidRPr="00C97D3C">
        <w:rPr>
          <w:szCs w:val="22"/>
          <w:lang w:val="cs-CZ"/>
        </w:rPr>
        <w:t>nky</w:t>
      </w:r>
      <w:r w:rsidR="00C97D3C" w:rsidRPr="00C97D3C">
        <w:rPr>
          <w:szCs w:val="22"/>
          <w:lang w:val="cs-CZ"/>
        </w:rPr>
        <w:t xml:space="preserve"> </w:t>
      </w:r>
      <w:r w:rsidR="008B3024" w:rsidRPr="008B3024">
        <w:rPr>
          <w:szCs w:val="22"/>
          <w:lang w:val="cs-CZ"/>
        </w:rPr>
        <w:t> </w:t>
      </w:r>
      <w:r w:rsidR="008B3024">
        <w:rPr>
          <w:szCs w:val="22"/>
          <w:lang w:val="cs-CZ"/>
        </w:rPr>
        <w:t xml:space="preserve"> </w:t>
      </w:r>
      <w:r w:rsidR="008B3024" w:rsidRPr="008B3024">
        <w:rPr>
          <w:szCs w:val="22"/>
          <w:lang w:val="cs-CZ"/>
        </w:rPr>
        <w:t>prostřednictvím webového formuláře </w:t>
      </w:r>
      <w:hyperlink r:id="rId19" w:history="1">
        <w:r w:rsidR="008B3024" w:rsidRPr="008B3024">
          <w:rPr>
            <w:rStyle w:val="Hypertextovodkaz"/>
            <w:szCs w:val="22"/>
            <w:lang w:val="cs-CZ"/>
          </w:rPr>
          <w:t>sukl.gov.cz/</w:t>
        </w:r>
        <w:proofErr w:type="spellStart"/>
        <w:r w:rsidR="008B3024" w:rsidRPr="008B3024">
          <w:rPr>
            <w:rStyle w:val="Hypertextovodkaz"/>
            <w:szCs w:val="22"/>
            <w:lang w:val="cs-CZ"/>
          </w:rPr>
          <w:t>nezadouciucinky</w:t>
        </w:r>
        <w:proofErr w:type="spellEnd"/>
      </w:hyperlink>
    </w:p>
    <w:p w14:paraId="0FA2ADCF" w14:textId="77777777" w:rsidR="008B3024" w:rsidRPr="008B3024" w:rsidRDefault="008B3024" w:rsidP="008B3024">
      <w:pPr>
        <w:spacing w:before="100" w:beforeAutospacing="1" w:after="100" w:afterAutospacing="1"/>
        <w:rPr>
          <w:szCs w:val="22"/>
          <w:lang w:val="cs-CZ"/>
        </w:rPr>
      </w:pPr>
      <w:r w:rsidRPr="008B3024">
        <w:rPr>
          <w:szCs w:val="22"/>
          <w:lang w:val="cs-CZ"/>
        </w:rPr>
        <w:t>případně na adresu:</w:t>
      </w:r>
    </w:p>
    <w:p w14:paraId="6EF28C5A" w14:textId="77777777" w:rsidR="008B3024" w:rsidRPr="008B3024" w:rsidRDefault="008B3024" w:rsidP="008B3024">
      <w:pPr>
        <w:spacing w:before="100" w:beforeAutospacing="1" w:after="100" w:afterAutospacing="1"/>
        <w:rPr>
          <w:szCs w:val="22"/>
          <w:lang w:val="cs-CZ"/>
        </w:rPr>
      </w:pPr>
      <w:r w:rsidRPr="008B3024">
        <w:rPr>
          <w:szCs w:val="22"/>
          <w:lang w:val="cs-CZ"/>
        </w:rPr>
        <w:t>Státní ústav pro kontrolu léčiv</w:t>
      </w:r>
      <w:r w:rsidRPr="008B3024">
        <w:rPr>
          <w:szCs w:val="22"/>
          <w:lang w:val="cs-CZ"/>
        </w:rPr>
        <w:br/>
        <w:t>Šrobárova 49/48</w:t>
      </w:r>
      <w:r w:rsidRPr="008B3024">
        <w:rPr>
          <w:szCs w:val="22"/>
          <w:lang w:val="cs-CZ"/>
        </w:rPr>
        <w:br/>
        <w:t>100 00 Praha 10</w:t>
      </w:r>
      <w:r w:rsidRPr="008B3024">
        <w:rPr>
          <w:szCs w:val="22"/>
          <w:lang w:val="cs-CZ"/>
        </w:rPr>
        <w:br/>
        <w:t>e-mail: </w:t>
      </w:r>
      <w:hyperlink r:id="rId20" w:tgtFrame="_blank" w:history="1">
        <w:r w:rsidRPr="008B3024">
          <w:rPr>
            <w:rStyle w:val="Hypertextovodkaz"/>
            <w:szCs w:val="22"/>
            <w:lang w:val="cs-CZ"/>
          </w:rPr>
          <w:t>farmakovigilance@sukl.gov.cz</w:t>
        </w:r>
      </w:hyperlink>
    </w:p>
    <w:p w14:paraId="7D4577AD" w14:textId="4F6F5F10" w:rsidR="00CA33A2" w:rsidRDefault="00CA33A2" w:rsidP="00CA33A2">
      <w:pPr>
        <w:spacing w:before="100" w:beforeAutospacing="1" w:after="100" w:afterAutospacing="1"/>
        <w:rPr>
          <w:szCs w:val="22"/>
          <w:lang w:val="cs-CZ" w:eastAsia="cs-CZ"/>
        </w:rPr>
      </w:pPr>
    </w:p>
    <w:p w14:paraId="7D4577AE" w14:textId="77777777" w:rsidR="00CA33A2" w:rsidRDefault="00CA33A2" w:rsidP="00CA33A2">
      <w:pPr>
        <w:spacing w:before="100" w:beforeAutospacing="1" w:after="100" w:afterAutospacing="1"/>
        <w:rPr>
          <w:szCs w:val="22"/>
          <w:lang w:val="cs-CZ" w:eastAsia="cs-CZ"/>
        </w:rPr>
      </w:pPr>
    </w:p>
    <w:p w14:paraId="7D4577AF" w14:textId="77777777" w:rsidR="00356F6E" w:rsidRPr="00CA33A2" w:rsidRDefault="00356F6E" w:rsidP="0001612B">
      <w:pPr>
        <w:spacing w:before="100" w:beforeAutospacing="1" w:after="100" w:afterAutospacing="1"/>
        <w:outlineLvl w:val="2"/>
        <w:rPr>
          <w:b/>
          <w:szCs w:val="22"/>
          <w:lang w:val="cs-CZ" w:eastAsia="cs-CZ"/>
        </w:rPr>
      </w:pPr>
      <w:r w:rsidRPr="00CA33A2">
        <w:rPr>
          <w:b/>
          <w:szCs w:val="22"/>
          <w:lang w:val="cs-CZ"/>
        </w:rPr>
        <w:t>4.9</w:t>
      </w:r>
      <w:r w:rsidRPr="00CA33A2">
        <w:rPr>
          <w:b/>
          <w:szCs w:val="22"/>
          <w:lang w:val="cs-CZ"/>
        </w:rPr>
        <w:tab/>
        <w:t>Předávkování</w:t>
      </w:r>
    </w:p>
    <w:p w14:paraId="7D4577B0" w14:textId="77777777" w:rsidR="00356F6E" w:rsidRPr="003D520D" w:rsidRDefault="00356F6E" w:rsidP="00D707AB">
      <w:pPr>
        <w:pStyle w:val="Textkomente"/>
        <w:keepNext/>
        <w:keepLines/>
        <w:spacing w:after="0"/>
        <w:rPr>
          <w:sz w:val="22"/>
          <w:szCs w:val="22"/>
          <w:lang w:val="cs-CZ"/>
        </w:rPr>
      </w:pPr>
    </w:p>
    <w:p w14:paraId="7D4577B1" w14:textId="77777777" w:rsidR="00356F6E" w:rsidRPr="003D520D" w:rsidRDefault="00356F6E" w:rsidP="00D707AB">
      <w:pPr>
        <w:pStyle w:val="Textkomente"/>
        <w:spacing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Nejvyšší dávka přípravku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, která byla klinicky hodnocená, </w:t>
      </w:r>
      <w:r w:rsidR="00D86C89" w:rsidRPr="003D520D">
        <w:rPr>
          <w:sz w:val="22"/>
          <w:szCs w:val="22"/>
          <w:lang w:val="cs-CZ"/>
        </w:rPr>
        <w:t>byla</w:t>
      </w:r>
      <w:r w:rsidRPr="003D520D">
        <w:rPr>
          <w:sz w:val="22"/>
          <w:szCs w:val="22"/>
          <w:lang w:val="cs-CZ"/>
        </w:rPr>
        <w:t xml:space="preserve"> 220</w:t>
      </w:r>
      <w:r w:rsidR="00DF131F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mg denně. Nejčastěji pozorované nežádoucí účinky při této dávce byly dermatologické příhody, dysfonie, průjem, zánět sliznice, sucho v ústech, snížená chuť k jídlu, hypertenze a únava. </w:t>
      </w:r>
    </w:p>
    <w:p w14:paraId="7D4577B2" w14:textId="77777777" w:rsidR="00356F6E" w:rsidRPr="003D520D" w:rsidRDefault="00356F6E" w:rsidP="00D707AB">
      <w:pPr>
        <w:pStyle w:val="Textkomente"/>
        <w:spacing w:after="0"/>
        <w:rPr>
          <w:sz w:val="22"/>
          <w:szCs w:val="22"/>
          <w:lang w:val="cs-CZ"/>
        </w:rPr>
      </w:pPr>
    </w:p>
    <w:p w14:paraId="7D4577B3" w14:textId="77777777" w:rsidR="00356F6E" w:rsidRPr="003D520D" w:rsidRDefault="00356F6E" w:rsidP="00D707AB">
      <w:pPr>
        <w:pStyle w:val="Textkomente"/>
        <w:spacing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Při předávkování přípravkem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 neexistuje žádné specifické </w:t>
      </w:r>
      <w:proofErr w:type="spellStart"/>
      <w:r w:rsidRPr="003D520D">
        <w:rPr>
          <w:sz w:val="22"/>
          <w:szCs w:val="22"/>
          <w:lang w:val="cs-CZ"/>
        </w:rPr>
        <w:t>antidotum</w:t>
      </w:r>
      <w:proofErr w:type="spellEnd"/>
      <w:r w:rsidRPr="003D520D">
        <w:rPr>
          <w:sz w:val="22"/>
          <w:szCs w:val="22"/>
          <w:lang w:val="cs-CZ"/>
        </w:rPr>
        <w:t xml:space="preserve">. V případě suspektního předávkování </w:t>
      </w:r>
      <w:r w:rsidR="00A734B9">
        <w:rPr>
          <w:sz w:val="22"/>
          <w:szCs w:val="22"/>
          <w:lang w:val="cs-CZ"/>
        </w:rPr>
        <w:t>má</w:t>
      </w:r>
      <w:r w:rsidRPr="003D520D">
        <w:rPr>
          <w:sz w:val="22"/>
          <w:szCs w:val="22"/>
          <w:lang w:val="cs-CZ"/>
        </w:rPr>
        <w:t xml:space="preserve"> být přípravek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 okamžitě vysazen, m</w:t>
      </w:r>
      <w:r w:rsidR="00A734B9">
        <w:rPr>
          <w:sz w:val="22"/>
          <w:szCs w:val="22"/>
          <w:lang w:val="cs-CZ"/>
        </w:rPr>
        <w:t>á</w:t>
      </w:r>
      <w:r w:rsidRPr="003D520D">
        <w:rPr>
          <w:sz w:val="22"/>
          <w:szCs w:val="22"/>
          <w:lang w:val="cs-CZ"/>
        </w:rPr>
        <w:t xml:space="preserve"> být zahájena lékařem prováděná nejlepší podpůrná péče a pacient </w:t>
      </w:r>
      <w:r w:rsidR="00A734B9">
        <w:rPr>
          <w:sz w:val="22"/>
          <w:szCs w:val="22"/>
          <w:lang w:val="cs-CZ"/>
        </w:rPr>
        <w:t>má</w:t>
      </w:r>
      <w:r w:rsidRPr="003D520D">
        <w:rPr>
          <w:sz w:val="22"/>
          <w:szCs w:val="22"/>
          <w:lang w:val="cs-CZ"/>
        </w:rPr>
        <w:t xml:space="preserve"> být sledován až do klinické stabilizace.</w:t>
      </w:r>
    </w:p>
    <w:p w14:paraId="7D4577B4" w14:textId="77777777" w:rsidR="00356F6E" w:rsidRPr="003D520D" w:rsidRDefault="00356F6E" w:rsidP="00D707AB">
      <w:pPr>
        <w:pStyle w:val="Textkomente"/>
        <w:spacing w:after="0"/>
        <w:rPr>
          <w:sz w:val="22"/>
          <w:szCs w:val="22"/>
          <w:lang w:val="cs-CZ"/>
        </w:rPr>
      </w:pPr>
    </w:p>
    <w:p w14:paraId="7D4577B5" w14:textId="77777777" w:rsidR="00356F6E" w:rsidRPr="003D520D" w:rsidRDefault="00356F6E" w:rsidP="00D707AB">
      <w:pPr>
        <w:pStyle w:val="Textkomente"/>
        <w:spacing w:after="0"/>
        <w:rPr>
          <w:sz w:val="22"/>
          <w:szCs w:val="22"/>
          <w:lang w:val="cs-CZ"/>
        </w:rPr>
      </w:pPr>
    </w:p>
    <w:p w14:paraId="7D4577B6" w14:textId="77777777" w:rsidR="00356F6E" w:rsidRPr="00CA33A2" w:rsidRDefault="00356F6E" w:rsidP="001C40B8">
      <w:pPr>
        <w:spacing w:before="100" w:beforeAutospacing="1" w:after="100" w:afterAutospacing="1"/>
        <w:outlineLvl w:val="1"/>
        <w:rPr>
          <w:szCs w:val="22"/>
          <w:lang w:val="cs-CZ"/>
        </w:rPr>
      </w:pPr>
      <w:r w:rsidRPr="00CA33A2">
        <w:rPr>
          <w:b/>
          <w:szCs w:val="22"/>
          <w:lang w:val="cs-CZ"/>
        </w:rPr>
        <w:t>5.</w:t>
      </w:r>
      <w:r w:rsidRPr="00CA33A2">
        <w:rPr>
          <w:b/>
          <w:szCs w:val="22"/>
          <w:lang w:val="cs-CZ"/>
        </w:rPr>
        <w:tab/>
        <w:t>FARMAKOLOGICKÉ VLASTNOSTI</w:t>
      </w:r>
    </w:p>
    <w:p w14:paraId="7D4577B7" w14:textId="77777777" w:rsidR="00356F6E" w:rsidRPr="00CA33A2" w:rsidRDefault="00356F6E" w:rsidP="0001612B">
      <w:pPr>
        <w:spacing w:before="100" w:beforeAutospacing="1" w:after="100" w:afterAutospacing="1"/>
        <w:outlineLvl w:val="2"/>
        <w:rPr>
          <w:b/>
          <w:szCs w:val="22"/>
          <w:lang w:val="cs-CZ"/>
        </w:rPr>
      </w:pPr>
      <w:r w:rsidRPr="00CA33A2">
        <w:rPr>
          <w:b/>
          <w:szCs w:val="22"/>
          <w:lang w:val="cs-CZ"/>
        </w:rPr>
        <w:t>5.1</w:t>
      </w:r>
      <w:r w:rsidRPr="00CA33A2">
        <w:rPr>
          <w:b/>
          <w:szCs w:val="22"/>
          <w:lang w:val="cs-CZ"/>
        </w:rPr>
        <w:tab/>
        <w:t>Farmakodynamické vlastnosti</w:t>
      </w:r>
    </w:p>
    <w:p w14:paraId="7D4577B8" w14:textId="77777777" w:rsidR="00356F6E" w:rsidRPr="003D520D" w:rsidRDefault="00356F6E" w:rsidP="00D707AB">
      <w:pPr>
        <w:keepNext/>
        <w:keepLines/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7B9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Farmakoterapeutická skupina: </w:t>
      </w:r>
      <w:r w:rsidR="00FC42F4">
        <w:rPr>
          <w:sz w:val="22"/>
          <w:szCs w:val="22"/>
          <w:lang w:val="cs-CZ"/>
        </w:rPr>
        <w:t>Cytostatika</w:t>
      </w:r>
      <w:r w:rsidRPr="003D520D">
        <w:rPr>
          <w:sz w:val="22"/>
          <w:szCs w:val="22"/>
          <w:lang w:val="cs-CZ"/>
        </w:rPr>
        <w:t xml:space="preserve">, inhibitor </w:t>
      </w:r>
      <w:proofErr w:type="spellStart"/>
      <w:r w:rsidRPr="003D520D">
        <w:rPr>
          <w:sz w:val="22"/>
          <w:szCs w:val="22"/>
          <w:lang w:val="cs-CZ"/>
        </w:rPr>
        <w:t>proteinkinázy</w:t>
      </w:r>
      <w:proofErr w:type="spellEnd"/>
      <w:r w:rsidRPr="003D520D">
        <w:rPr>
          <w:sz w:val="22"/>
          <w:szCs w:val="22"/>
          <w:lang w:val="cs-CZ"/>
        </w:rPr>
        <w:t xml:space="preserve">; </w:t>
      </w:r>
    </w:p>
    <w:p w14:paraId="7D4577BA" w14:textId="777401AA" w:rsidR="00356F6E" w:rsidRPr="003D520D" w:rsidRDefault="00356F6E" w:rsidP="00D707AB">
      <w:pPr>
        <w:pStyle w:val="BayerBodyTextFull"/>
        <w:spacing w:before="0" w:after="0"/>
        <w:rPr>
          <w:i/>
          <w:iCs/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ATC kód: </w:t>
      </w:r>
      <w:r w:rsidR="006C58D9" w:rsidRPr="006C58D9">
        <w:rPr>
          <w:sz w:val="22"/>
          <w:szCs w:val="22"/>
          <w:lang w:val="cs-CZ"/>
        </w:rPr>
        <w:t>L01EX05</w:t>
      </w:r>
      <w:r w:rsidRPr="003D520D">
        <w:rPr>
          <w:sz w:val="22"/>
          <w:szCs w:val="22"/>
          <w:lang w:val="cs-CZ"/>
        </w:rPr>
        <w:t xml:space="preserve"> </w:t>
      </w:r>
    </w:p>
    <w:p w14:paraId="7D4577BB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7BC" w14:textId="77777777" w:rsidR="00356F6E" w:rsidRPr="00CA33A2" w:rsidRDefault="00356F6E" w:rsidP="00CA33A2">
      <w:pPr>
        <w:pStyle w:val="BayerBodyTextFull"/>
        <w:spacing w:before="0" w:after="0"/>
        <w:rPr>
          <w:sz w:val="22"/>
          <w:szCs w:val="22"/>
          <w:u w:val="single"/>
          <w:lang w:val="cs-CZ"/>
        </w:rPr>
      </w:pPr>
      <w:r w:rsidRPr="00CA33A2">
        <w:rPr>
          <w:sz w:val="22"/>
          <w:szCs w:val="22"/>
          <w:u w:val="single"/>
          <w:lang w:val="cs-CZ"/>
        </w:rPr>
        <w:t>Mechanismus účinku a farmakodynamické účinky</w:t>
      </w:r>
    </w:p>
    <w:p w14:paraId="7D4577BD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proofErr w:type="spellStart"/>
      <w:r w:rsidRPr="003D520D">
        <w:rPr>
          <w:sz w:val="22"/>
          <w:szCs w:val="22"/>
          <w:lang w:val="cs-CZ"/>
        </w:rPr>
        <w:t>Regorafenib</w:t>
      </w:r>
      <w:proofErr w:type="spellEnd"/>
      <w:r w:rsidRPr="003D520D">
        <w:rPr>
          <w:sz w:val="22"/>
          <w:szCs w:val="22"/>
          <w:lang w:val="cs-CZ"/>
        </w:rPr>
        <w:t xml:space="preserve"> je peroráln</w:t>
      </w:r>
      <w:r w:rsidR="00384917" w:rsidRPr="003D520D">
        <w:rPr>
          <w:sz w:val="22"/>
          <w:szCs w:val="22"/>
          <w:lang w:val="cs-CZ"/>
        </w:rPr>
        <w:t>ě podávaná</w:t>
      </w:r>
      <w:r w:rsidRPr="003D520D">
        <w:rPr>
          <w:sz w:val="22"/>
          <w:szCs w:val="22"/>
          <w:lang w:val="cs-CZ"/>
        </w:rPr>
        <w:t xml:space="preserve"> látka deaktivující nádor, která silně blokuje vícečetné </w:t>
      </w:r>
      <w:proofErr w:type="spellStart"/>
      <w:r w:rsidRPr="003D520D">
        <w:rPr>
          <w:sz w:val="22"/>
          <w:szCs w:val="22"/>
          <w:lang w:val="cs-CZ"/>
        </w:rPr>
        <w:t>proteinkinázy</w:t>
      </w:r>
      <w:proofErr w:type="spellEnd"/>
      <w:r w:rsidRPr="003D520D">
        <w:rPr>
          <w:sz w:val="22"/>
          <w:szCs w:val="22"/>
          <w:lang w:val="cs-CZ"/>
        </w:rPr>
        <w:t>, včetně kináz účastnících se nádorové angiogenez</w:t>
      </w:r>
      <w:r w:rsidR="00541D52" w:rsidRPr="003D520D">
        <w:rPr>
          <w:sz w:val="22"/>
          <w:szCs w:val="22"/>
          <w:lang w:val="cs-CZ"/>
        </w:rPr>
        <w:t>e</w:t>
      </w:r>
      <w:r w:rsidRPr="003D520D">
        <w:rPr>
          <w:sz w:val="22"/>
          <w:szCs w:val="22"/>
          <w:lang w:val="cs-CZ"/>
        </w:rPr>
        <w:t xml:space="preserve"> </w:t>
      </w:r>
      <w:r w:rsidR="00DF131F" w:rsidRPr="003D520D">
        <w:rPr>
          <w:sz w:val="22"/>
          <w:szCs w:val="22"/>
          <w:lang w:val="cs-CZ"/>
        </w:rPr>
        <w:t>(</w:t>
      </w:r>
      <w:r w:rsidRPr="003D520D">
        <w:rPr>
          <w:sz w:val="22"/>
          <w:szCs w:val="22"/>
          <w:lang w:val="cs-CZ"/>
        </w:rPr>
        <w:t xml:space="preserve">VEGFR1, </w:t>
      </w:r>
      <w:r w:rsidR="00454FC2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 xml:space="preserve">2, </w:t>
      </w:r>
      <w:r w:rsidR="00454FC2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>3, TIE2), onkogenez</w:t>
      </w:r>
      <w:r w:rsidR="00541D52" w:rsidRPr="003D520D">
        <w:rPr>
          <w:sz w:val="22"/>
          <w:szCs w:val="22"/>
          <w:lang w:val="cs-CZ"/>
        </w:rPr>
        <w:t>e</w:t>
      </w:r>
      <w:r w:rsidRPr="003D520D">
        <w:rPr>
          <w:sz w:val="22"/>
          <w:szCs w:val="22"/>
          <w:lang w:val="cs-CZ"/>
        </w:rPr>
        <w:t xml:space="preserve"> (KIT, RET, RAF</w:t>
      </w:r>
      <w:r w:rsidR="00454FC2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>1, BRAF, BRAF</w:t>
      </w:r>
      <w:r w:rsidRPr="00CA33A2">
        <w:rPr>
          <w:sz w:val="22"/>
          <w:szCs w:val="22"/>
          <w:lang w:val="cs-CZ"/>
        </w:rPr>
        <w:t>V600E</w:t>
      </w:r>
      <w:r w:rsidRPr="003D520D">
        <w:rPr>
          <w:sz w:val="22"/>
          <w:szCs w:val="22"/>
          <w:lang w:val="cs-CZ"/>
        </w:rPr>
        <w:t>)</w:t>
      </w:r>
      <w:r w:rsidR="00C75951">
        <w:rPr>
          <w:sz w:val="22"/>
          <w:szCs w:val="22"/>
          <w:lang w:val="cs-CZ"/>
        </w:rPr>
        <w:t>,</w:t>
      </w:r>
      <w:r w:rsidRPr="003D520D">
        <w:rPr>
          <w:sz w:val="22"/>
          <w:szCs w:val="22"/>
          <w:lang w:val="cs-CZ"/>
        </w:rPr>
        <w:t xml:space="preserve"> </w:t>
      </w:r>
      <w:r w:rsidR="00C75951">
        <w:rPr>
          <w:sz w:val="22"/>
          <w:szCs w:val="22"/>
          <w:lang w:val="cs-CZ"/>
        </w:rPr>
        <w:t>metastáz</w:t>
      </w:r>
      <w:r w:rsidRPr="003D520D">
        <w:rPr>
          <w:sz w:val="22"/>
          <w:szCs w:val="22"/>
          <w:lang w:val="cs-CZ"/>
        </w:rPr>
        <w:t xml:space="preserve"> (</w:t>
      </w:r>
      <w:r w:rsidR="00C75951">
        <w:rPr>
          <w:sz w:val="22"/>
          <w:szCs w:val="22"/>
          <w:lang w:val="cs-CZ"/>
        </w:rPr>
        <w:t xml:space="preserve">VEGFR 3, </w:t>
      </w:r>
      <w:r w:rsidRPr="003D520D">
        <w:rPr>
          <w:sz w:val="22"/>
          <w:szCs w:val="22"/>
          <w:lang w:val="cs-CZ"/>
        </w:rPr>
        <w:t>PDGFR, FGFR)</w:t>
      </w:r>
      <w:r w:rsidR="00C75951">
        <w:rPr>
          <w:sz w:val="22"/>
          <w:szCs w:val="22"/>
          <w:lang w:val="cs-CZ"/>
        </w:rPr>
        <w:t xml:space="preserve"> a imunitu tumoru (CSF1R)</w:t>
      </w:r>
      <w:r w:rsidRPr="003D520D">
        <w:rPr>
          <w:sz w:val="22"/>
          <w:szCs w:val="22"/>
          <w:lang w:val="cs-CZ"/>
        </w:rPr>
        <w:t>.</w:t>
      </w:r>
      <w:r w:rsidR="00B273EB" w:rsidRPr="003D520D">
        <w:rPr>
          <w:sz w:val="22"/>
          <w:szCs w:val="22"/>
          <w:lang w:val="cs-CZ"/>
        </w:rPr>
        <w:t xml:space="preserve"> </w:t>
      </w:r>
      <w:proofErr w:type="spellStart"/>
      <w:r w:rsidR="00B273EB" w:rsidRPr="003D520D">
        <w:rPr>
          <w:sz w:val="22"/>
          <w:szCs w:val="22"/>
          <w:lang w:val="cs-CZ"/>
        </w:rPr>
        <w:t>Re</w:t>
      </w:r>
      <w:r w:rsidR="008C12D1" w:rsidRPr="003D520D">
        <w:rPr>
          <w:sz w:val="22"/>
          <w:szCs w:val="22"/>
          <w:lang w:val="cs-CZ"/>
        </w:rPr>
        <w:t>gorafenib</w:t>
      </w:r>
      <w:proofErr w:type="spellEnd"/>
      <w:r w:rsidR="008C12D1" w:rsidRPr="003D520D">
        <w:rPr>
          <w:sz w:val="22"/>
          <w:szCs w:val="22"/>
          <w:lang w:val="cs-CZ"/>
        </w:rPr>
        <w:t xml:space="preserve"> inhibuje zvláště mutovaný KIT, hlavní onkogenní složku u gastrointestinálních </w:t>
      </w:r>
      <w:proofErr w:type="spellStart"/>
      <w:r w:rsidR="008C12D1" w:rsidRPr="003D520D">
        <w:rPr>
          <w:sz w:val="22"/>
          <w:szCs w:val="22"/>
          <w:lang w:val="cs-CZ"/>
        </w:rPr>
        <w:t>stromálních</w:t>
      </w:r>
      <w:proofErr w:type="spellEnd"/>
      <w:r w:rsidR="008C12D1" w:rsidRPr="003D520D">
        <w:rPr>
          <w:sz w:val="22"/>
          <w:szCs w:val="22"/>
          <w:lang w:val="cs-CZ"/>
        </w:rPr>
        <w:t xml:space="preserve"> nádorů</w:t>
      </w:r>
      <w:r w:rsidR="00AB6A5E" w:rsidRPr="003D520D">
        <w:rPr>
          <w:sz w:val="22"/>
          <w:szCs w:val="22"/>
          <w:lang w:val="cs-CZ"/>
        </w:rPr>
        <w:t>,</w:t>
      </w:r>
      <w:r w:rsidR="008C12D1" w:rsidRPr="003D520D">
        <w:rPr>
          <w:sz w:val="22"/>
          <w:szCs w:val="22"/>
          <w:lang w:val="cs-CZ"/>
        </w:rPr>
        <w:t xml:space="preserve"> a tím blokuje proliferaci nádorových buněk. </w:t>
      </w:r>
      <w:r w:rsidRPr="003D520D">
        <w:rPr>
          <w:sz w:val="22"/>
          <w:szCs w:val="22"/>
          <w:lang w:val="cs-CZ"/>
        </w:rPr>
        <w:t xml:space="preserve">V preklinických studiích prokázal </w:t>
      </w:r>
      <w:proofErr w:type="spellStart"/>
      <w:r w:rsidRPr="003D520D">
        <w:rPr>
          <w:sz w:val="22"/>
          <w:szCs w:val="22"/>
          <w:lang w:val="cs-CZ"/>
        </w:rPr>
        <w:t>regorafenib</w:t>
      </w:r>
      <w:proofErr w:type="spellEnd"/>
      <w:r w:rsidRPr="003D520D">
        <w:rPr>
          <w:sz w:val="22"/>
          <w:szCs w:val="22"/>
          <w:lang w:val="cs-CZ"/>
        </w:rPr>
        <w:t xml:space="preserve"> silnou protinádorovou aktivitu v širokém spektru nádorových modelů, včetně modelů kolorektálního </w:t>
      </w:r>
      <w:r w:rsidR="001E6FBA" w:rsidRPr="003D520D">
        <w:rPr>
          <w:sz w:val="22"/>
          <w:szCs w:val="22"/>
          <w:lang w:val="cs-CZ"/>
        </w:rPr>
        <w:t>karcinomu</w:t>
      </w:r>
      <w:r w:rsidR="00C75951">
        <w:rPr>
          <w:sz w:val="22"/>
          <w:szCs w:val="22"/>
          <w:lang w:val="cs-CZ"/>
        </w:rPr>
        <w:t>,</w:t>
      </w:r>
      <w:r w:rsidR="008C12D1" w:rsidRPr="003D520D">
        <w:rPr>
          <w:sz w:val="22"/>
          <w:szCs w:val="22"/>
          <w:lang w:val="cs-CZ"/>
        </w:rPr>
        <w:t xml:space="preserve"> gastrointestinálního </w:t>
      </w:r>
      <w:proofErr w:type="spellStart"/>
      <w:r w:rsidR="008C12D1" w:rsidRPr="003D520D">
        <w:rPr>
          <w:sz w:val="22"/>
          <w:szCs w:val="22"/>
          <w:lang w:val="cs-CZ"/>
        </w:rPr>
        <w:t>stromálního</w:t>
      </w:r>
      <w:proofErr w:type="spellEnd"/>
      <w:r w:rsidR="008C12D1" w:rsidRPr="003D520D">
        <w:rPr>
          <w:sz w:val="22"/>
          <w:szCs w:val="22"/>
          <w:lang w:val="cs-CZ"/>
        </w:rPr>
        <w:t xml:space="preserve"> </w:t>
      </w:r>
      <w:r w:rsidR="001E6FBA" w:rsidRPr="003D520D">
        <w:rPr>
          <w:sz w:val="22"/>
          <w:szCs w:val="22"/>
          <w:lang w:val="cs-CZ"/>
        </w:rPr>
        <w:t>nádoru</w:t>
      </w:r>
      <w:r w:rsidR="00C75951">
        <w:rPr>
          <w:sz w:val="22"/>
          <w:szCs w:val="22"/>
          <w:lang w:val="cs-CZ"/>
        </w:rPr>
        <w:t xml:space="preserve"> a hepatocelulárního nádoru</w:t>
      </w:r>
      <w:r w:rsidRPr="003D520D">
        <w:rPr>
          <w:sz w:val="22"/>
          <w:szCs w:val="22"/>
          <w:lang w:val="cs-CZ"/>
        </w:rPr>
        <w:t xml:space="preserve">, která je </w:t>
      </w:r>
      <w:r w:rsidR="00C75951">
        <w:rPr>
          <w:sz w:val="22"/>
          <w:szCs w:val="22"/>
          <w:lang w:val="cs-CZ"/>
        </w:rPr>
        <w:t xml:space="preserve">pravděpodobně </w:t>
      </w:r>
      <w:r w:rsidRPr="003D520D">
        <w:rPr>
          <w:sz w:val="22"/>
          <w:szCs w:val="22"/>
          <w:lang w:val="cs-CZ"/>
        </w:rPr>
        <w:t xml:space="preserve">zprostředkována </w:t>
      </w:r>
      <w:r w:rsidR="003E0A02" w:rsidRPr="003D520D">
        <w:rPr>
          <w:sz w:val="22"/>
          <w:szCs w:val="22"/>
          <w:lang w:val="cs-CZ"/>
        </w:rPr>
        <w:t xml:space="preserve">jeho </w:t>
      </w:r>
      <w:proofErr w:type="spellStart"/>
      <w:r w:rsidRPr="003D520D">
        <w:rPr>
          <w:sz w:val="22"/>
          <w:szCs w:val="22"/>
          <w:lang w:val="cs-CZ"/>
        </w:rPr>
        <w:t>antiangiogenními</w:t>
      </w:r>
      <w:proofErr w:type="spellEnd"/>
      <w:r w:rsidR="008C12D1" w:rsidRPr="003D520D">
        <w:rPr>
          <w:sz w:val="22"/>
          <w:szCs w:val="22"/>
          <w:lang w:val="cs-CZ"/>
        </w:rPr>
        <w:t xml:space="preserve"> a</w:t>
      </w:r>
      <w:r w:rsidR="003E0A02" w:rsidRPr="003D520D">
        <w:rPr>
          <w:sz w:val="22"/>
          <w:szCs w:val="22"/>
          <w:lang w:val="cs-CZ"/>
        </w:rPr>
        <w:t xml:space="preserve"> </w:t>
      </w:r>
      <w:proofErr w:type="spellStart"/>
      <w:r w:rsidRPr="003D520D">
        <w:rPr>
          <w:sz w:val="22"/>
          <w:szCs w:val="22"/>
          <w:lang w:val="cs-CZ"/>
        </w:rPr>
        <w:t>antiproliferativními</w:t>
      </w:r>
      <w:proofErr w:type="spellEnd"/>
      <w:r w:rsidRPr="003D520D">
        <w:rPr>
          <w:sz w:val="22"/>
          <w:szCs w:val="22"/>
          <w:lang w:val="cs-CZ"/>
        </w:rPr>
        <w:t xml:space="preserve"> účinky. Kromě toho </w:t>
      </w:r>
      <w:proofErr w:type="spellStart"/>
      <w:r w:rsidRPr="003D520D">
        <w:rPr>
          <w:sz w:val="22"/>
          <w:szCs w:val="22"/>
          <w:lang w:val="cs-CZ"/>
        </w:rPr>
        <w:t>regorafenib</w:t>
      </w:r>
      <w:proofErr w:type="spellEnd"/>
      <w:r w:rsidRPr="003D520D">
        <w:rPr>
          <w:sz w:val="22"/>
          <w:szCs w:val="22"/>
          <w:lang w:val="cs-CZ"/>
        </w:rPr>
        <w:t xml:space="preserve"> </w:t>
      </w:r>
      <w:r w:rsidR="00C75951">
        <w:rPr>
          <w:sz w:val="22"/>
          <w:szCs w:val="22"/>
          <w:lang w:val="cs-CZ"/>
        </w:rPr>
        <w:t xml:space="preserve">redukoval hladinu makrofágů spojených s nádorem a </w:t>
      </w:r>
      <w:r w:rsidRPr="003D520D">
        <w:rPr>
          <w:sz w:val="22"/>
          <w:szCs w:val="22"/>
          <w:lang w:val="cs-CZ"/>
        </w:rPr>
        <w:t xml:space="preserve">prokázal </w:t>
      </w:r>
      <w:proofErr w:type="spellStart"/>
      <w:r w:rsidRPr="003D520D">
        <w:rPr>
          <w:sz w:val="22"/>
          <w:szCs w:val="22"/>
          <w:lang w:val="cs-CZ"/>
        </w:rPr>
        <w:t>antimetastatické</w:t>
      </w:r>
      <w:proofErr w:type="spellEnd"/>
      <w:r w:rsidRPr="003D520D">
        <w:rPr>
          <w:sz w:val="22"/>
          <w:szCs w:val="22"/>
          <w:lang w:val="cs-CZ"/>
        </w:rPr>
        <w:t xml:space="preserve"> účinky </w:t>
      </w:r>
      <w:r w:rsidRPr="003D520D">
        <w:rPr>
          <w:i/>
          <w:iCs/>
          <w:sz w:val="22"/>
          <w:szCs w:val="22"/>
          <w:lang w:val="cs-CZ"/>
        </w:rPr>
        <w:t xml:space="preserve">in </w:t>
      </w:r>
      <w:proofErr w:type="spellStart"/>
      <w:r w:rsidRPr="003D520D">
        <w:rPr>
          <w:i/>
          <w:iCs/>
          <w:sz w:val="22"/>
          <w:szCs w:val="22"/>
          <w:lang w:val="cs-CZ"/>
        </w:rPr>
        <w:t>vivo</w:t>
      </w:r>
      <w:proofErr w:type="spellEnd"/>
      <w:r w:rsidRPr="003D520D">
        <w:rPr>
          <w:sz w:val="22"/>
          <w:szCs w:val="22"/>
          <w:lang w:val="cs-CZ"/>
        </w:rPr>
        <w:t>. Hlavní metabolity u člověka (M</w:t>
      </w:r>
      <w:r w:rsidR="00454FC2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>2 a M</w:t>
      </w:r>
      <w:r w:rsidR="00454FC2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 xml:space="preserve">5) vykazovaly v modelech </w:t>
      </w:r>
      <w:r w:rsidRPr="003D520D">
        <w:rPr>
          <w:i/>
          <w:iCs/>
          <w:sz w:val="22"/>
          <w:szCs w:val="22"/>
          <w:lang w:val="cs-CZ"/>
        </w:rPr>
        <w:t>in vitro</w:t>
      </w:r>
      <w:r w:rsidR="008C12D1" w:rsidRPr="003D520D">
        <w:rPr>
          <w:sz w:val="22"/>
          <w:szCs w:val="22"/>
          <w:lang w:val="cs-CZ"/>
        </w:rPr>
        <w:t xml:space="preserve"> a</w:t>
      </w:r>
      <w:r w:rsidR="003E0A02" w:rsidRPr="003D520D">
        <w:rPr>
          <w:sz w:val="22"/>
          <w:szCs w:val="22"/>
          <w:lang w:val="cs-CZ"/>
        </w:rPr>
        <w:t xml:space="preserve"> </w:t>
      </w:r>
      <w:r w:rsidRPr="003D520D">
        <w:rPr>
          <w:i/>
          <w:iCs/>
          <w:sz w:val="22"/>
          <w:szCs w:val="22"/>
          <w:lang w:val="cs-CZ"/>
        </w:rPr>
        <w:t xml:space="preserve">in </w:t>
      </w:r>
      <w:proofErr w:type="spellStart"/>
      <w:r w:rsidRPr="003D520D">
        <w:rPr>
          <w:i/>
          <w:iCs/>
          <w:sz w:val="22"/>
          <w:szCs w:val="22"/>
          <w:lang w:val="cs-CZ"/>
        </w:rPr>
        <w:t>vivo</w:t>
      </w:r>
      <w:proofErr w:type="spellEnd"/>
      <w:r w:rsidR="00541D52" w:rsidRPr="003D520D">
        <w:rPr>
          <w:i/>
          <w:iCs/>
          <w:sz w:val="22"/>
          <w:szCs w:val="22"/>
          <w:lang w:val="cs-CZ"/>
        </w:rPr>
        <w:t xml:space="preserve"> </w:t>
      </w:r>
      <w:r w:rsidR="00541D52" w:rsidRPr="003D520D">
        <w:rPr>
          <w:iCs/>
          <w:sz w:val="22"/>
          <w:szCs w:val="22"/>
          <w:lang w:val="cs-CZ"/>
        </w:rPr>
        <w:t>při srovnání s </w:t>
      </w:r>
      <w:proofErr w:type="spellStart"/>
      <w:r w:rsidR="00541D52" w:rsidRPr="003D520D">
        <w:rPr>
          <w:iCs/>
          <w:sz w:val="22"/>
          <w:szCs w:val="22"/>
          <w:lang w:val="cs-CZ"/>
        </w:rPr>
        <w:t>regorafenibem</w:t>
      </w:r>
      <w:proofErr w:type="spellEnd"/>
      <w:r w:rsidR="00541D52" w:rsidRPr="003D520D">
        <w:rPr>
          <w:iCs/>
          <w:sz w:val="22"/>
          <w:szCs w:val="22"/>
          <w:lang w:val="cs-CZ"/>
        </w:rPr>
        <w:t xml:space="preserve"> podobnou účinnost</w:t>
      </w:r>
      <w:r w:rsidRPr="003D520D">
        <w:rPr>
          <w:sz w:val="22"/>
          <w:szCs w:val="22"/>
          <w:lang w:val="cs-CZ"/>
        </w:rPr>
        <w:t>.</w:t>
      </w:r>
    </w:p>
    <w:p w14:paraId="7D4577BE" w14:textId="77777777" w:rsidR="00356F6E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7BF" w14:textId="77777777" w:rsidR="00356F6E" w:rsidRPr="00CA33A2" w:rsidRDefault="00356F6E" w:rsidP="00CA33A2">
      <w:pPr>
        <w:pStyle w:val="BayerBodyTextFull"/>
        <w:spacing w:before="0" w:after="0"/>
        <w:rPr>
          <w:sz w:val="22"/>
          <w:szCs w:val="22"/>
          <w:u w:val="single"/>
          <w:lang w:val="cs-CZ"/>
        </w:rPr>
      </w:pPr>
      <w:r w:rsidRPr="00CA33A2">
        <w:rPr>
          <w:sz w:val="22"/>
          <w:szCs w:val="22"/>
          <w:u w:val="single"/>
          <w:lang w:val="cs-CZ"/>
        </w:rPr>
        <w:t>Klinická účinnost a bezpečnost</w:t>
      </w:r>
    </w:p>
    <w:p w14:paraId="7D4577C0" w14:textId="77777777" w:rsidR="008C12D1" w:rsidRPr="003D520D" w:rsidRDefault="008C12D1" w:rsidP="00D707AB">
      <w:pPr>
        <w:keepNext/>
        <w:spacing w:after="0"/>
        <w:rPr>
          <w:lang w:val="cs-CZ"/>
        </w:rPr>
      </w:pPr>
    </w:p>
    <w:p w14:paraId="7D4577C1" w14:textId="77777777" w:rsidR="008C12D1" w:rsidRPr="003D520D" w:rsidRDefault="008C12D1" w:rsidP="00D707AB">
      <w:pPr>
        <w:keepNext/>
        <w:rPr>
          <w:i/>
          <w:lang w:val="cs-CZ"/>
        </w:rPr>
      </w:pPr>
      <w:r w:rsidRPr="003D520D">
        <w:rPr>
          <w:i/>
          <w:lang w:val="cs-CZ"/>
        </w:rPr>
        <w:t>Metastazující kolorektální karcinom (CRC)</w:t>
      </w:r>
    </w:p>
    <w:p w14:paraId="7D4577C2" w14:textId="77777777" w:rsidR="00356F6E" w:rsidRPr="00CA33A2" w:rsidRDefault="00356F6E" w:rsidP="00CA33A2">
      <w:pPr>
        <w:pStyle w:val="BayerBodyTextFull"/>
        <w:spacing w:before="0" w:after="0"/>
        <w:rPr>
          <w:sz w:val="22"/>
          <w:szCs w:val="22"/>
          <w:lang w:val="cs-CZ"/>
        </w:rPr>
      </w:pPr>
      <w:r w:rsidRPr="00CA33A2">
        <w:rPr>
          <w:sz w:val="22"/>
          <w:szCs w:val="22"/>
          <w:lang w:val="cs-CZ"/>
        </w:rPr>
        <w:t xml:space="preserve">Klinická účinnost a bezpečnost přípravku </w:t>
      </w:r>
      <w:proofErr w:type="spellStart"/>
      <w:r w:rsidRPr="00CA33A2">
        <w:rPr>
          <w:sz w:val="22"/>
          <w:szCs w:val="22"/>
          <w:lang w:val="cs-CZ"/>
        </w:rPr>
        <w:t>Stivarga</w:t>
      </w:r>
      <w:proofErr w:type="spellEnd"/>
      <w:r w:rsidRPr="00CA33A2">
        <w:rPr>
          <w:sz w:val="22"/>
          <w:szCs w:val="22"/>
          <w:lang w:val="cs-CZ"/>
        </w:rPr>
        <w:t xml:space="preserve"> byla hodnocena v mezinárodní, multicentrické, randomizované, dvojitě zaslepené, placebem kontrolované studii fáze III (CORRECT) u pacientů s metastazujícím kolorektálním karcinomem, u kterých došlo k progresi po selhání standardní léčby.</w:t>
      </w:r>
    </w:p>
    <w:p w14:paraId="7D4577C3" w14:textId="77777777" w:rsidR="00356F6E" w:rsidRPr="003D520D" w:rsidRDefault="00356F6E" w:rsidP="00D707AB">
      <w:pPr>
        <w:spacing w:after="0"/>
        <w:rPr>
          <w:szCs w:val="22"/>
          <w:lang w:val="cs-CZ"/>
        </w:rPr>
      </w:pPr>
    </w:p>
    <w:p w14:paraId="7D4577C4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Primární cílový </w:t>
      </w:r>
      <w:r w:rsidR="003711F4">
        <w:rPr>
          <w:sz w:val="22"/>
          <w:szCs w:val="22"/>
          <w:lang w:val="cs-CZ"/>
        </w:rPr>
        <w:t>parametr</w:t>
      </w:r>
      <w:r w:rsidRPr="003D520D">
        <w:rPr>
          <w:sz w:val="22"/>
          <w:szCs w:val="22"/>
          <w:lang w:val="cs-CZ"/>
        </w:rPr>
        <w:t xml:space="preserve"> účinnosti bylo celkové </w:t>
      </w:r>
      <w:r w:rsidR="008708A4" w:rsidRPr="003D520D">
        <w:rPr>
          <w:sz w:val="22"/>
          <w:szCs w:val="22"/>
          <w:lang w:val="cs-CZ"/>
        </w:rPr>
        <w:t>přežití</w:t>
      </w:r>
      <w:r w:rsidRPr="003D520D">
        <w:rPr>
          <w:sz w:val="22"/>
          <w:szCs w:val="22"/>
          <w:lang w:val="cs-CZ"/>
        </w:rPr>
        <w:t xml:space="preserve"> (OS). Sekundární cílové </w:t>
      </w:r>
      <w:r w:rsidR="003711F4">
        <w:rPr>
          <w:sz w:val="22"/>
          <w:szCs w:val="22"/>
          <w:lang w:val="cs-CZ"/>
        </w:rPr>
        <w:t>parametry</w:t>
      </w:r>
      <w:r w:rsidRPr="003D520D">
        <w:rPr>
          <w:sz w:val="22"/>
          <w:szCs w:val="22"/>
          <w:lang w:val="cs-CZ"/>
        </w:rPr>
        <w:t xml:space="preserve"> byly </w:t>
      </w:r>
      <w:r w:rsidR="008708A4" w:rsidRPr="003D520D">
        <w:rPr>
          <w:sz w:val="22"/>
          <w:szCs w:val="22"/>
          <w:lang w:val="cs-CZ"/>
        </w:rPr>
        <w:t>přežití</w:t>
      </w:r>
      <w:r w:rsidRPr="003D520D">
        <w:rPr>
          <w:sz w:val="22"/>
          <w:szCs w:val="22"/>
          <w:lang w:val="cs-CZ"/>
        </w:rPr>
        <w:t xml:space="preserve"> bez progrese (PFS), </w:t>
      </w:r>
      <w:r w:rsidR="003711F4">
        <w:rPr>
          <w:sz w:val="22"/>
          <w:szCs w:val="22"/>
          <w:lang w:val="cs-CZ"/>
        </w:rPr>
        <w:t>míra</w:t>
      </w:r>
      <w:r w:rsidRPr="003D520D">
        <w:rPr>
          <w:sz w:val="22"/>
          <w:szCs w:val="22"/>
          <w:lang w:val="cs-CZ"/>
        </w:rPr>
        <w:t xml:space="preserve"> objektivní nádorové odpovědi</w:t>
      </w:r>
      <w:r w:rsidR="005F7ABD">
        <w:rPr>
          <w:sz w:val="22"/>
          <w:szCs w:val="22"/>
          <w:lang w:val="cs-CZ"/>
        </w:rPr>
        <w:t xml:space="preserve"> (ORR)</w:t>
      </w:r>
      <w:r w:rsidRPr="003D520D">
        <w:rPr>
          <w:sz w:val="22"/>
          <w:szCs w:val="22"/>
          <w:lang w:val="cs-CZ"/>
        </w:rPr>
        <w:t xml:space="preserve"> a </w:t>
      </w:r>
      <w:r w:rsidR="003711F4">
        <w:rPr>
          <w:sz w:val="22"/>
          <w:szCs w:val="22"/>
          <w:lang w:val="cs-CZ"/>
        </w:rPr>
        <w:t xml:space="preserve">míra </w:t>
      </w:r>
      <w:r w:rsidRPr="003D520D">
        <w:rPr>
          <w:sz w:val="22"/>
          <w:szCs w:val="22"/>
          <w:lang w:val="cs-CZ"/>
        </w:rPr>
        <w:t>kontrol</w:t>
      </w:r>
      <w:r w:rsidR="003711F4">
        <w:rPr>
          <w:sz w:val="22"/>
          <w:szCs w:val="22"/>
          <w:lang w:val="cs-CZ"/>
        </w:rPr>
        <w:t>y</w:t>
      </w:r>
      <w:r w:rsidRPr="003D520D">
        <w:rPr>
          <w:sz w:val="22"/>
          <w:szCs w:val="22"/>
          <w:lang w:val="cs-CZ"/>
        </w:rPr>
        <w:t xml:space="preserve"> onemocnění</w:t>
      </w:r>
      <w:r w:rsidR="005F7ABD">
        <w:rPr>
          <w:sz w:val="22"/>
          <w:szCs w:val="22"/>
          <w:lang w:val="cs-CZ"/>
        </w:rPr>
        <w:t xml:space="preserve"> (DCR)</w:t>
      </w:r>
      <w:r w:rsidRPr="003D520D">
        <w:rPr>
          <w:sz w:val="22"/>
          <w:szCs w:val="22"/>
          <w:lang w:val="cs-CZ"/>
        </w:rPr>
        <w:t xml:space="preserve">. </w:t>
      </w:r>
    </w:p>
    <w:p w14:paraId="7D4577C5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7C6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Celkem bylo randomizováno 760</w:t>
      </w:r>
      <w:r w:rsidR="0005018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pacientů v poměru 2:1 do léčby pomocí 160</w:t>
      </w:r>
      <w:r w:rsidR="0005018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mg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(4</w:t>
      </w:r>
      <w:r w:rsidR="0005018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tablety přípravku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>, každá o obsahu 40</w:t>
      </w:r>
      <w:r w:rsidR="0005018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mg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>) perorálně jednou denně (</w:t>
      </w:r>
      <w:r w:rsidR="009E2C94">
        <w:rPr>
          <w:sz w:val="22"/>
          <w:szCs w:val="22"/>
          <w:lang w:val="cs-CZ"/>
        </w:rPr>
        <w:t>n</w:t>
      </w:r>
      <w:r w:rsidRPr="003D520D">
        <w:rPr>
          <w:sz w:val="22"/>
          <w:szCs w:val="22"/>
          <w:lang w:val="cs-CZ"/>
        </w:rPr>
        <w:t>=505) plus nejlepší podpůrná péče (BSC) nebo do odpovídajícího placeba (</w:t>
      </w:r>
      <w:r w:rsidR="009E2C94">
        <w:rPr>
          <w:sz w:val="22"/>
          <w:szCs w:val="22"/>
          <w:lang w:val="cs-CZ"/>
        </w:rPr>
        <w:t>n</w:t>
      </w:r>
      <w:r w:rsidRPr="003D520D">
        <w:rPr>
          <w:sz w:val="22"/>
          <w:szCs w:val="22"/>
          <w:lang w:val="cs-CZ"/>
        </w:rPr>
        <w:t>=255) plus BSC po dobu 3</w:t>
      </w:r>
      <w:r w:rsidR="0005018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týdnů léčby s následným týdnem bez léčby. Průměrná denní dávka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byla 147</w:t>
      </w:r>
      <w:r w:rsidR="0005018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mg.</w:t>
      </w:r>
    </w:p>
    <w:p w14:paraId="7D4577C7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7C8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Pacienti pokračovali v léčbě až do progrese onemocnění nebo nepřijatelné toxicity. Předem plánovaná průběžná analýza účinnosti byla provedena při výskytu 432 úmrtí. Studie byla </w:t>
      </w:r>
      <w:proofErr w:type="spellStart"/>
      <w:r w:rsidRPr="003D520D">
        <w:rPr>
          <w:sz w:val="22"/>
          <w:szCs w:val="22"/>
          <w:lang w:val="cs-CZ"/>
        </w:rPr>
        <w:t>odslepena</w:t>
      </w:r>
      <w:proofErr w:type="spellEnd"/>
      <w:r w:rsidRPr="003D520D">
        <w:rPr>
          <w:sz w:val="22"/>
          <w:szCs w:val="22"/>
          <w:lang w:val="cs-CZ"/>
        </w:rPr>
        <w:t xml:space="preserve"> poté, co tato plánovaná průběžná analýza celkového </w:t>
      </w:r>
      <w:r w:rsidR="008708A4" w:rsidRPr="003D520D">
        <w:rPr>
          <w:sz w:val="22"/>
          <w:szCs w:val="22"/>
          <w:lang w:val="cs-CZ"/>
        </w:rPr>
        <w:t>přežití</w:t>
      </w:r>
      <w:r w:rsidRPr="003D520D">
        <w:rPr>
          <w:sz w:val="22"/>
          <w:szCs w:val="22"/>
          <w:lang w:val="cs-CZ"/>
        </w:rPr>
        <w:t xml:space="preserve"> překročila předem specifikovanou hranici účinnosti. </w:t>
      </w:r>
    </w:p>
    <w:p w14:paraId="7D4577C9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7CA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U 760 randomizovaných pacientů byl </w:t>
      </w:r>
      <w:r w:rsidR="00384917" w:rsidRPr="003D520D">
        <w:rPr>
          <w:sz w:val="22"/>
          <w:szCs w:val="22"/>
          <w:lang w:val="cs-CZ"/>
        </w:rPr>
        <w:t>medián</w:t>
      </w:r>
      <w:r w:rsidRPr="003D520D">
        <w:rPr>
          <w:sz w:val="22"/>
          <w:szCs w:val="22"/>
          <w:lang w:val="cs-CZ"/>
        </w:rPr>
        <w:t xml:space="preserve"> věk</w:t>
      </w:r>
      <w:r w:rsidR="00384917" w:rsidRPr="003D520D">
        <w:rPr>
          <w:sz w:val="22"/>
          <w:szCs w:val="22"/>
          <w:lang w:val="cs-CZ"/>
        </w:rPr>
        <w:t>u</w:t>
      </w:r>
      <w:r w:rsidRPr="003D520D">
        <w:rPr>
          <w:sz w:val="22"/>
          <w:szCs w:val="22"/>
          <w:lang w:val="cs-CZ"/>
        </w:rPr>
        <w:t xml:space="preserve"> 61 let. 61</w:t>
      </w:r>
      <w:r w:rsidR="0005018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% byli muži, 78</w:t>
      </w:r>
      <w:r w:rsidR="0005018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% byli běloši a všichni pacienti měli výchozí výkonnostní stav ECOG</w:t>
      </w:r>
      <w:r w:rsidR="00A73EFB" w:rsidRPr="003D520D">
        <w:rPr>
          <w:sz w:val="22"/>
          <w:szCs w:val="22"/>
          <w:lang w:val="cs-CZ"/>
        </w:rPr>
        <w:t xml:space="preserve"> (PS)</w:t>
      </w:r>
      <w:r w:rsidRPr="003D520D">
        <w:rPr>
          <w:sz w:val="22"/>
          <w:szCs w:val="22"/>
          <w:lang w:val="cs-CZ"/>
        </w:rPr>
        <w:t xml:space="preserve"> 0 nebo 1. </w:t>
      </w:r>
      <w:r w:rsidR="00A73EFB" w:rsidRPr="003D520D">
        <w:rPr>
          <w:sz w:val="22"/>
          <w:szCs w:val="22"/>
          <w:lang w:val="cs-CZ"/>
        </w:rPr>
        <w:t>PS ≥2 byl hlášen během l</w:t>
      </w:r>
      <w:r w:rsidR="005A4B6B" w:rsidRPr="003D520D">
        <w:rPr>
          <w:sz w:val="22"/>
          <w:szCs w:val="22"/>
          <w:lang w:val="cs-CZ"/>
        </w:rPr>
        <w:t xml:space="preserve">éčby přípravkem </w:t>
      </w:r>
      <w:proofErr w:type="spellStart"/>
      <w:r w:rsidR="005A4B6B" w:rsidRPr="003D520D">
        <w:rPr>
          <w:sz w:val="22"/>
          <w:szCs w:val="22"/>
          <w:lang w:val="cs-CZ"/>
        </w:rPr>
        <w:t>Stivarga</w:t>
      </w:r>
      <w:proofErr w:type="spellEnd"/>
      <w:r w:rsidR="005A4B6B" w:rsidRPr="003D520D">
        <w:rPr>
          <w:sz w:val="22"/>
          <w:szCs w:val="22"/>
          <w:lang w:val="cs-CZ"/>
        </w:rPr>
        <w:t xml:space="preserve"> u 11,4 </w:t>
      </w:r>
      <w:r w:rsidR="00A73EFB" w:rsidRPr="003D520D">
        <w:rPr>
          <w:sz w:val="22"/>
          <w:szCs w:val="22"/>
          <w:lang w:val="cs-CZ"/>
        </w:rPr>
        <w:t xml:space="preserve">% pacientů. </w:t>
      </w:r>
      <w:r w:rsidR="00384917" w:rsidRPr="003D520D">
        <w:rPr>
          <w:sz w:val="22"/>
          <w:szCs w:val="22"/>
          <w:lang w:val="cs-CZ"/>
        </w:rPr>
        <w:t xml:space="preserve">Medián </w:t>
      </w:r>
      <w:r w:rsidR="00A73EFB" w:rsidRPr="003D520D">
        <w:rPr>
          <w:sz w:val="22"/>
          <w:szCs w:val="22"/>
          <w:lang w:val="cs-CZ"/>
        </w:rPr>
        <w:t>dob</w:t>
      </w:r>
      <w:r w:rsidR="00384917" w:rsidRPr="003D520D">
        <w:rPr>
          <w:sz w:val="22"/>
          <w:szCs w:val="22"/>
          <w:lang w:val="cs-CZ"/>
        </w:rPr>
        <w:t>y</w:t>
      </w:r>
      <w:r w:rsidR="00A73EFB" w:rsidRPr="003D520D">
        <w:rPr>
          <w:sz w:val="22"/>
          <w:szCs w:val="22"/>
          <w:lang w:val="cs-CZ"/>
        </w:rPr>
        <w:t xml:space="preserve"> léčby a denní dávk</w:t>
      </w:r>
      <w:r w:rsidR="00384917" w:rsidRPr="003D520D">
        <w:rPr>
          <w:sz w:val="22"/>
          <w:szCs w:val="22"/>
          <w:lang w:val="cs-CZ"/>
        </w:rPr>
        <w:t>y</w:t>
      </w:r>
      <w:r w:rsidR="00A73EFB" w:rsidRPr="003D520D">
        <w:rPr>
          <w:sz w:val="22"/>
          <w:szCs w:val="22"/>
          <w:lang w:val="cs-CZ"/>
        </w:rPr>
        <w:t xml:space="preserve"> a rovněž výskyt</w:t>
      </w:r>
      <w:r w:rsidR="00384917" w:rsidRPr="003D520D">
        <w:rPr>
          <w:sz w:val="22"/>
          <w:szCs w:val="22"/>
          <w:lang w:val="cs-CZ"/>
        </w:rPr>
        <w:t>u</w:t>
      </w:r>
      <w:r w:rsidR="00A73EFB" w:rsidRPr="003D520D">
        <w:rPr>
          <w:sz w:val="22"/>
          <w:szCs w:val="22"/>
          <w:lang w:val="cs-CZ"/>
        </w:rPr>
        <w:t xml:space="preserve"> </w:t>
      </w:r>
      <w:r w:rsidR="00A73EFB" w:rsidRPr="003D520D">
        <w:rPr>
          <w:sz w:val="22"/>
          <w:szCs w:val="22"/>
          <w:lang w:val="cs-CZ"/>
        </w:rPr>
        <w:lastRenderedPageBreak/>
        <w:t>modifikace a snížení dávky byly podobné jako u pacientů s hlášeným PS ≥2</w:t>
      </w:r>
      <w:r w:rsidR="005A4B6B" w:rsidRPr="003D520D">
        <w:rPr>
          <w:sz w:val="22"/>
          <w:szCs w:val="22"/>
          <w:lang w:val="cs-CZ"/>
        </w:rPr>
        <w:t>, kteří užívali placebo (8,3 </w:t>
      </w:r>
      <w:r w:rsidR="00A73EFB" w:rsidRPr="003D520D">
        <w:rPr>
          <w:sz w:val="22"/>
          <w:szCs w:val="22"/>
          <w:lang w:val="cs-CZ"/>
        </w:rPr>
        <w:t xml:space="preserve">%). Většina pacientů s PS ≥2 ukončila léčbu pro progresi onemocnění. </w:t>
      </w:r>
      <w:r w:rsidRPr="003D520D">
        <w:rPr>
          <w:sz w:val="22"/>
          <w:szCs w:val="22"/>
          <w:lang w:val="cs-CZ"/>
        </w:rPr>
        <w:t>Primární lokalizace onemocnění bylo tlusté střevo (65</w:t>
      </w:r>
      <w:r w:rsidR="0005018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%), rektum (29</w:t>
      </w:r>
      <w:r w:rsidR="0005018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%) nebo obě (6</w:t>
      </w:r>
      <w:r w:rsidR="0005018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%). </w:t>
      </w:r>
      <w:r w:rsidR="00384917" w:rsidRPr="003D520D">
        <w:rPr>
          <w:sz w:val="22"/>
          <w:szCs w:val="22"/>
          <w:lang w:val="cs-CZ"/>
        </w:rPr>
        <w:t>M</w:t>
      </w:r>
      <w:r w:rsidRPr="003D520D">
        <w:rPr>
          <w:sz w:val="22"/>
          <w:szCs w:val="22"/>
          <w:lang w:val="cs-CZ"/>
        </w:rPr>
        <w:t>utace</w:t>
      </w:r>
      <w:r w:rsidR="00384917" w:rsidRPr="003D520D">
        <w:rPr>
          <w:sz w:val="22"/>
          <w:szCs w:val="22"/>
          <w:lang w:val="cs-CZ"/>
        </w:rPr>
        <w:t xml:space="preserve"> KRAS</w:t>
      </w:r>
      <w:r w:rsidRPr="003D520D">
        <w:rPr>
          <w:sz w:val="22"/>
          <w:szCs w:val="22"/>
          <w:lang w:val="cs-CZ"/>
        </w:rPr>
        <w:t xml:space="preserve"> byla hlášena u 57</w:t>
      </w:r>
      <w:r w:rsidR="0005018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% pacientů při vstupu do studie.</w:t>
      </w:r>
    </w:p>
    <w:p w14:paraId="7D4577CB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7CC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Většina pacientů</w:t>
      </w:r>
      <w:r w:rsidR="005A4B6B" w:rsidRPr="003D520D">
        <w:rPr>
          <w:sz w:val="22"/>
          <w:szCs w:val="22"/>
          <w:lang w:val="cs-CZ"/>
        </w:rPr>
        <w:t xml:space="preserve"> (52 </w:t>
      </w:r>
      <w:r w:rsidR="00B37C4F" w:rsidRPr="003D520D">
        <w:rPr>
          <w:sz w:val="22"/>
          <w:szCs w:val="22"/>
          <w:lang w:val="cs-CZ"/>
        </w:rPr>
        <w:t>%)</w:t>
      </w:r>
      <w:r w:rsidRPr="003D520D">
        <w:rPr>
          <w:sz w:val="22"/>
          <w:szCs w:val="22"/>
          <w:lang w:val="cs-CZ"/>
        </w:rPr>
        <w:t xml:space="preserve"> dostala 3 nebo méně předchozích linií léčby metastazujícího onemocnění. Léčb</w:t>
      </w:r>
      <w:r w:rsidR="001C48C4" w:rsidRPr="003D520D">
        <w:rPr>
          <w:sz w:val="22"/>
          <w:szCs w:val="22"/>
          <w:lang w:val="cs-CZ"/>
        </w:rPr>
        <w:t>a</w:t>
      </w:r>
      <w:r w:rsidRPr="003D520D">
        <w:rPr>
          <w:sz w:val="22"/>
          <w:szCs w:val="22"/>
          <w:lang w:val="cs-CZ"/>
        </w:rPr>
        <w:t xml:space="preserve"> zahrnoval</w:t>
      </w:r>
      <w:r w:rsidR="001C48C4" w:rsidRPr="003D520D">
        <w:rPr>
          <w:sz w:val="22"/>
          <w:szCs w:val="22"/>
          <w:lang w:val="cs-CZ"/>
        </w:rPr>
        <w:t>a</w:t>
      </w:r>
      <w:r w:rsidRPr="003D520D">
        <w:rPr>
          <w:sz w:val="22"/>
          <w:szCs w:val="22"/>
          <w:lang w:val="cs-CZ"/>
        </w:rPr>
        <w:t xml:space="preserve"> chemoterapi</w:t>
      </w:r>
      <w:r w:rsidR="001C48C4" w:rsidRPr="003D520D">
        <w:rPr>
          <w:sz w:val="22"/>
          <w:szCs w:val="22"/>
          <w:lang w:val="cs-CZ"/>
        </w:rPr>
        <w:t>i</w:t>
      </w:r>
      <w:r w:rsidRPr="003D520D">
        <w:rPr>
          <w:sz w:val="22"/>
          <w:szCs w:val="22"/>
          <w:lang w:val="cs-CZ"/>
        </w:rPr>
        <w:t xml:space="preserve"> na bázi </w:t>
      </w:r>
      <w:proofErr w:type="spellStart"/>
      <w:r w:rsidRPr="003D520D">
        <w:rPr>
          <w:sz w:val="22"/>
          <w:szCs w:val="22"/>
          <w:lang w:val="cs-CZ"/>
        </w:rPr>
        <w:t>fluoropyrimidinu</w:t>
      </w:r>
      <w:proofErr w:type="spellEnd"/>
      <w:r w:rsidRPr="003D520D">
        <w:rPr>
          <w:sz w:val="22"/>
          <w:szCs w:val="22"/>
          <w:lang w:val="cs-CZ"/>
        </w:rPr>
        <w:t>, anti</w:t>
      </w:r>
      <w:r w:rsidR="005A4B6B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 xml:space="preserve">VEGF léčbu a </w:t>
      </w:r>
      <w:r w:rsidR="001C48C4" w:rsidRPr="003D520D">
        <w:rPr>
          <w:sz w:val="22"/>
          <w:szCs w:val="22"/>
          <w:lang w:val="cs-CZ"/>
        </w:rPr>
        <w:t>v případě divokého typu (</w:t>
      </w:r>
      <w:proofErr w:type="spellStart"/>
      <w:r w:rsidR="001C48C4" w:rsidRPr="003D520D">
        <w:rPr>
          <w:sz w:val="22"/>
          <w:szCs w:val="22"/>
          <w:lang w:val="cs-CZ"/>
        </w:rPr>
        <w:t>wild</w:t>
      </w:r>
      <w:proofErr w:type="spellEnd"/>
      <w:r w:rsidR="001C48C4" w:rsidRPr="003D520D">
        <w:rPr>
          <w:sz w:val="22"/>
          <w:szCs w:val="22"/>
          <w:lang w:val="cs-CZ"/>
        </w:rPr>
        <w:t xml:space="preserve"> type) onkogenu KRAS</w:t>
      </w:r>
      <w:r w:rsidR="00596A5E" w:rsidRPr="003D520D">
        <w:rPr>
          <w:sz w:val="22"/>
          <w:szCs w:val="22"/>
          <w:lang w:val="cs-CZ"/>
        </w:rPr>
        <w:t xml:space="preserve"> anti</w:t>
      </w:r>
      <w:r w:rsidR="00596A5E" w:rsidRPr="003D520D">
        <w:rPr>
          <w:sz w:val="22"/>
          <w:szCs w:val="22"/>
          <w:lang w:val="cs-CZ"/>
        </w:rPr>
        <w:noBreakHyphen/>
        <w:t>EGFR léčbu</w:t>
      </w:r>
      <w:r w:rsidR="0033032E" w:rsidRPr="003D520D">
        <w:rPr>
          <w:sz w:val="22"/>
          <w:szCs w:val="22"/>
          <w:lang w:val="cs-CZ"/>
        </w:rPr>
        <w:t>.</w:t>
      </w:r>
    </w:p>
    <w:p w14:paraId="7D4577CD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7CE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Přidání přípravku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 k BSC vedlo k významně delšímu pře</w:t>
      </w:r>
      <w:r w:rsidR="00FF2CBF" w:rsidRPr="003D520D">
        <w:rPr>
          <w:sz w:val="22"/>
          <w:szCs w:val="22"/>
          <w:lang w:val="cs-CZ"/>
        </w:rPr>
        <w:t>žití</w:t>
      </w:r>
      <w:r w:rsidRPr="003D520D">
        <w:rPr>
          <w:sz w:val="22"/>
          <w:szCs w:val="22"/>
          <w:lang w:val="cs-CZ"/>
        </w:rPr>
        <w:t xml:space="preserve"> ve srovnání s placebem plus BSC s</w:t>
      </w:r>
      <w:r w:rsidR="00C75951">
        <w:rPr>
          <w:sz w:val="22"/>
          <w:szCs w:val="22"/>
          <w:lang w:val="cs-CZ"/>
        </w:rPr>
        <w:t xml:space="preserve"> p hodnotou</w:t>
      </w:r>
      <w:r w:rsidRPr="003D520D">
        <w:rPr>
          <w:sz w:val="22"/>
          <w:szCs w:val="22"/>
          <w:lang w:val="cs-CZ"/>
        </w:rPr>
        <w:t xml:space="preserve"> 0,005178</w:t>
      </w:r>
      <w:r w:rsidR="00C75951">
        <w:rPr>
          <w:sz w:val="22"/>
          <w:szCs w:val="22"/>
          <w:lang w:val="cs-CZ"/>
        </w:rPr>
        <w:t xml:space="preserve"> ze </w:t>
      </w:r>
      <w:r w:rsidRPr="003D520D">
        <w:rPr>
          <w:sz w:val="22"/>
          <w:szCs w:val="22"/>
          <w:lang w:val="cs-CZ"/>
        </w:rPr>
        <w:t>stratifikovan</w:t>
      </w:r>
      <w:r w:rsidR="00C75951">
        <w:rPr>
          <w:sz w:val="22"/>
          <w:szCs w:val="22"/>
          <w:lang w:val="cs-CZ"/>
        </w:rPr>
        <w:t>ého</w:t>
      </w:r>
      <w:r w:rsidRPr="003D520D">
        <w:rPr>
          <w:sz w:val="22"/>
          <w:szCs w:val="22"/>
          <w:lang w:val="cs-CZ"/>
        </w:rPr>
        <w:t xml:space="preserve"> log rank test</w:t>
      </w:r>
      <w:r w:rsidR="00C75951">
        <w:rPr>
          <w:sz w:val="22"/>
          <w:szCs w:val="22"/>
          <w:lang w:val="cs-CZ"/>
        </w:rPr>
        <w:t>u</w:t>
      </w:r>
      <w:r w:rsidR="00203B5D">
        <w:rPr>
          <w:sz w:val="22"/>
          <w:szCs w:val="22"/>
          <w:lang w:val="cs-CZ"/>
        </w:rPr>
        <w:t>,</w:t>
      </w:r>
      <w:r w:rsidRPr="003D520D">
        <w:rPr>
          <w:sz w:val="22"/>
          <w:szCs w:val="22"/>
          <w:lang w:val="cs-CZ"/>
        </w:rPr>
        <w:t xml:space="preserve"> </w:t>
      </w:r>
      <w:r w:rsidR="00C75951">
        <w:rPr>
          <w:sz w:val="22"/>
          <w:szCs w:val="22"/>
          <w:lang w:val="cs-CZ"/>
        </w:rPr>
        <w:t xml:space="preserve">poměrem rizik 0,774 </w:t>
      </w:r>
      <w:r w:rsidR="00C75951" w:rsidRPr="003D520D">
        <w:rPr>
          <w:sz w:val="22"/>
          <w:szCs w:val="22"/>
          <w:lang w:val="cs-CZ"/>
        </w:rPr>
        <w:t>[95 % CI 0,636, 0,942]</w:t>
      </w:r>
      <w:r w:rsidR="00C75951">
        <w:rPr>
          <w:sz w:val="22"/>
          <w:szCs w:val="22"/>
          <w:lang w:val="cs-CZ"/>
        </w:rPr>
        <w:t xml:space="preserve"> a </w:t>
      </w:r>
      <w:r w:rsidRPr="003D520D">
        <w:rPr>
          <w:sz w:val="22"/>
          <w:szCs w:val="22"/>
          <w:lang w:val="cs-CZ"/>
        </w:rPr>
        <w:t xml:space="preserve">mediánem OS 6,4 měsíců vs. 5,0 měsíců (viz </w:t>
      </w:r>
      <w:r w:rsidR="00DB3F49">
        <w:rPr>
          <w:sz w:val="22"/>
          <w:szCs w:val="22"/>
          <w:lang w:val="cs-CZ"/>
        </w:rPr>
        <w:t>t</w:t>
      </w:r>
      <w:r w:rsidRPr="003D520D">
        <w:rPr>
          <w:sz w:val="22"/>
          <w:szCs w:val="22"/>
          <w:lang w:val="cs-CZ"/>
        </w:rPr>
        <w:t>abulka</w:t>
      </w:r>
      <w:r w:rsidR="005A4B6B" w:rsidRPr="003D520D">
        <w:rPr>
          <w:sz w:val="22"/>
          <w:szCs w:val="22"/>
          <w:lang w:val="cs-CZ"/>
        </w:rPr>
        <w:t> </w:t>
      </w:r>
      <w:r w:rsidR="00C75951">
        <w:rPr>
          <w:sz w:val="22"/>
          <w:szCs w:val="22"/>
          <w:lang w:val="cs-CZ"/>
        </w:rPr>
        <w:t>5</w:t>
      </w:r>
      <w:r w:rsidR="000C649F" w:rsidRPr="003D520D">
        <w:rPr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 xml:space="preserve">a </w:t>
      </w:r>
      <w:r w:rsidR="00DB3F49">
        <w:rPr>
          <w:sz w:val="22"/>
          <w:szCs w:val="22"/>
          <w:lang w:val="cs-CZ"/>
        </w:rPr>
        <w:t>o</w:t>
      </w:r>
      <w:r w:rsidRPr="003D520D">
        <w:rPr>
          <w:sz w:val="22"/>
          <w:szCs w:val="22"/>
          <w:lang w:val="cs-CZ"/>
        </w:rPr>
        <w:t>brázek</w:t>
      </w:r>
      <w:r w:rsidR="005A4B6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1). PFS bylo významně delší u pacientů, kteří byli léčeni přípravkem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 plus nejlepší podpůrnou péčí (BSC) (</w:t>
      </w:r>
      <w:r w:rsidR="00B37C4F" w:rsidRPr="003D520D">
        <w:rPr>
          <w:sz w:val="22"/>
          <w:szCs w:val="22"/>
          <w:lang w:val="cs-CZ"/>
        </w:rPr>
        <w:t>poměr rizik</w:t>
      </w:r>
      <w:r w:rsidRPr="003D520D">
        <w:rPr>
          <w:sz w:val="22"/>
          <w:szCs w:val="22"/>
          <w:lang w:val="cs-CZ"/>
        </w:rPr>
        <w:t>: 0,494, p</w:t>
      </w:r>
      <w:r w:rsidR="000F3607" w:rsidRPr="003D520D">
        <w:rPr>
          <w:sz w:val="22"/>
          <w:szCs w:val="22"/>
          <w:lang w:val="cs-CZ"/>
        </w:rPr>
        <w:t> </w:t>
      </w:r>
      <w:proofErr w:type="gramStart"/>
      <w:r w:rsidRPr="003D520D">
        <w:rPr>
          <w:sz w:val="22"/>
          <w:szCs w:val="22"/>
          <w:lang w:val="cs-CZ"/>
        </w:rPr>
        <w:t>&lt;</w:t>
      </w:r>
      <w:r w:rsidR="000F3607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0</w:t>
      </w:r>
      <w:proofErr w:type="gramEnd"/>
      <w:r w:rsidRPr="003D520D">
        <w:rPr>
          <w:sz w:val="22"/>
          <w:szCs w:val="22"/>
          <w:lang w:val="cs-CZ"/>
        </w:rPr>
        <w:t xml:space="preserve">,000001, viz </w:t>
      </w:r>
      <w:r w:rsidR="00DB3F49">
        <w:rPr>
          <w:sz w:val="22"/>
          <w:szCs w:val="22"/>
          <w:lang w:val="cs-CZ"/>
        </w:rPr>
        <w:t>t</w:t>
      </w:r>
      <w:r w:rsidRPr="003D520D">
        <w:rPr>
          <w:sz w:val="22"/>
          <w:szCs w:val="22"/>
          <w:lang w:val="cs-CZ"/>
        </w:rPr>
        <w:t>abulka</w:t>
      </w:r>
      <w:r w:rsidR="00487645" w:rsidRPr="003D520D">
        <w:rPr>
          <w:sz w:val="22"/>
          <w:szCs w:val="22"/>
          <w:lang w:val="cs-CZ"/>
        </w:rPr>
        <w:t> </w:t>
      </w:r>
      <w:r w:rsidR="00C75951">
        <w:rPr>
          <w:sz w:val="22"/>
          <w:szCs w:val="22"/>
          <w:lang w:val="cs-CZ"/>
        </w:rPr>
        <w:t>5</w:t>
      </w:r>
      <w:r w:rsidRPr="003D520D">
        <w:rPr>
          <w:sz w:val="22"/>
          <w:szCs w:val="22"/>
          <w:lang w:val="cs-CZ"/>
        </w:rPr>
        <w:t>).</w:t>
      </w:r>
      <w:r w:rsidR="00B37C4F" w:rsidRPr="003D520D">
        <w:rPr>
          <w:sz w:val="22"/>
          <w:szCs w:val="22"/>
          <w:lang w:val="cs-CZ"/>
        </w:rPr>
        <w:t xml:space="preserve"> </w:t>
      </w:r>
      <w:r w:rsidR="00677AF0" w:rsidRPr="00C87CCD">
        <w:rPr>
          <w:sz w:val="22"/>
          <w:szCs w:val="22"/>
          <w:lang w:val="cs-CZ"/>
        </w:rPr>
        <w:t>Míra</w:t>
      </w:r>
      <w:r w:rsidR="00B37C4F" w:rsidRPr="003D520D">
        <w:rPr>
          <w:sz w:val="22"/>
          <w:szCs w:val="22"/>
          <w:lang w:val="cs-CZ"/>
        </w:rPr>
        <w:t xml:space="preserve"> odpovědi (komplet</w:t>
      </w:r>
      <w:r w:rsidR="005A4B6B" w:rsidRPr="003D520D">
        <w:rPr>
          <w:sz w:val="22"/>
          <w:szCs w:val="22"/>
          <w:lang w:val="cs-CZ"/>
        </w:rPr>
        <w:t xml:space="preserve">ní nebo částečná odpověď) byl 1 % </w:t>
      </w:r>
      <w:r w:rsidR="00F10BE9" w:rsidRPr="003D520D">
        <w:rPr>
          <w:sz w:val="22"/>
          <w:szCs w:val="22"/>
          <w:lang w:val="cs-CZ"/>
        </w:rPr>
        <w:t>pro pacienty léčené příprav</w:t>
      </w:r>
      <w:r w:rsidR="00C83E3F" w:rsidRPr="003D520D">
        <w:rPr>
          <w:sz w:val="22"/>
          <w:szCs w:val="22"/>
          <w:lang w:val="cs-CZ"/>
        </w:rPr>
        <w:t>k</w:t>
      </w:r>
      <w:r w:rsidR="00F10BE9" w:rsidRPr="003D520D">
        <w:rPr>
          <w:sz w:val="22"/>
          <w:szCs w:val="22"/>
          <w:lang w:val="cs-CZ"/>
        </w:rPr>
        <w:t xml:space="preserve">em </w:t>
      </w:r>
      <w:proofErr w:type="spellStart"/>
      <w:r w:rsidR="00F10BE9" w:rsidRPr="003D520D">
        <w:rPr>
          <w:sz w:val="22"/>
          <w:szCs w:val="22"/>
          <w:lang w:val="cs-CZ"/>
        </w:rPr>
        <w:t>Stivarga</w:t>
      </w:r>
      <w:proofErr w:type="spellEnd"/>
      <w:r w:rsidR="00F10BE9" w:rsidRPr="003D520D">
        <w:rPr>
          <w:sz w:val="22"/>
          <w:szCs w:val="22"/>
          <w:lang w:val="cs-CZ"/>
        </w:rPr>
        <w:t xml:space="preserve"> </w:t>
      </w:r>
      <w:r w:rsidR="005A4B6B" w:rsidRPr="003D520D">
        <w:rPr>
          <w:sz w:val="22"/>
          <w:szCs w:val="22"/>
          <w:lang w:val="cs-CZ"/>
        </w:rPr>
        <w:t xml:space="preserve">a </w:t>
      </w:r>
      <w:r w:rsidR="00F10BE9" w:rsidRPr="003D520D">
        <w:rPr>
          <w:sz w:val="22"/>
          <w:szCs w:val="22"/>
          <w:lang w:val="cs-CZ"/>
        </w:rPr>
        <w:t>0,</w:t>
      </w:r>
      <w:r w:rsidR="005A4B6B" w:rsidRPr="003D520D">
        <w:rPr>
          <w:sz w:val="22"/>
          <w:szCs w:val="22"/>
          <w:lang w:val="cs-CZ"/>
        </w:rPr>
        <w:t>4 </w:t>
      </w:r>
      <w:r w:rsidR="00B37C4F" w:rsidRPr="003D520D">
        <w:rPr>
          <w:sz w:val="22"/>
          <w:szCs w:val="22"/>
          <w:lang w:val="cs-CZ"/>
        </w:rPr>
        <w:t xml:space="preserve">% pro pacienty </w:t>
      </w:r>
      <w:r w:rsidR="00897957" w:rsidRPr="003D520D">
        <w:rPr>
          <w:sz w:val="22"/>
          <w:szCs w:val="22"/>
          <w:lang w:val="cs-CZ"/>
        </w:rPr>
        <w:t>užívající placebo</w:t>
      </w:r>
      <w:r w:rsidR="00B17ED7" w:rsidRPr="003D520D">
        <w:rPr>
          <w:sz w:val="22"/>
          <w:szCs w:val="22"/>
          <w:lang w:val="cs-CZ"/>
        </w:rPr>
        <w:t xml:space="preserve"> (</w:t>
      </w:r>
      <w:r w:rsidR="00153F51" w:rsidRPr="003D520D">
        <w:rPr>
          <w:sz w:val="22"/>
          <w:szCs w:val="22"/>
          <w:lang w:val="cs-CZ"/>
        </w:rPr>
        <w:t>p=</w:t>
      </w:r>
      <w:r w:rsidR="00B17ED7" w:rsidRPr="003D520D">
        <w:rPr>
          <w:sz w:val="22"/>
          <w:szCs w:val="22"/>
          <w:lang w:val="cs-CZ"/>
        </w:rPr>
        <w:t>0,188432, 1stranný)</w:t>
      </w:r>
      <w:r w:rsidR="00897957" w:rsidRPr="003D520D">
        <w:rPr>
          <w:sz w:val="22"/>
          <w:szCs w:val="22"/>
          <w:lang w:val="cs-CZ"/>
        </w:rPr>
        <w:t xml:space="preserve">. </w:t>
      </w:r>
      <w:r w:rsidR="007D4208" w:rsidRPr="00C87CCD">
        <w:rPr>
          <w:sz w:val="22"/>
          <w:szCs w:val="22"/>
          <w:lang w:val="cs-CZ"/>
        </w:rPr>
        <w:t>Míra</w:t>
      </w:r>
      <w:r w:rsidR="00897957" w:rsidRPr="003D520D">
        <w:rPr>
          <w:sz w:val="22"/>
          <w:szCs w:val="22"/>
          <w:lang w:val="cs-CZ"/>
        </w:rPr>
        <w:t xml:space="preserve"> kontroly onemocnění </w:t>
      </w:r>
      <w:r w:rsidR="005F7ABD">
        <w:rPr>
          <w:sz w:val="22"/>
          <w:szCs w:val="22"/>
          <w:lang w:val="cs-CZ"/>
        </w:rPr>
        <w:t xml:space="preserve">DCR </w:t>
      </w:r>
      <w:r w:rsidR="00897957" w:rsidRPr="003D520D">
        <w:rPr>
          <w:sz w:val="22"/>
          <w:szCs w:val="22"/>
          <w:lang w:val="cs-CZ"/>
        </w:rPr>
        <w:t>(kompletní nebo částečná odpověď nebo stabil</w:t>
      </w:r>
      <w:r w:rsidR="00FF2CBF" w:rsidRPr="003D520D">
        <w:rPr>
          <w:sz w:val="22"/>
          <w:szCs w:val="22"/>
          <w:lang w:val="cs-CZ"/>
        </w:rPr>
        <w:t>izace</w:t>
      </w:r>
      <w:r w:rsidR="00897957" w:rsidRPr="003D520D">
        <w:rPr>
          <w:sz w:val="22"/>
          <w:szCs w:val="22"/>
          <w:lang w:val="cs-CZ"/>
        </w:rPr>
        <w:t xml:space="preserve"> onemocnění) by</w:t>
      </w:r>
      <w:r w:rsidR="00897957" w:rsidRPr="00C87CCD">
        <w:rPr>
          <w:sz w:val="22"/>
          <w:szCs w:val="22"/>
          <w:lang w:val="cs-CZ"/>
        </w:rPr>
        <w:t>l</w:t>
      </w:r>
      <w:r w:rsidR="007D4208" w:rsidRPr="00C87CCD">
        <w:rPr>
          <w:sz w:val="22"/>
          <w:szCs w:val="22"/>
          <w:lang w:val="cs-CZ"/>
        </w:rPr>
        <w:t>a</w:t>
      </w:r>
      <w:r w:rsidR="00897957" w:rsidRPr="00C87CCD">
        <w:rPr>
          <w:sz w:val="22"/>
          <w:szCs w:val="22"/>
          <w:lang w:val="cs-CZ"/>
        </w:rPr>
        <w:t xml:space="preserve"> v</w:t>
      </w:r>
      <w:r w:rsidR="00897957" w:rsidRPr="003D520D">
        <w:rPr>
          <w:sz w:val="22"/>
          <w:szCs w:val="22"/>
          <w:lang w:val="cs-CZ"/>
        </w:rPr>
        <w:t>ýznamně vyšší u pacientů léč</w:t>
      </w:r>
      <w:r w:rsidR="005A4B6B" w:rsidRPr="003D520D">
        <w:rPr>
          <w:sz w:val="22"/>
          <w:szCs w:val="22"/>
          <w:lang w:val="cs-CZ"/>
        </w:rPr>
        <w:t xml:space="preserve">ených přípravkem </w:t>
      </w:r>
      <w:proofErr w:type="spellStart"/>
      <w:r w:rsidR="005A4B6B" w:rsidRPr="003D520D">
        <w:rPr>
          <w:sz w:val="22"/>
          <w:szCs w:val="22"/>
          <w:lang w:val="cs-CZ"/>
        </w:rPr>
        <w:t>Stivarga</w:t>
      </w:r>
      <w:proofErr w:type="spellEnd"/>
      <w:r w:rsidR="005A4B6B" w:rsidRPr="003D520D">
        <w:rPr>
          <w:sz w:val="22"/>
          <w:szCs w:val="22"/>
          <w:lang w:val="cs-CZ"/>
        </w:rPr>
        <w:t xml:space="preserve"> (41,0 % vs 14,9 </w:t>
      </w:r>
      <w:r w:rsidR="00897957" w:rsidRPr="003D520D">
        <w:rPr>
          <w:sz w:val="22"/>
          <w:szCs w:val="22"/>
          <w:lang w:val="cs-CZ"/>
        </w:rPr>
        <w:t>%, p</w:t>
      </w:r>
      <w:r w:rsidR="000F3607" w:rsidRPr="003D520D">
        <w:rPr>
          <w:sz w:val="22"/>
          <w:szCs w:val="22"/>
          <w:lang w:val="cs-CZ"/>
        </w:rPr>
        <w:t> </w:t>
      </w:r>
      <w:proofErr w:type="gramStart"/>
      <w:r w:rsidR="00897957" w:rsidRPr="003D520D">
        <w:rPr>
          <w:sz w:val="22"/>
          <w:szCs w:val="22"/>
          <w:lang w:val="cs-CZ"/>
        </w:rPr>
        <w:t>&lt;</w:t>
      </w:r>
      <w:r w:rsidR="000F3607" w:rsidRPr="003D520D">
        <w:rPr>
          <w:sz w:val="22"/>
          <w:szCs w:val="22"/>
          <w:lang w:val="cs-CZ"/>
        </w:rPr>
        <w:t> </w:t>
      </w:r>
      <w:r w:rsidR="00897957" w:rsidRPr="003D520D">
        <w:rPr>
          <w:sz w:val="22"/>
          <w:szCs w:val="22"/>
          <w:lang w:val="cs-CZ"/>
        </w:rPr>
        <w:t>0</w:t>
      </w:r>
      <w:proofErr w:type="gramEnd"/>
      <w:r w:rsidR="00897957" w:rsidRPr="003D520D">
        <w:rPr>
          <w:sz w:val="22"/>
          <w:szCs w:val="22"/>
          <w:lang w:val="cs-CZ"/>
        </w:rPr>
        <w:t>,000001</w:t>
      </w:r>
      <w:r w:rsidR="00B17ED7" w:rsidRPr="003D520D">
        <w:rPr>
          <w:sz w:val="22"/>
          <w:szCs w:val="22"/>
          <w:lang w:val="cs-CZ"/>
        </w:rPr>
        <w:t>, 1stranný</w:t>
      </w:r>
      <w:r w:rsidR="00897957" w:rsidRPr="003D520D">
        <w:rPr>
          <w:sz w:val="22"/>
          <w:szCs w:val="22"/>
          <w:lang w:val="cs-CZ"/>
        </w:rPr>
        <w:t>).</w:t>
      </w:r>
    </w:p>
    <w:p w14:paraId="7D4577CF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7D0" w14:textId="77777777" w:rsidR="00356F6E" w:rsidRPr="003D520D" w:rsidRDefault="00356F6E" w:rsidP="00D707AB">
      <w:pPr>
        <w:keepNext/>
        <w:keepLines/>
        <w:spacing w:after="0"/>
        <w:rPr>
          <w:b/>
          <w:szCs w:val="22"/>
          <w:lang w:val="cs-CZ"/>
        </w:rPr>
      </w:pPr>
      <w:r w:rsidRPr="003D520D">
        <w:rPr>
          <w:b/>
          <w:bCs/>
          <w:szCs w:val="22"/>
          <w:lang w:val="cs-CZ"/>
        </w:rPr>
        <w:t>Tabulka</w:t>
      </w:r>
      <w:r w:rsidR="005A4B6B" w:rsidRPr="003D520D">
        <w:rPr>
          <w:b/>
          <w:bCs/>
          <w:szCs w:val="22"/>
          <w:lang w:val="cs-CZ"/>
        </w:rPr>
        <w:t> </w:t>
      </w:r>
      <w:r w:rsidR="00C75951">
        <w:rPr>
          <w:b/>
          <w:bCs/>
          <w:szCs w:val="22"/>
          <w:lang w:val="cs-CZ"/>
        </w:rPr>
        <w:t>5</w:t>
      </w:r>
      <w:r w:rsidRPr="003D520D">
        <w:rPr>
          <w:b/>
          <w:bCs/>
          <w:szCs w:val="22"/>
          <w:lang w:val="cs-CZ"/>
        </w:rPr>
        <w:t>: Výsledky účinnosti ze studie CORRECT</w:t>
      </w:r>
    </w:p>
    <w:p w14:paraId="7D4577D1" w14:textId="77777777" w:rsidR="00356F6E" w:rsidRPr="003D520D" w:rsidRDefault="00356F6E" w:rsidP="00D707AB">
      <w:pPr>
        <w:keepNext/>
        <w:keepLines/>
        <w:spacing w:after="0"/>
        <w:rPr>
          <w:b/>
          <w:szCs w:val="22"/>
          <w:lang w:val="cs-CZ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771"/>
        <w:gridCol w:w="1610"/>
        <w:gridCol w:w="2058"/>
        <w:gridCol w:w="1531"/>
      </w:tblGrid>
      <w:tr w:rsidR="00356F6E" w:rsidRPr="003D520D" w14:paraId="7D4577D7" w14:textId="77777777" w:rsidTr="00B17ED7">
        <w:trPr>
          <w:trHeight w:val="468"/>
        </w:trPr>
        <w:tc>
          <w:tcPr>
            <w:tcW w:w="1535" w:type="dxa"/>
            <w:vMerge w:val="restart"/>
            <w:vAlign w:val="center"/>
          </w:tcPr>
          <w:p w14:paraId="7D4577D2" w14:textId="77777777" w:rsidR="00356F6E" w:rsidRPr="003D520D" w:rsidRDefault="00356F6E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Parametr účinnosti</w:t>
            </w:r>
          </w:p>
        </w:tc>
        <w:tc>
          <w:tcPr>
            <w:tcW w:w="1771" w:type="dxa"/>
            <w:vMerge w:val="restart"/>
            <w:vAlign w:val="center"/>
          </w:tcPr>
          <w:p w14:paraId="7D4577D3" w14:textId="77777777" w:rsidR="00356F6E" w:rsidRPr="003D520D" w:rsidRDefault="00356F6E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Poměr rizik* (</w:t>
            </w:r>
            <w:proofErr w:type="gramStart"/>
            <w:r w:rsidRPr="003D520D">
              <w:rPr>
                <w:bCs/>
                <w:szCs w:val="22"/>
                <w:lang w:val="cs-CZ"/>
              </w:rPr>
              <w:t>95%</w:t>
            </w:r>
            <w:proofErr w:type="gramEnd"/>
            <w:r w:rsidRPr="003D520D">
              <w:rPr>
                <w:bCs/>
                <w:szCs w:val="22"/>
                <w:lang w:val="cs-CZ"/>
              </w:rPr>
              <w:t xml:space="preserve"> </w:t>
            </w:r>
            <w:r w:rsidR="00EA277E" w:rsidRPr="003D520D">
              <w:rPr>
                <w:bCs/>
                <w:szCs w:val="22"/>
                <w:lang w:val="cs-CZ"/>
              </w:rPr>
              <w:t>CI</w:t>
            </w:r>
            <w:r w:rsidRPr="003D520D">
              <w:rPr>
                <w:bCs/>
                <w:szCs w:val="22"/>
                <w:lang w:val="cs-CZ"/>
              </w:rPr>
              <w:t>)</w:t>
            </w:r>
          </w:p>
        </w:tc>
        <w:tc>
          <w:tcPr>
            <w:tcW w:w="1610" w:type="dxa"/>
            <w:vMerge w:val="restart"/>
            <w:vAlign w:val="center"/>
          </w:tcPr>
          <w:p w14:paraId="7D4577D4" w14:textId="77777777" w:rsidR="00356F6E" w:rsidRPr="003D520D" w:rsidRDefault="00356F6E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P</w:t>
            </w:r>
            <w:r w:rsidR="005A4B6B" w:rsidRPr="003D520D">
              <w:rPr>
                <w:bCs/>
                <w:szCs w:val="22"/>
                <w:lang w:val="cs-CZ"/>
              </w:rPr>
              <w:noBreakHyphen/>
            </w:r>
            <w:r w:rsidRPr="003D520D">
              <w:rPr>
                <w:bCs/>
                <w:szCs w:val="22"/>
                <w:lang w:val="cs-CZ"/>
              </w:rPr>
              <w:t>hodnota</w:t>
            </w:r>
          </w:p>
          <w:p w14:paraId="7D4577D5" w14:textId="77777777" w:rsidR="00356F6E" w:rsidRPr="003D520D" w:rsidRDefault="00356F6E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(jednostranný)</w:t>
            </w:r>
          </w:p>
        </w:tc>
        <w:tc>
          <w:tcPr>
            <w:tcW w:w="3589" w:type="dxa"/>
            <w:gridSpan w:val="2"/>
            <w:vAlign w:val="center"/>
          </w:tcPr>
          <w:p w14:paraId="7D4577D6" w14:textId="77777777" w:rsidR="00356F6E" w:rsidRPr="003D520D" w:rsidRDefault="00356F6E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Medián (</w:t>
            </w:r>
            <w:proofErr w:type="gramStart"/>
            <w:r w:rsidRPr="003D520D">
              <w:rPr>
                <w:bCs/>
                <w:szCs w:val="22"/>
                <w:lang w:val="cs-CZ"/>
              </w:rPr>
              <w:t>95%</w:t>
            </w:r>
            <w:proofErr w:type="gramEnd"/>
            <w:r w:rsidRPr="003D520D">
              <w:rPr>
                <w:bCs/>
                <w:szCs w:val="22"/>
                <w:lang w:val="cs-CZ"/>
              </w:rPr>
              <w:t xml:space="preserve"> </w:t>
            </w:r>
            <w:r w:rsidR="00EA277E" w:rsidRPr="003D520D">
              <w:rPr>
                <w:bCs/>
                <w:szCs w:val="22"/>
                <w:lang w:val="cs-CZ"/>
              </w:rPr>
              <w:t>CI</w:t>
            </w:r>
            <w:r w:rsidRPr="003D520D">
              <w:rPr>
                <w:bCs/>
                <w:szCs w:val="22"/>
                <w:lang w:val="cs-CZ"/>
              </w:rPr>
              <w:t>)</w:t>
            </w:r>
          </w:p>
        </w:tc>
      </w:tr>
      <w:tr w:rsidR="00356F6E" w:rsidRPr="003D520D" w14:paraId="7D4577DF" w14:textId="77777777" w:rsidTr="00B17ED7">
        <w:tc>
          <w:tcPr>
            <w:tcW w:w="1535" w:type="dxa"/>
            <w:vMerge/>
          </w:tcPr>
          <w:p w14:paraId="7D4577D8" w14:textId="77777777" w:rsidR="00356F6E" w:rsidRPr="003D520D" w:rsidRDefault="00356F6E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</w:p>
        </w:tc>
        <w:tc>
          <w:tcPr>
            <w:tcW w:w="1771" w:type="dxa"/>
            <w:vMerge/>
          </w:tcPr>
          <w:p w14:paraId="7D4577D9" w14:textId="77777777" w:rsidR="00356F6E" w:rsidRPr="003D520D" w:rsidRDefault="00356F6E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</w:p>
        </w:tc>
        <w:tc>
          <w:tcPr>
            <w:tcW w:w="1610" w:type="dxa"/>
            <w:vMerge/>
          </w:tcPr>
          <w:p w14:paraId="7D4577DA" w14:textId="77777777" w:rsidR="00356F6E" w:rsidRPr="003D520D" w:rsidRDefault="00356F6E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</w:p>
        </w:tc>
        <w:tc>
          <w:tcPr>
            <w:tcW w:w="2058" w:type="dxa"/>
          </w:tcPr>
          <w:p w14:paraId="7D4577DB" w14:textId="77777777" w:rsidR="00356F6E" w:rsidRPr="003D520D" w:rsidRDefault="00356F6E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proofErr w:type="spellStart"/>
            <w:r w:rsidRPr="003D520D">
              <w:rPr>
                <w:bCs/>
                <w:szCs w:val="22"/>
                <w:lang w:val="cs-CZ"/>
              </w:rPr>
              <w:t>Stivarga</w:t>
            </w:r>
            <w:proofErr w:type="spellEnd"/>
            <w:r w:rsidRPr="003D520D">
              <w:rPr>
                <w:bCs/>
                <w:szCs w:val="22"/>
                <w:lang w:val="cs-CZ"/>
              </w:rPr>
              <w:t xml:space="preserve"> plus BSC</w:t>
            </w:r>
            <w:r w:rsidR="00B17ED7" w:rsidRPr="003D520D">
              <w:rPr>
                <w:rFonts w:eastAsia="MS Mincho"/>
                <w:b w:val="0"/>
                <w:szCs w:val="22"/>
                <w:vertAlign w:val="superscript"/>
              </w:rPr>
              <w:t>§</w:t>
            </w:r>
          </w:p>
          <w:p w14:paraId="7D4577DC" w14:textId="77777777" w:rsidR="00356F6E" w:rsidRPr="003D520D" w:rsidRDefault="00356F6E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(</w:t>
            </w:r>
            <w:r w:rsidR="00FC42F4">
              <w:rPr>
                <w:bCs/>
                <w:szCs w:val="22"/>
                <w:lang w:val="cs-CZ"/>
              </w:rPr>
              <w:t>n</w:t>
            </w:r>
            <w:r w:rsidRPr="003D520D">
              <w:rPr>
                <w:bCs/>
                <w:szCs w:val="22"/>
                <w:lang w:val="cs-CZ"/>
              </w:rPr>
              <w:t>=505)</w:t>
            </w:r>
          </w:p>
        </w:tc>
        <w:tc>
          <w:tcPr>
            <w:tcW w:w="1531" w:type="dxa"/>
          </w:tcPr>
          <w:p w14:paraId="7D4577DD" w14:textId="77777777" w:rsidR="00356F6E" w:rsidRPr="003D520D" w:rsidRDefault="00356F6E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Placebo plus BSC</w:t>
            </w:r>
            <w:r w:rsidR="00B17ED7" w:rsidRPr="003D520D">
              <w:rPr>
                <w:rFonts w:eastAsia="MS Mincho"/>
                <w:b w:val="0"/>
                <w:szCs w:val="22"/>
                <w:vertAlign w:val="superscript"/>
              </w:rPr>
              <w:t>§</w:t>
            </w:r>
          </w:p>
          <w:p w14:paraId="7D4577DE" w14:textId="77777777" w:rsidR="00356F6E" w:rsidRPr="003D520D" w:rsidRDefault="00356F6E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(</w:t>
            </w:r>
            <w:r w:rsidR="00FC42F4">
              <w:rPr>
                <w:bCs/>
                <w:szCs w:val="22"/>
                <w:lang w:val="cs-CZ"/>
              </w:rPr>
              <w:t>n</w:t>
            </w:r>
            <w:r w:rsidRPr="003D520D">
              <w:rPr>
                <w:bCs/>
                <w:szCs w:val="22"/>
                <w:lang w:val="cs-CZ"/>
              </w:rPr>
              <w:t>=255)</w:t>
            </w:r>
          </w:p>
        </w:tc>
      </w:tr>
      <w:tr w:rsidR="00356F6E" w:rsidRPr="003D520D" w14:paraId="7D4577E8" w14:textId="77777777" w:rsidTr="00B17ED7">
        <w:tc>
          <w:tcPr>
            <w:tcW w:w="1535" w:type="dxa"/>
          </w:tcPr>
          <w:p w14:paraId="7D4577E0" w14:textId="77777777" w:rsidR="00356F6E" w:rsidRPr="003D520D" w:rsidRDefault="00360E2D" w:rsidP="00D707AB">
            <w:pPr>
              <w:pStyle w:val="BayerTableRowHeadings"/>
              <w:keepLines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C</w:t>
            </w:r>
            <w:r w:rsidR="00356F6E" w:rsidRPr="003D520D">
              <w:rPr>
                <w:szCs w:val="22"/>
                <w:lang w:val="cs-CZ"/>
              </w:rPr>
              <w:t>elkové přež</w:t>
            </w:r>
            <w:r w:rsidR="008708A4" w:rsidRPr="003D520D">
              <w:rPr>
                <w:szCs w:val="22"/>
                <w:lang w:val="cs-CZ"/>
              </w:rPr>
              <w:t>ití</w:t>
            </w:r>
            <w:r w:rsidR="005F7ABD">
              <w:rPr>
                <w:szCs w:val="22"/>
                <w:lang w:val="cs-CZ"/>
              </w:rPr>
              <w:t xml:space="preserve"> (OS)</w:t>
            </w:r>
          </w:p>
        </w:tc>
        <w:tc>
          <w:tcPr>
            <w:tcW w:w="1771" w:type="dxa"/>
          </w:tcPr>
          <w:p w14:paraId="7D4577E1" w14:textId="77777777" w:rsidR="00356F6E" w:rsidRPr="003D520D" w:rsidRDefault="00B7627C" w:rsidP="00D707AB">
            <w:pPr>
              <w:pStyle w:val="BayerTableStyleLeftJustified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0,</w:t>
            </w:r>
            <w:r w:rsidR="00356F6E" w:rsidRPr="003D520D">
              <w:rPr>
                <w:szCs w:val="22"/>
                <w:lang w:val="cs-CZ"/>
              </w:rPr>
              <w:t xml:space="preserve">774 </w:t>
            </w:r>
          </w:p>
          <w:p w14:paraId="7D4577E2" w14:textId="77777777" w:rsidR="00356F6E" w:rsidRPr="003D520D" w:rsidRDefault="00356F6E" w:rsidP="00D707AB">
            <w:pPr>
              <w:pStyle w:val="BayerTableStyleLeftJustified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(0,636, 0,942)</w:t>
            </w:r>
          </w:p>
        </w:tc>
        <w:tc>
          <w:tcPr>
            <w:tcW w:w="1610" w:type="dxa"/>
          </w:tcPr>
          <w:p w14:paraId="7D4577E3" w14:textId="77777777" w:rsidR="00356F6E" w:rsidRPr="003D520D" w:rsidRDefault="00B7627C" w:rsidP="00D707AB">
            <w:pPr>
              <w:pStyle w:val="BayerTableStyleLeftJustified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0,</w:t>
            </w:r>
            <w:r w:rsidR="00356F6E" w:rsidRPr="003D520D">
              <w:rPr>
                <w:szCs w:val="22"/>
                <w:lang w:val="cs-CZ"/>
              </w:rPr>
              <w:t>005178</w:t>
            </w:r>
          </w:p>
        </w:tc>
        <w:tc>
          <w:tcPr>
            <w:tcW w:w="2058" w:type="dxa"/>
          </w:tcPr>
          <w:p w14:paraId="7D4577E4" w14:textId="77777777" w:rsidR="00356F6E" w:rsidRPr="003D520D" w:rsidRDefault="00356F6E" w:rsidP="00D707AB">
            <w:pPr>
              <w:pStyle w:val="BayerTableStyleLeftJustified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6,4</w:t>
            </w:r>
            <w:r w:rsidR="005A4B6B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měsíců</w:t>
            </w:r>
          </w:p>
          <w:p w14:paraId="7D4577E5" w14:textId="77777777" w:rsidR="00356F6E" w:rsidRPr="003D520D" w:rsidRDefault="00356F6E" w:rsidP="00D707AB">
            <w:pPr>
              <w:pStyle w:val="BayerTableStyleLeftJustified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(5,9, 7,3)</w:t>
            </w:r>
          </w:p>
        </w:tc>
        <w:tc>
          <w:tcPr>
            <w:tcW w:w="1531" w:type="dxa"/>
          </w:tcPr>
          <w:p w14:paraId="7D4577E6" w14:textId="77777777" w:rsidR="00356F6E" w:rsidRPr="003D520D" w:rsidRDefault="00356F6E" w:rsidP="00D707AB">
            <w:pPr>
              <w:pStyle w:val="BayerTableStyleLeftJustified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5,0</w:t>
            </w:r>
            <w:r w:rsidR="005A4B6B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měsíců</w:t>
            </w:r>
          </w:p>
          <w:p w14:paraId="7D4577E7" w14:textId="77777777" w:rsidR="00356F6E" w:rsidRPr="003D520D" w:rsidRDefault="00356F6E" w:rsidP="00D707AB">
            <w:pPr>
              <w:pStyle w:val="BayerTableStyleLeftJustified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(4,4, 5,8)</w:t>
            </w:r>
          </w:p>
        </w:tc>
      </w:tr>
      <w:tr w:rsidR="00356F6E" w:rsidRPr="003D520D" w14:paraId="7D4577F1" w14:textId="77777777" w:rsidTr="00B17ED7">
        <w:tc>
          <w:tcPr>
            <w:tcW w:w="1535" w:type="dxa"/>
          </w:tcPr>
          <w:p w14:paraId="7D4577E9" w14:textId="77777777" w:rsidR="00356F6E" w:rsidRPr="003D520D" w:rsidRDefault="00360E2D" w:rsidP="00D707AB">
            <w:pPr>
              <w:pStyle w:val="BayerTableRowHeadings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D</w:t>
            </w:r>
            <w:r w:rsidR="00356F6E" w:rsidRPr="003D520D">
              <w:rPr>
                <w:szCs w:val="22"/>
                <w:lang w:val="cs-CZ"/>
              </w:rPr>
              <w:t>oba přež</w:t>
            </w:r>
            <w:r w:rsidR="00FF2CBF" w:rsidRPr="003D520D">
              <w:rPr>
                <w:szCs w:val="22"/>
                <w:lang w:val="cs-CZ"/>
              </w:rPr>
              <w:t>ití</w:t>
            </w:r>
            <w:r w:rsidR="00356F6E" w:rsidRPr="003D520D">
              <w:rPr>
                <w:szCs w:val="22"/>
                <w:lang w:val="cs-CZ"/>
              </w:rPr>
              <w:t xml:space="preserve"> bez progrese</w:t>
            </w:r>
            <w:r w:rsidR="005768BB" w:rsidRPr="003D520D">
              <w:rPr>
                <w:szCs w:val="22"/>
                <w:lang w:val="cs-CZ"/>
              </w:rPr>
              <w:t>**</w:t>
            </w:r>
            <w:r w:rsidR="00356F6E" w:rsidRPr="003D520D">
              <w:rPr>
                <w:szCs w:val="22"/>
                <w:lang w:val="cs-CZ"/>
              </w:rPr>
              <w:t xml:space="preserve"> </w:t>
            </w:r>
            <w:r w:rsidR="005F7ABD">
              <w:rPr>
                <w:szCs w:val="22"/>
                <w:lang w:val="cs-CZ"/>
              </w:rPr>
              <w:t>(PFS)</w:t>
            </w:r>
          </w:p>
        </w:tc>
        <w:tc>
          <w:tcPr>
            <w:tcW w:w="1771" w:type="dxa"/>
          </w:tcPr>
          <w:p w14:paraId="7D4577EA" w14:textId="77777777" w:rsidR="00356F6E" w:rsidRPr="003D520D" w:rsidRDefault="00B7627C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0,</w:t>
            </w:r>
            <w:r w:rsidR="00356F6E" w:rsidRPr="003D520D">
              <w:rPr>
                <w:szCs w:val="22"/>
                <w:lang w:val="cs-CZ"/>
              </w:rPr>
              <w:t xml:space="preserve">494 </w:t>
            </w:r>
          </w:p>
          <w:p w14:paraId="7D4577EB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(0,419, 0,582)</w:t>
            </w:r>
          </w:p>
        </w:tc>
        <w:tc>
          <w:tcPr>
            <w:tcW w:w="1610" w:type="dxa"/>
          </w:tcPr>
          <w:p w14:paraId="7D4577EC" w14:textId="77777777" w:rsidR="00356F6E" w:rsidRPr="003D520D" w:rsidRDefault="00B7627C" w:rsidP="00D707AB">
            <w:pPr>
              <w:pStyle w:val="BayerTableStyleLeftJustified"/>
              <w:rPr>
                <w:szCs w:val="22"/>
                <w:lang w:val="cs-CZ"/>
              </w:rPr>
            </w:pPr>
            <w:proofErr w:type="gramStart"/>
            <w:r w:rsidRPr="003D520D">
              <w:rPr>
                <w:szCs w:val="22"/>
                <w:lang w:val="cs-CZ"/>
              </w:rPr>
              <w:t>&lt;</w:t>
            </w:r>
            <w:r w:rsidR="000F3607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0</w:t>
            </w:r>
            <w:proofErr w:type="gramEnd"/>
            <w:r w:rsidRPr="003D520D">
              <w:rPr>
                <w:szCs w:val="22"/>
                <w:lang w:val="cs-CZ"/>
              </w:rPr>
              <w:t>,</w:t>
            </w:r>
            <w:r w:rsidR="00356F6E" w:rsidRPr="003D520D">
              <w:rPr>
                <w:szCs w:val="22"/>
                <w:lang w:val="cs-CZ"/>
              </w:rPr>
              <w:t>000001</w:t>
            </w:r>
          </w:p>
        </w:tc>
        <w:tc>
          <w:tcPr>
            <w:tcW w:w="2058" w:type="dxa"/>
          </w:tcPr>
          <w:p w14:paraId="7D4577ED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1,9</w:t>
            </w:r>
            <w:r w:rsidR="005A4B6B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měsíců</w:t>
            </w:r>
          </w:p>
          <w:p w14:paraId="7D4577EE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(1,9, 2,1)</w:t>
            </w:r>
          </w:p>
        </w:tc>
        <w:tc>
          <w:tcPr>
            <w:tcW w:w="1531" w:type="dxa"/>
          </w:tcPr>
          <w:p w14:paraId="7D4577EF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1,7</w:t>
            </w:r>
            <w:r w:rsidR="005A4B6B" w:rsidRPr="003D520D">
              <w:rPr>
                <w:szCs w:val="22"/>
                <w:lang w:val="cs-CZ"/>
              </w:rPr>
              <w:t> </w:t>
            </w:r>
            <w:r w:rsidRPr="003D520D">
              <w:rPr>
                <w:szCs w:val="22"/>
                <w:lang w:val="cs-CZ"/>
              </w:rPr>
              <w:t>měsíců</w:t>
            </w:r>
          </w:p>
          <w:p w14:paraId="7D4577F0" w14:textId="77777777" w:rsidR="00356F6E" w:rsidRPr="003D520D" w:rsidRDefault="00356F6E" w:rsidP="00D707AB">
            <w:pPr>
              <w:pStyle w:val="BayerTableStyleLeftJustified"/>
              <w:rPr>
                <w:szCs w:val="22"/>
                <w:lang w:val="cs-CZ"/>
              </w:rPr>
            </w:pPr>
            <w:r w:rsidRPr="003D520D">
              <w:rPr>
                <w:szCs w:val="22"/>
                <w:lang w:val="cs-CZ"/>
              </w:rPr>
              <w:t>(1,7, 1,7)</w:t>
            </w:r>
          </w:p>
        </w:tc>
      </w:tr>
    </w:tbl>
    <w:p w14:paraId="7D4577F2" w14:textId="77777777" w:rsidR="00B17ED7" w:rsidRPr="003D520D" w:rsidRDefault="00B17ED7" w:rsidP="00D707AB">
      <w:pPr>
        <w:pStyle w:val="Titulek"/>
        <w:spacing w:after="0"/>
        <w:jc w:val="left"/>
        <w:rPr>
          <w:i w:val="0"/>
          <w:sz w:val="22"/>
          <w:szCs w:val="22"/>
          <w:lang w:val="cs-CZ"/>
        </w:rPr>
      </w:pPr>
      <w:r w:rsidRPr="003D520D">
        <w:rPr>
          <w:rFonts w:eastAsia="MS Mincho"/>
          <w:i w:val="0"/>
          <w:sz w:val="22"/>
          <w:szCs w:val="22"/>
          <w:vertAlign w:val="superscript"/>
          <w:lang w:eastAsia="en-US"/>
        </w:rPr>
        <w:t>§</w:t>
      </w:r>
      <w:r w:rsidRPr="003D520D">
        <w:rPr>
          <w:rFonts w:eastAsia="MS Mincho"/>
          <w:i w:val="0"/>
          <w:sz w:val="22"/>
          <w:szCs w:val="22"/>
          <w:lang w:eastAsia="en-US"/>
        </w:rPr>
        <w:t xml:space="preserve"> </w:t>
      </w:r>
      <w:r w:rsidR="00B200BA">
        <w:rPr>
          <w:rFonts w:eastAsia="MS Mincho"/>
          <w:i w:val="0"/>
          <w:sz w:val="22"/>
          <w:szCs w:val="22"/>
          <w:lang w:eastAsia="en-US"/>
        </w:rPr>
        <w:t xml:space="preserve">BSC - </w:t>
      </w:r>
      <w:proofErr w:type="spellStart"/>
      <w:r w:rsidRPr="003D520D">
        <w:rPr>
          <w:rFonts w:eastAsia="MS Mincho"/>
          <w:i w:val="0"/>
          <w:sz w:val="22"/>
          <w:szCs w:val="22"/>
          <w:lang w:eastAsia="en-US"/>
        </w:rPr>
        <w:t>Nejlepší</w:t>
      </w:r>
      <w:proofErr w:type="spellEnd"/>
      <w:r w:rsidRPr="003D520D">
        <w:rPr>
          <w:rFonts w:eastAsia="MS Mincho"/>
          <w:i w:val="0"/>
          <w:sz w:val="22"/>
          <w:szCs w:val="22"/>
          <w:lang w:eastAsia="en-US"/>
        </w:rPr>
        <w:t xml:space="preserve"> </w:t>
      </w:r>
      <w:proofErr w:type="spellStart"/>
      <w:r w:rsidRPr="003D520D">
        <w:rPr>
          <w:rFonts w:eastAsia="MS Mincho"/>
          <w:i w:val="0"/>
          <w:sz w:val="22"/>
          <w:szCs w:val="22"/>
          <w:lang w:eastAsia="en-US"/>
        </w:rPr>
        <w:t>podpůrná</w:t>
      </w:r>
      <w:proofErr w:type="spellEnd"/>
      <w:r w:rsidRPr="003D520D">
        <w:rPr>
          <w:rFonts w:eastAsia="MS Mincho"/>
          <w:i w:val="0"/>
          <w:sz w:val="22"/>
          <w:szCs w:val="22"/>
          <w:lang w:eastAsia="en-US"/>
        </w:rPr>
        <w:t xml:space="preserve"> </w:t>
      </w:r>
      <w:proofErr w:type="spellStart"/>
      <w:r w:rsidRPr="003D520D">
        <w:rPr>
          <w:rFonts w:eastAsia="MS Mincho"/>
          <w:i w:val="0"/>
          <w:sz w:val="22"/>
          <w:szCs w:val="22"/>
          <w:lang w:eastAsia="en-US"/>
        </w:rPr>
        <w:t>péče</w:t>
      </w:r>
      <w:proofErr w:type="spellEnd"/>
    </w:p>
    <w:p w14:paraId="7D4577F3" w14:textId="77777777" w:rsidR="00356F6E" w:rsidRPr="003D520D" w:rsidRDefault="00356F6E" w:rsidP="00D707AB">
      <w:pPr>
        <w:pStyle w:val="Titulek"/>
        <w:spacing w:after="0"/>
        <w:jc w:val="left"/>
        <w:rPr>
          <w:i w:val="0"/>
          <w:sz w:val="22"/>
          <w:szCs w:val="22"/>
          <w:lang w:val="cs-CZ"/>
        </w:rPr>
      </w:pPr>
      <w:r w:rsidRPr="003D520D">
        <w:rPr>
          <w:i w:val="0"/>
          <w:sz w:val="22"/>
          <w:szCs w:val="22"/>
          <w:lang w:val="cs-CZ"/>
        </w:rPr>
        <w:t xml:space="preserve">* Poměr rizik </w:t>
      </w:r>
      <w:proofErr w:type="gramStart"/>
      <w:r w:rsidRPr="003D520D">
        <w:rPr>
          <w:i w:val="0"/>
          <w:sz w:val="22"/>
          <w:szCs w:val="22"/>
          <w:lang w:val="cs-CZ"/>
        </w:rPr>
        <w:t>&lt;</w:t>
      </w:r>
      <w:r w:rsidR="000F3607" w:rsidRPr="003D520D">
        <w:rPr>
          <w:i w:val="0"/>
          <w:sz w:val="22"/>
          <w:szCs w:val="22"/>
          <w:lang w:val="cs-CZ"/>
        </w:rPr>
        <w:t> </w:t>
      </w:r>
      <w:r w:rsidRPr="003D520D">
        <w:rPr>
          <w:i w:val="0"/>
          <w:sz w:val="22"/>
          <w:szCs w:val="22"/>
          <w:lang w:val="cs-CZ"/>
        </w:rPr>
        <w:t>1</w:t>
      </w:r>
      <w:proofErr w:type="gramEnd"/>
      <w:r w:rsidRPr="003D520D">
        <w:rPr>
          <w:i w:val="0"/>
          <w:sz w:val="22"/>
          <w:szCs w:val="22"/>
          <w:lang w:val="cs-CZ"/>
        </w:rPr>
        <w:t xml:space="preserve"> ve prospěch přípravku </w:t>
      </w:r>
      <w:proofErr w:type="spellStart"/>
      <w:r w:rsidRPr="003D520D">
        <w:rPr>
          <w:i w:val="0"/>
          <w:sz w:val="22"/>
          <w:szCs w:val="22"/>
          <w:lang w:val="cs-CZ"/>
        </w:rPr>
        <w:t>Stivarga</w:t>
      </w:r>
      <w:proofErr w:type="spellEnd"/>
    </w:p>
    <w:p w14:paraId="7D4577F4" w14:textId="77777777" w:rsidR="00356F6E" w:rsidRPr="003D520D" w:rsidRDefault="005768BB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>** na základě hodnocení nádorové odpovědi zkoušejícím</w:t>
      </w:r>
    </w:p>
    <w:p w14:paraId="7D4577F5" w14:textId="77777777" w:rsidR="005768BB" w:rsidRPr="003D520D" w:rsidRDefault="005768BB" w:rsidP="00D707AB">
      <w:pPr>
        <w:spacing w:after="0"/>
        <w:rPr>
          <w:b/>
          <w:szCs w:val="22"/>
          <w:lang w:val="cs-CZ"/>
        </w:rPr>
      </w:pPr>
    </w:p>
    <w:p w14:paraId="7D4577F6" w14:textId="77777777" w:rsidR="00356F6E" w:rsidRPr="003D520D" w:rsidRDefault="00356F6E" w:rsidP="00D707AB">
      <w:pPr>
        <w:keepNext/>
        <w:keepLines/>
        <w:spacing w:after="0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lastRenderedPageBreak/>
        <w:t>Obrázek</w:t>
      </w:r>
      <w:r w:rsidR="005A4B6B" w:rsidRPr="003D520D">
        <w:rPr>
          <w:b/>
          <w:bCs/>
          <w:szCs w:val="22"/>
          <w:lang w:val="cs-CZ"/>
        </w:rPr>
        <w:t> </w:t>
      </w:r>
      <w:r w:rsidRPr="003D520D">
        <w:rPr>
          <w:b/>
          <w:bCs/>
          <w:szCs w:val="22"/>
          <w:lang w:val="cs-CZ"/>
        </w:rPr>
        <w:t>1: Kaplan-</w:t>
      </w:r>
      <w:proofErr w:type="spellStart"/>
      <w:r w:rsidR="00D060AC" w:rsidRPr="003D520D">
        <w:rPr>
          <w:b/>
          <w:bCs/>
          <w:szCs w:val="22"/>
          <w:lang w:val="cs-CZ"/>
        </w:rPr>
        <w:t>Meierov</w:t>
      </w:r>
      <w:r w:rsidR="005768BB" w:rsidRPr="003D520D">
        <w:rPr>
          <w:b/>
          <w:bCs/>
          <w:szCs w:val="22"/>
          <w:lang w:val="cs-CZ"/>
        </w:rPr>
        <w:t>a</w:t>
      </w:r>
      <w:proofErr w:type="spellEnd"/>
      <w:r w:rsidR="00D060AC" w:rsidRPr="003D520D">
        <w:rPr>
          <w:b/>
          <w:bCs/>
          <w:szCs w:val="22"/>
          <w:lang w:val="cs-CZ"/>
        </w:rPr>
        <w:t xml:space="preserve"> křivk</w:t>
      </w:r>
      <w:r w:rsidR="005768BB" w:rsidRPr="003D520D">
        <w:rPr>
          <w:b/>
          <w:bCs/>
          <w:szCs w:val="22"/>
          <w:lang w:val="cs-CZ"/>
        </w:rPr>
        <w:t>a</w:t>
      </w:r>
      <w:r w:rsidR="00D060AC" w:rsidRPr="003D520D">
        <w:rPr>
          <w:b/>
          <w:bCs/>
          <w:szCs w:val="22"/>
          <w:lang w:val="cs-CZ"/>
        </w:rPr>
        <w:t xml:space="preserve"> </w:t>
      </w:r>
      <w:r w:rsidRPr="003D520D">
        <w:rPr>
          <w:b/>
          <w:bCs/>
          <w:szCs w:val="22"/>
          <w:lang w:val="cs-CZ"/>
        </w:rPr>
        <w:t>celkového přež</w:t>
      </w:r>
      <w:r w:rsidR="008708A4" w:rsidRPr="003D520D">
        <w:rPr>
          <w:b/>
          <w:bCs/>
          <w:szCs w:val="22"/>
          <w:lang w:val="cs-CZ"/>
        </w:rPr>
        <w:t>ití</w:t>
      </w:r>
    </w:p>
    <w:p w14:paraId="7D4577F7" w14:textId="591287B9" w:rsidR="00CA33A2" w:rsidRDefault="00297C82" w:rsidP="00CA33A2">
      <w:pPr>
        <w:keepNext/>
        <w:keepLines/>
        <w:spacing w:after="0"/>
        <w:rPr>
          <w:noProof/>
          <w:lang w:eastAsia="de-DE"/>
        </w:rPr>
      </w:pPr>
      <w:r>
        <w:rPr>
          <w:noProof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457BFF" wp14:editId="06071739">
                <wp:simplePos x="0" y="0"/>
                <wp:positionH relativeFrom="column">
                  <wp:posOffset>3973830</wp:posOffset>
                </wp:positionH>
                <wp:positionV relativeFrom="paragraph">
                  <wp:posOffset>125095</wp:posOffset>
                </wp:positionV>
                <wp:extent cx="1193165" cy="476250"/>
                <wp:effectExtent l="0" t="0" r="0" b="0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57C24" w14:textId="77777777" w:rsidR="00C96C26" w:rsidRPr="00BA58C4" w:rsidRDefault="00C96C26" w:rsidP="00BA58C4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A58C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Stivarga</w:t>
                            </w:r>
                            <w:proofErr w:type="spellEnd"/>
                            <w:r w:rsidRPr="00BA58C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Pr="00BA58C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=505)</w:t>
                            </w:r>
                          </w:p>
                          <w:p w14:paraId="7D457C25" w14:textId="77777777" w:rsidR="00C96C26" w:rsidRPr="00C4647E" w:rsidRDefault="00C96C26" w:rsidP="00BA58C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58C4">
                              <w:rPr>
                                <w:sz w:val="16"/>
                                <w:szCs w:val="16"/>
                              </w:rPr>
                              <w:t>Placebo</w:t>
                            </w:r>
                            <w:r w:rsidRPr="00C464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r w:rsidRPr="00C464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=255)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57BFF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12.9pt;margin-top:9.85pt;width:93.95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" strokecolor="white">
                <v:textbox>
                  <w:txbxContent>
                    <w:p w14:paraId="7D457C24" w14:textId="77777777" w:rsidR="00C96C26" w:rsidRPr="00BA58C4" w:rsidRDefault="00C96C26" w:rsidP="00BA58C4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BA58C4">
                        <w:rPr>
                          <w:b/>
                          <w:bCs/>
                          <w:sz w:val="16"/>
                          <w:szCs w:val="16"/>
                        </w:rPr>
                        <w:t>Stivarga</w:t>
                      </w:r>
                      <w:proofErr w:type="spellEnd"/>
                      <w:r w:rsidRPr="00BA58C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Pr="00BA58C4">
                        <w:rPr>
                          <w:b/>
                          <w:bCs/>
                          <w:sz w:val="16"/>
                          <w:szCs w:val="16"/>
                        </w:rPr>
                        <w:t>=505)</w:t>
                      </w:r>
                    </w:p>
                    <w:p w14:paraId="7D457C25" w14:textId="77777777" w:rsidR="00C96C26" w:rsidRPr="00C4647E" w:rsidRDefault="00C96C26" w:rsidP="00BA58C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58C4">
                        <w:rPr>
                          <w:sz w:val="16"/>
                          <w:szCs w:val="16"/>
                        </w:rPr>
                        <w:t>Placebo</w:t>
                      </w:r>
                      <w:r w:rsidRPr="00C464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</w:t>
                      </w:r>
                      <w:r w:rsidRPr="00C4647E">
                        <w:rPr>
                          <w:rFonts w:ascii="Arial" w:hAnsi="Arial" w:cs="Arial"/>
                          <w:sz w:val="16"/>
                          <w:szCs w:val="16"/>
                        </w:rPr>
                        <w:t>=255)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D457C00" wp14:editId="30DC5121">
                <wp:simplePos x="0" y="0"/>
                <wp:positionH relativeFrom="column">
                  <wp:posOffset>-38735</wp:posOffset>
                </wp:positionH>
                <wp:positionV relativeFrom="paragraph">
                  <wp:posOffset>210820</wp:posOffset>
                </wp:positionV>
                <wp:extent cx="3864610" cy="2816225"/>
                <wp:effectExtent l="0" t="0" r="0" b="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4610" cy="2816225"/>
                          <a:chOff x="1380" y="8167"/>
                          <a:chExt cx="6086" cy="4435"/>
                        </a:xfrm>
                      </wpg:grpSpPr>
                      <wps:wsp>
                        <wps:cNvPr id="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8167"/>
                            <a:ext cx="546" cy="2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457C26" w14:textId="77777777" w:rsidR="00C96C26" w:rsidRPr="00BA58C4" w:rsidRDefault="00C96C26" w:rsidP="0005018B">
                              <w:pPr>
                                <w:tabs>
                                  <w:tab w:val="left" w:pos="284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BA58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Pravděpodobnost</w:t>
                              </w:r>
                              <w:proofErr w:type="spellEnd"/>
                              <w:r w:rsidRPr="00BA58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A58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přežití</w:t>
                              </w:r>
                              <w:proofErr w:type="spellEnd"/>
                              <w:r w:rsidRPr="00BA58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(%)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92" y="11703"/>
                            <a:ext cx="2474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457C27" w14:textId="77777777" w:rsidR="00C96C26" w:rsidRPr="00BA58C4" w:rsidRDefault="00C96C26" w:rsidP="0005018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spellStart"/>
                              <w:r w:rsidRPr="00BA58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Měsíce</w:t>
                              </w:r>
                              <w:proofErr w:type="spellEnd"/>
                              <w:r w:rsidRPr="00BA58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od </w:t>
                              </w:r>
                              <w:proofErr w:type="spellStart"/>
                              <w:r w:rsidRPr="00BA58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randomizace</w:t>
                              </w:r>
                              <w:proofErr w:type="spellEnd"/>
                            </w:p>
                            <w:p w14:paraId="7D457C28" w14:textId="77777777" w:rsidR="00C96C26" w:rsidRPr="00BA58C4" w:rsidRDefault="00C96C26" w:rsidP="0005018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56" y="11922"/>
                            <a:ext cx="1762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457C29" w14:textId="77777777" w:rsidR="00C96C26" w:rsidRPr="00BA58C4" w:rsidRDefault="00C96C26" w:rsidP="0005018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spellStart"/>
                              <w:r w:rsidRPr="00BA58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Pacienti</w:t>
                              </w:r>
                              <w:proofErr w:type="spellEnd"/>
                              <w:r w:rsidRPr="00BA58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s </w:t>
                              </w:r>
                              <w:proofErr w:type="spellStart"/>
                              <w:r w:rsidRPr="00BA58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rizikem</w:t>
                              </w:r>
                              <w:proofErr w:type="spellEnd"/>
                            </w:p>
                            <w:p w14:paraId="7D457C2A" w14:textId="77777777" w:rsidR="00C96C26" w:rsidRPr="00BA58C4" w:rsidRDefault="00C96C26" w:rsidP="0005018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r w:rsidRPr="00BA58C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Stivarga</w:t>
                              </w:r>
                            </w:p>
                            <w:p w14:paraId="7D457C2B" w14:textId="77777777" w:rsidR="00C96C26" w:rsidRPr="00BA58C4" w:rsidRDefault="00C96C26" w:rsidP="0005018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r w:rsidRPr="00BA58C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Placebo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57C00" id="Group 2" o:spid="_x0000_s1027" style="position:absolute;margin-left:-3.05pt;margin-top:16.6pt;width:304.3pt;height:221.75pt;z-index:251646976" coordorigin="1380,8167" coordsize="6086,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">
                <v:shape id="Text Box 3" o:spid="_x0000_s1028" type="#_x0000_t202" style="position:absolute;left:1380;top:8167;width:54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" strokecolor="white">
                  <v:textbox style="layout-flow:vertical;mso-layout-flow-alt:bottom-to-top">
                    <w:txbxContent>
                      <w:p w14:paraId="7D457C26" w14:textId="77777777" w:rsidR="00C96C26" w:rsidRPr="00BA58C4" w:rsidRDefault="00C96C26" w:rsidP="0005018B">
                        <w:pPr>
                          <w:tabs>
                            <w:tab w:val="left" w:pos="284"/>
                          </w:tabs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BA58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Pravděpodobnost</w:t>
                        </w:r>
                        <w:proofErr w:type="spellEnd"/>
                        <w:r w:rsidRPr="00BA58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A58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přežití</w:t>
                        </w:r>
                        <w:proofErr w:type="spellEnd"/>
                        <w:r w:rsidRPr="00BA58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(%)</w:t>
                        </w:r>
                      </w:p>
                    </w:txbxContent>
                  </v:textbox>
                </v:shape>
                <v:shape id="Text Box 4" o:spid="_x0000_s1029" type="#_x0000_t202" style="position:absolute;left:4992;top:11703;width:2474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qG6wwAAANs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Y/j/En6AXN8BAAD//wMAUEsBAi0AFAAGAAgAAAAhANvh9svuAAAAhQEAABMAAAAAAAAAAAAA&#10;AAAAAAAAAFtDb250ZW50X1R5cGVzXS54bWxQSwECLQAUAAYACAAAACEAWvQsW78AAAAVAQAACwAA&#10;AAAAAAAAAAAAAAAfAQAAX3JlbHMvLnJlbHNQSwECLQAUAAYACAAAACEAD9ahusMAAADbAAAADwAA&#10;AAAAAAAAAAAAAAAHAgAAZHJzL2Rvd25yZXYueG1sUEsFBgAAAAADAAMAtwAAAPcCAAAAAA==&#10;" strokecolor="white">
                  <v:textbox>
                    <w:txbxContent>
                      <w:p w14:paraId="7D457C27" w14:textId="77777777" w:rsidR="00C96C26" w:rsidRPr="00BA58C4" w:rsidRDefault="00C96C26" w:rsidP="0005018B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</w:pPr>
                        <w:proofErr w:type="spellStart"/>
                        <w:r w:rsidRPr="00BA58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Měsíce</w:t>
                        </w:r>
                        <w:proofErr w:type="spellEnd"/>
                        <w:r w:rsidRPr="00BA58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od </w:t>
                        </w:r>
                        <w:proofErr w:type="spellStart"/>
                        <w:r w:rsidRPr="00BA58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randomizace</w:t>
                        </w:r>
                        <w:proofErr w:type="spellEnd"/>
                      </w:p>
                      <w:p w14:paraId="7D457C28" w14:textId="77777777" w:rsidR="00C96C26" w:rsidRPr="00BA58C4" w:rsidRDefault="00C96C26" w:rsidP="0005018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1556;top:11922;width:1762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" strokecolor="white">
                  <v:textbox>
                    <w:txbxContent>
                      <w:p w14:paraId="7D457C29" w14:textId="77777777" w:rsidR="00C96C26" w:rsidRPr="00BA58C4" w:rsidRDefault="00C96C26" w:rsidP="0005018B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</w:pPr>
                        <w:proofErr w:type="spellStart"/>
                        <w:r w:rsidRPr="00BA58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Pacienti</w:t>
                        </w:r>
                        <w:proofErr w:type="spellEnd"/>
                        <w:r w:rsidRPr="00BA58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s </w:t>
                        </w:r>
                        <w:proofErr w:type="spellStart"/>
                        <w:r w:rsidRPr="00BA58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rizikem</w:t>
                        </w:r>
                        <w:proofErr w:type="spellEnd"/>
                      </w:p>
                      <w:p w14:paraId="7D457C2A" w14:textId="77777777" w:rsidR="00C96C26" w:rsidRPr="00BA58C4" w:rsidRDefault="00C96C26" w:rsidP="0005018B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</w:pPr>
                        <w:r w:rsidRPr="00BA58C4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Stivarga</w:t>
                        </w:r>
                      </w:p>
                      <w:p w14:paraId="7D457C2B" w14:textId="77777777" w:rsidR="00C96C26" w:rsidRPr="00BA58C4" w:rsidRDefault="00C96C26" w:rsidP="0005018B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</w:pPr>
                        <w:r w:rsidRPr="00BA58C4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Placebo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 wp14:anchorId="7D457C01" wp14:editId="2D00DC2B">
            <wp:extent cx="5493385" cy="3056890"/>
            <wp:effectExtent l="0" t="0" r="0" b="0"/>
            <wp:docPr id="2" name="obrázek 2" descr="KM curve OS_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 curve OS_CRC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5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77F8" w14:textId="77777777" w:rsidR="00CA33A2" w:rsidRPr="00CA33A2" w:rsidRDefault="00CA33A2" w:rsidP="00CA33A2">
      <w:pPr>
        <w:keepNext/>
        <w:keepLines/>
        <w:spacing w:after="0"/>
        <w:rPr>
          <w:iCs/>
          <w:noProof/>
          <w:lang w:eastAsia="de-DE"/>
        </w:rPr>
      </w:pPr>
    </w:p>
    <w:p w14:paraId="7D4577F9" w14:textId="77777777" w:rsidR="00BB01D0" w:rsidRPr="00CA33A2" w:rsidRDefault="00BB01D0" w:rsidP="00CA33A2">
      <w:pPr>
        <w:keepNext/>
        <w:keepLines/>
        <w:spacing w:after="0"/>
        <w:rPr>
          <w:noProof/>
          <w:lang w:val="cs-CZ" w:eastAsia="de-DE"/>
        </w:rPr>
      </w:pPr>
      <w:r w:rsidRPr="00CA33A2">
        <w:rPr>
          <w:iCs/>
          <w:szCs w:val="22"/>
          <w:lang w:val="cs-CZ"/>
        </w:rPr>
        <w:t>Analýza celkového přežití a</w:t>
      </w:r>
      <w:r w:rsidR="00855598" w:rsidRPr="00CA33A2">
        <w:rPr>
          <w:iCs/>
          <w:szCs w:val="22"/>
          <w:lang w:val="cs-CZ"/>
        </w:rPr>
        <w:t xml:space="preserve"> přežití</w:t>
      </w:r>
      <w:r w:rsidRPr="00CA33A2">
        <w:rPr>
          <w:iCs/>
          <w:szCs w:val="22"/>
          <w:lang w:val="cs-CZ"/>
        </w:rPr>
        <w:t xml:space="preserve"> bez progrese u podskupin podle věku </w:t>
      </w:r>
      <w:proofErr w:type="gramStart"/>
      <w:r w:rsidRPr="00CA33A2">
        <w:rPr>
          <w:iCs/>
          <w:szCs w:val="22"/>
          <w:lang w:val="cs-CZ"/>
        </w:rPr>
        <w:t>(</w:t>
      </w:r>
      <w:r w:rsidR="00F10BE9" w:rsidRPr="00CA33A2">
        <w:rPr>
          <w:iCs/>
          <w:szCs w:val="22"/>
          <w:lang w:val="cs-CZ"/>
        </w:rPr>
        <w:t>&lt;</w:t>
      </w:r>
      <w:r w:rsidRPr="00CA33A2">
        <w:rPr>
          <w:iCs/>
          <w:szCs w:val="22"/>
          <w:lang w:val="cs-CZ"/>
        </w:rPr>
        <w:t xml:space="preserve"> 65</w:t>
      </w:r>
      <w:proofErr w:type="gramEnd"/>
      <w:r w:rsidRPr="00CA33A2">
        <w:rPr>
          <w:iCs/>
          <w:szCs w:val="22"/>
          <w:lang w:val="cs-CZ"/>
        </w:rPr>
        <w:t xml:space="preserve">; ≥65), pohlaví, výkonnostního stavu (ECOG PS), místa primárního výskytu onemocnění, </w:t>
      </w:r>
      <w:r w:rsidR="00AD1B2C" w:rsidRPr="00CA33A2">
        <w:rPr>
          <w:iCs/>
          <w:szCs w:val="22"/>
          <w:lang w:val="cs-CZ"/>
        </w:rPr>
        <w:t xml:space="preserve">doby od první diagnózy metastazujícího onemocnění, předchozí protinádorové léčby, předchozích linií léčby metastazujícího onemocnění a podle </w:t>
      </w:r>
      <w:r w:rsidR="00F91537" w:rsidRPr="00CA33A2">
        <w:rPr>
          <w:iCs/>
          <w:szCs w:val="22"/>
          <w:lang w:val="cs-CZ"/>
        </w:rPr>
        <w:t xml:space="preserve">stavu </w:t>
      </w:r>
      <w:r w:rsidR="00AD1B2C" w:rsidRPr="00CA33A2">
        <w:rPr>
          <w:iCs/>
          <w:szCs w:val="22"/>
          <w:lang w:val="cs-CZ"/>
        </w:rPr>
        <w:t xml:space="preserve">mutace </w:t>
      </w:r>
      <w:r w:rsidR="00F10BE9" w:rsidRPr="00CA33A2">
        <w:rPr>
          <w:iCs/>
          <w:szCs w:val="22"/>
          <w:lang w:val="cs-CZ"/>
        </w:rPr>
        <w:t xml:space="preserve">KRAS </w:t>
      </w:r>
      <w:r w:rsidR="00A50727" w:rsidRPr="00CA33A2">
        <w:rPr>
          <w:iCs/>
          <w:szCs w:val="22"/>
          <w:lang w:val="cs-CZ"/>
        </w:rPr>
        <w:t>pro</w:t>
      </w:r>
      <w:r w:rsidR="00F10BE9" w:rsidRPr="00CA33A2">
        <w:rPr>
          <w:iCs/>
          <w:szCs w:val="22"/>
          <w:lang w:val="cs-CZ"/>
        </w:rPr>
        <w:t>kázala</w:t>
      </w:r>
      <w:r w:rsidR="00AD1B2C" w:rsidRPr="00CA33A2">
        <w:rPr>
          <w:iCs/>
          <w:szCs w:val="22"/>
          <w:lang w:val="cs-CZ"/>
        </w:rPr>
        <w:t xml:space="preserve"> účinek léčby </w:t>
      </w:r>
      <w:proofErr w:type="spellStart"/>
      <w:r w:rsidR="00AD1B2C" w:rsidRPr="00CA33A2">
        <w:rPr>
          <w:iCs/>
          <w:szCs w:val="22"/>
          <w:lang w:val="cs-CZ"/>
        </w:rPr>
        <w:t>regorafenibem</w:t>
      </w:r>
      <w:proofErr w:type="spellEnd"/>
      <w:r w:rsidR="00AD1B2C" w:rsidRPr="00CA33A2">
        <w:rPr>
          <w:iCs/>
          <w:szCs w:val="22"/>
          <w:lang w:val="cs-CZ"/>
        </w:rPr>
        <w:t xml:space="preserve"> oproti léčbě placebem</w:t>
      </w:r>
      <w:r w:rsidR="00AD1B2C" w:rsidRPr="003D520D">
        <w:rPr>
          <w:i/>
          <w:szCs w:val="22"/>
          <w:lang w:val="cs-CZ"/>
        </w:rPr>
        <w:t xml:space="preserve">.   </w:t>
      </w:r>
    </w:p>
    <w:p w14:paraId="7D4577FA" w14:textId="77777777" w:rsidR="005A5139" w:rsidRDefault="005A5139" w:rsidP="00D707AB">
      <w:pPr>
        <w:rPr>
          <w:iCs/>
          <w:szCs w:val="22"/>
          <w:lang w:val="cs-CZ"/>
        </w:rPr>
      </w:pPr>
    </w:p>
    <w:p w14:paraId="7D4577FB" w14:textId="77777777" w:rsidR="00ED680A" w:rsidRPr="003D520D" w:rsidRDefault="005128C8" w:rsidP="00D707AB">
      <w:pPr>
        <w:rPr>
          <w:lang w:val="cs-CZ"/>
        </w:rPr>
      </w:pPr>
      <w:r w:rsidRPr="00CA33A2">
        <w:rPr>
          <w:iCs/>
          <w:szCs w:val="22"/>
          <w:lang w:val="cs-CZ"/>
        </w:rPr>
        <w:t>Výsledky analýzy p</w:t>
      </w:r>
      <w:r w:rsidR="00AD1B2C" w:rsidRPr="00CA33A2">
        <w:rPr>
          <w:iCs/>
          <w:szCs w:val="22"/>
          <w:lang w:val="cs-CZ"/>
        </w:rPr>
        <w:t>odskupin</w:t>
      </w:r>
      <w:r w:rsidRPr="00CA33A2">
        <w:rPr>
          <w:iCs/>
          <w:szCs w:val="22"/>
          <w:lang w:val="cs-CZ"/>
        </w:rPr>
        <w:t xml:space="preserve"> podle původního výskytu mutace </w:t>
      </w:r>
      <w:r w:rsidR="00F10BE9" w:rsidRPr="00CA33A2">
        <w:rPr>
          <w:iCs/>
          <w:szCs w:val="22"/>
          <w:lang w:val="cs-CZ"/>
        </w:rPr>
        <w:t xml:space="preserve">KRAS </w:t>
      </w:r>
      <w:r w:rsidRPr="00CA33A2">
        <w:rPr>
          <w:iCs/>
          <w:szCs w:val="22"/>
          <w:lang w:val="cs-CZ"/>
        </w:rPr>
        <w:t>ukázaly léčebný účinek pro celkové</w:t>
      </w:r>
      <w:r w:rsidRPr="003D520D">
        <w:rPr>
          <w:lang w:val="cs-CZ"/>
        </w:rPr>
        <w:t xml:space="preserve"> přežití ve prospěch léčby </w:t>
      </w:r>
      <w:proofErr w:type="spellStart"/>
      <w:r w:rsidRPr="003D520D">
        <w:rPr>
          <w:lang w:val="cs-CZ"/>
        </w:rPr>
        <w:t>regorafenibem</w:t>
      </w:r>
      <w:proofErr w:type="spellEnd"/>
      <w:r w:rsidRPr="003D520D">
        <w:rPr>
          <w:lang w:val="cs-CZ"/>
        </w:rPr>
        <w:t xml:space="preserve"> oproti placebu pro pacienty s </w:t>
      </w:r>
      <w:r w:rsidR="0073007D" w:rsidRPr="003D520D">
        <w:rPr>
          <w:lang w:val="cs-CZ"/>
        </w:rPr>
        <w:t xml:space="preserve">nádory </w:t>
      </w:r>
      <w:r w:rsidR="00F10BE9" w:rsidRPr="003D520D">
        <w:rPr>
          <w:lang w:val="cs-CZ"/>
        </w:rPr>
        <w:t>s</w:t>
      </w:r>
      <w:r w:rsidR="00EA277E" w:rsidRPr="003D520D">
        <w:rPr>
          <w:lang w:val="cs-CZ"/>
        </w:rPr>
        <w:t xml:space="preserve"> genem </w:t>
      </w:r>
      <w:r w:rsidR="0073007D" w:rsidRPr="003D520D">
        <w:rPr>
          <w:lang w:val="cs-CZ"/>
        </w:rPr>
        <w:t xml:space="preserve">KRAS </w:t>
      </w:r>
      <w:r w:rsidRPr="003D520D">
        <w:rPr>
          <w:lang w:val="cs-CZ"/>
        </w:rPr>
        <w:t>divok</w:t>
      </w:r>
      <w:r w:rsidR="0073007D" w:rsidRPr="003D520D">
        <w:rPr>
          <w:lang w:val="cs-CZ"/>
        </w:rPr>
        <w:t>ého</w:t>
      </w:r>
      <w:r w:rsidRPr="003D520D">
        <w:rPr>
          <w:lang w:val="cs-CZ"/>
        </w:rPr>
        <w:t xml:space="preserve"> typ</w:t>
      </w:r>
      <w:r w:rsidR="0073007D" w:rsidRPr="003D520D">
        <w:rPr>
          <w:lang w:val="cs-CZ"/>
        </w:rPr>
        <w:t>u</w:t>
      </w:r>
      <w:r w:rsidR="00377D25" w:rsidRPr="003D520D">
        <w:rPr>
          <w:lang w:val="cs-CZ"/>
        </w:rPr>
        <w:t>, zatímco</w:t>
      </w:r>
      <w:r w:rsidRPr="003D520D">
        <w:rPr>
          <w:lang w:val="cs-CZ"/>
        </w:rPr>
        <w:t xml:space="preserve"> pro pacienty</w:t>
      </w:r>
      <w:r w:rsidR="00377D25" w:rsidRPr="003D520D">
        <w:rPr>
          <w:lang w:val="cs-CZ"/>
        </w:rPr>
        <w:t xml:space="preserve"> </w:t>
      </w:r>
      <w:r w:rsidR="0073007D" w:rsidRPr="003D520D">
        <w:rPr>
          <w:lang w:val="cs-CZ"/>
        </w:rPr>
        <w:t xml:space="preserve">s nádory </w:t>
      </w:r>
      <w:r w:rsidR="00F10BE9" w:rsidRPr="003D520D">
        <w:rPr>
          <w:lang w:val="cs-CZ"/>
        </w:rPr>
        <w:t>s</w:t>
      </w:r>
      <w:r w:rsidR="00EA277E" w:rsidRPr="003D520D">
        <w:rPr>
          <w:lang w:val="cs-CZ"/>
        </w:rPr>
        <w:t xml:space="preserve"> genem </w:t>
      </w:r>
      <w:r w:rsidR="0073007D" w:rsidRPr="003D520D">
        <w:rPr>
          <w:lang w:val="cs-CZ"/>
        </w:rPr>
        <w:t>KRAS mutovaného typu</w:t>
      </w:r>
      <w:r w:rsidR="00FD6C8E" w:rsidRPr="003D520D">
        <w:rPr>
          <w:lang w:val="cs-CZ"/>
        </w:rPr>
        <w:t xml:space="preserve"> </w:t>
      </w:r>
      <w:r w:rsidR="00377D25" w:rsidRPr="003D520D">
        <w:rPr>
          <w:lang w:val="cs-CZ"/>
        </w:rPr>
        <w:t xml:space="preserve">byl </w:t>
      </w:r>
      <w:r w:rsidR="00F10BE9" w:rsidRPr="003D520D">
        <w:rPr>
          <w:lang w:val="cs-CZ"/>
        </w:rPr>
        <w:t>hlášen</w:t>
      </w:r>
      <w:r w:rsidR="00377D25" w:rsidRPr="003D520D">
        <w:rPr>
          <w:lang w:val="cs-CZ"/>
        </w:rPr>
        <w:t xml:space="preserve"> </w:t>
      </w:r>
      <w:r w:rsidR="00FD6C8E" w:rsidRPr="003D520D">
        <w:rPr>
          <w:lang w:val="cs-CZ"/>
        </w:rPr>
        <w:t xml:space="preserve">početně </w:t>
      </w:r>
      <w:r w:rsidR="00377D25" w:rsidRPr="003D520D">
        <w:rPr>
          <w:lang w:val="cs-CZ"/>
        </w:rPr>
        <w:t>nižší účinek</w:t>
      </w:r>
      <w:r w:rsidRPr="003D520D">
        <w:rPr>
          <w:lang w:val="cs-CZ"/>
        </w:rPr>
        <w:t xml:space="preserve">; pozitivní účinek léčby </w:t>
      </w:r>
      <w:proofErr w:type="spellStart"/>
      <w:r w:rsidRPr="003D520D">
        <w:rPr>
          <w:lang w:val="cs-CZ"/>
        </w:rPr>
        <w:t>regorafenibem</w:t>
      </w:r>
      <w:proofErr w:type="spellEnd"/>
      <w:r w:rsidRPr="003D520D">
        <w:rPr>
          <w:lang w:val="cs-CZ"/>
        </w:rPr>
        <w:t xml:space="preserve"> na</w:t>
      </w:r>
      <w:r w:rsidR="00DE57A7" w:rsidRPr="003D520D">
        <w:rPr>
          <w:lang w:val="cs-CZ"/>
        </w:rPr>
        <w:t xml:space="preserve"> přežití</w:t>
      </w:r>
      <w:r w:rsidRPr="003D520D">
        <w:rPr>
          <w:lang w:val="cs-CZ"/>
        </w:rPr>
        <w:t xml:space="preserve"> bez progrese byl pozorován bez ohledu na stav mutace</w:t>
      </w:r>
      <w:r w:rsidR="00F10BE9" w:rsidRPr="003D520D">
        <w:rPr>
          <w:lang w:val="cs-CZ"/>
        </w:rPr>
        <w:t xml:space="preserve"> KRAS</w:t>
      </w:r>
      <w:r w:rsidRPr="003D520D">
        <w:rPr>
          <w:lang w:val="cs-CZ"/>
        </w:rPr>
        <w:t xml:space="preserve">. </w:t>
      </w:r>
      <w:r w:rsidR="00311E98" w:rsidRPr="003D520D">
        <w:rPr>
          <w:lang w:val="cs-CZ"/>
        </w:rPr>
        <w:t>Poměr rizik (</w:t>
      </w:r>
      <w:proofErr w:type="gramStart"/>
      <w:r w:rsidR="00311E98" w:rsidRPr="003D520D">
        <w:rPr>
          <w:lang w:val="cs-CZ"/>
        </w:rPr>
        <w:t>95%</w:t>
      </w:r>
      <w:proofErr w:type="gramEnd"/>
      <w:r w:rsidR="00311E98" w:rsidRPr="003D520D">
        <w:rPr>
          <w:lang w:val="cs-CZ"/>
        </w:rPr>
        <w:t xml:space="preserve"> </w:t>
      </w:r>
      <w:r w:rsidR="00EA277E" w:rsidRPr="003D520D">
        <w:rPr>
          <w:lang w:val="cs-CZ"/>
        </w:rPr>
        <w:t>CI</w:t>
      </w:r>
      <w:r w:rsidR="00311E98" w:rsidRPr="003D520D">
        <w:rPr>
          <w:lang w:val="cs-CZ"/>
        </w:rPr>
        <w:t>) pro celkové přež</w:t>
      </w:r>
      <w:r w:rsidR="00DE57A7" w:rsidRPr="003D520D">
        <w:rPr>
          <w:lang w:val="cs-CZ"/>
        </w:rPr>
        <w:t>ití</w:t>
      </w:r>
      <w:r w:rsidR="00311E98" w:rsidRPr="003D520D">
        <w:rPr>
          <w:lang w:val="cs-CZ"/>
        </w:rPr>
        <w:t xml:space="preserve"> byl 0,653 (0,476 až 0,895) pro </w:t>
      </w:r>
      <w:r w:rsidR="00FD6C8E" w:rsidRPr="003D520D">
        <w:rPr>
          <w:lang w:val="cs-CZ"/>
        </w:rPr>
        <w:t>pacienty s</w:t>
      </w:r>
      <w:r w:rsidR="0073007D" w:rsidRPr="003D520D">
        <w:rPr>
          <w:lang w:val="cs-CZ"/>
        </w:rPr>
        <w:t xml:space="preserve"> nádory </w:t>
      </w:r>
      <w:r w:rsidR="00F10BE9" w:rsidRPr="003D520D">
        <w:rPr>
          <w:lang w:val="cs-CZ"/>
        </w:rPr>
        <w:t>s</w:t>
      </w:r>
      <w:r w:rsidR="00EA277E" w:rsidRPr="003D520D">
        <w:rPr>
          <w:lang w:val="cs-CZ"/>
        </w:rPr>
        <w:t xml:space="preserve"> genem </w:t>
      </w:r>
      <w:r w:rsidR="0073007D" w:rsidRPr="003D520D">
        <w:rPr>
          <w:lang w:val="cs-CZ"/>
        </w:rPr>
        <w:t xml:space="preserve">KRAS </w:t>
      </w:r>
      <w:r w:rsidR="00311E98" w:rsidRPr="003D520D">
        <w:rPr>
          <w:lang w:val="cs-CZ"/>
        </w:rPr>
        <w:t>divok</w:t>
      </w:r>
      <w:r w:rsidR="0073007D" w:rsidRPr="003D520D">
        <w:rPr>
          <w:lang w:val="cs-CZ"/>
        </w:rPr>
        <w:t>ého</w:t>
      </w:r>
      <w:r w:rsidR="00311E98" w:rsidRPr="003D520D">
        <w:rPr>
          <w:lang w:val="cs-CZ"/>
        </w:rPr>
        <w:t xml:space="preserve"> typ</w:t>
      </w:r>
      <w:r w:rsidR="0073007D" w:rsidRPr="003D520D">
        <w:rPr>
          <w:lang w:val="cs-CZ"/>
        </w:rPr>
        <w:t>u</w:t>
      </w:r>
      <w:r w:rsidR="00311E98" w:rsidRPr="003D520D">
        <w:rPr>
          <w:lang w:val="cs-CZ"/>
        </w:rPr>
        <w:t xml:space="preserve"> a 0,867 (0,670 až 1,123) pro </w:t>
      </w:r>
      <w:r w:rsidR="00145EC6" w:rsidRPr="003D520D">
        <w:rPr>
          <w:lang w:val="cs-CZ"/>
        </w:rPr>
        <w:t>pacienty s</w:t>
      </w:r>
      <w:r w:rsidR="0073007D" w:rsidRPr="003D520D">
        <w:rPr>
          <w:lang w:val="cs-CZ"/>
        </w:rPr>
        <w:t xml:space="preserve"> nádory </w:t>
      </w:r>
      <w:r w:rsidR="00F10BE9" w:rsidRPr="003D520D">
        <w:rPr>
          <w:lang w:val="cs-CZ"/>
        </w:rPr>
        <w:t>s</w:t>
      </w:r>
      <w:r w:rsidR="00EA277E" w:rsidRPr="003D520D">
        <w:rPr>
          <w:lang w:val="cs-CZ"/>
        </w:rPr>
        <w:t xml:space="preserve"> genem </w:t>
      </w:r>
      <w:r w:rsidR="00311E98" w:rsidRPr="003D520D">
        <w:rPr>
          <w:lang w:val="cs-CZ"/>
        </w:rPr>
        <w:t xml:space="preserve">KRAS </w:t>
      </w:r>
      <w:r w:rsidR="0073007D" w:rsidRPr="003D520D">
        <w:rPr>
          <w:lang w:val="cs-CZ"/>
        </w:rPr>
        <w:t>mutovaného typu</w:t>
      </w:r>
      <w:r w:rsidR="00311E98" w:rsidRPr="003D520D">
        <w:rPr>
          <w:lang w:val="cs-CZ"/>
        </w:rPr>
        <w:t xml:space="preserve"> bez známek heterogenity účinku léčby (nevýznamný test interakce). Poměr rizik (</w:t>
      </w:r>
      <w:proofErr w:type="gramStart"/>
      <w:r w:rsidR="00311E98" w:rsidRPr="003D520D">
        <w:rPr>
          <w:lang w:val="cs-CZ"/>
        </w:rPr>
        <w:t>95%</w:t>
      </w:r>
      <w:proofErr w:type="gramEnd"/>
      <w:r w:rsidR="00311E98" w:rsidRPr="003D520D">
        <w:rPr>
          <w:lang w:val="cs-CZ"/>
        </w:rPr>
        <w:t xml:space="preserve"> </w:t>
      </w:r>
      <w:r w:rsidR="00EA277E" w:rsidRPr="003D520D">
        <w:rPr>
          <w:lang w:val="cs-CZ"/>
        </w:rPr>
        <w:t>CI</w:t>
      </w:r>
      <w:r w:rsidR="00311E98" w:rsidRPr="003D520D">
        <w:rPr>
          <w:lang w:val="cs-CZ"/>
        </w:rPr>
        <w:t>) pro</w:t>
      </w:r>
      <w:r w:rsidR="00DE57A7" w:rsidRPr="003D520D">
        <w:rPr>
          <w:lang w:val="cs-CZ"/>
        </w:rPr>
        <w:t xml:space="preserve"> přežití </w:t>
      </w:r>
      <w:r w:rsidR="00311E98" w:rsidRPr="003D520D">
        <w:rPr>
          <w:lang w:val="cs-CZ"/>
        </w:rPr>
        <w:t xml:space="preserve">bez progrese byl 0,475 (0,362 až 0,623) pro </w:t>
      </w:r>
      <w:r w:rsidR="00145EC6" w:rsidRPr="003D520D">
        <w:rPr>
          <w:lang w:val="cs-CZ"/>
        </w:rPr>
        <w:t>pacienty s</w:t>
      </w:r>
      <w:r w:rsidR="0073007D" w:rsidRPr="003D520D">
        <w:rPr>
          <w:lang w:val="cs-CZ"/>
        </w:rPr>
        <w:t xml:space="preserve"> nádory </w:t>
      </w:r>
      <w:r w:rsidR="00F10BE9" w:rsidRPr="003D520D">
        <w:rPr>
          <w:lang w:val="cs-CZ"/>
        </w:rPr>
        <w:t>s</w:t>
      </w:r>
      <w:r w:rsidR="00EA277E" w:rsidRPr="003D520D">
        <w:rPr>
          <w:lang w:val="cs-CZ"/>
        </w:rPr>
        <w:t xml:space="preserve"> genem </w:t>
      </w:r>
      <w:r w:rsidR="0073007D" w:rsidRPr="003D520D">
        <w:rPr>
          <w:lang w:val="cs-CZ"/>
        </w:rPr>
        <w:t xml:space="preserve">KRAS </w:t>
      </w:r>
      <w:r w:rsidR="00311E98" w:rsidRPr="003D520D">
        <w:rPr>
          <w:lang w:val="cs-CZ"/>
        </w:rPr>
        <w:t>divok</w:t>
      </w:r>
      <w:r w:rsidR="0073007D" w:rsidRPr="003D520D">
        <w:rPr>
          <w:lang w:val="cs-CZ"/>
        </w:rPr>
        <w:t>ého</w:t>
      </w:r>
      <w:r w:rsidR="00311E98" w:rsidRPr="003D520D">
        <w:rPr>
          <w:lang w:val="cs-CZ"/>
        </w:rPr>
        <w:t xml:space="preserve"> typ</w:t>
      </w:r>
      <w:r w:rsidR="0073007D" w:rsidRPr="003D520D">
        <w:rPr>
          <w:lang w:val="cs-CZ"/>
        </w:rPr>
        <w:t>u</w:t>
      </w:r>
      <w:r w:rsidR="00311E98" w:rsidRPr="003D520D">
        <w:rPr>
          <w:lang w:val="cs-CZ"/>
        </w:rPr>
        <w:t xml:space="preserve"> a 0,525 (0,425 až 0,649) pro </w:t>
      </w:r>
      <w:r w:rsidR="00FD6C8E" w:rsidRPr="003D520D">
        <w:rPr>
          <w:lang w:val="cs-CZ"/>
        </w:rPr>
        <w:t>pacienty s</w:t>
      </w:r>
      <w:r w:rsidR="0073007D" w:rsidRPr="003D520D">
        <w:rPr>
          <w:lang w:val="cs-CZ"/>
        </w:rPr>
        <w:t xml:space="preserve"> nádory </w:t>
      </w:r>
      <w:r w:rsidR="00F10BE9" w:rsidRPr="003D520D">
        <w:rPr>
          <w:lang w:val="cs-CZ"/>
        </w:rPr>
        <w:t>s</w:t>
      </w:r>
      <w:r w:rsidR="00EA277E" w:rsidRPr="003D520D">
        <w:rPr>
          <w:lang w:val="cs-CZ"/>
        </w:rPr>
        <w:t xml:space="preserve"> genem </w:t>
      </w:r>
      <w:r w:rsidR="00311E98" w:rsidRPr="003D520D">
        <w:rPr>
          <w:lang w:val="cs-CZ"/>
        </w:rPr>
        <w:t xml:space="preserve">KRAS </w:t>
      </w:r>
      <w:r w:rsidR="00C35139" w:rsidRPr="003D520D">
        <w:rPr>
          <w:lang w:val="cs-CZ"/>
        </w:rPr>
        <w:t>mutovaného typu</w:t>
      </w:r>
      <w:r w:rsidR="00311E98" w:rsidRPr="003D520D">
        <w:rPr>
          <w:lang w:val="cs-CZ"/>
        </w:rPr>
        <w:t>.</w:t>
      </w:r>
    </w:p>
    <w:p w14:paraId="7D4577FC" w14:textId="77777777" w:rsidR="005A5139" w:rsidRDefault="00D539E8" w:rsidP="005A5139">
      <w:pPr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Druhá mezinárodní, multicentrická, randomizovaná, dvojitě zaslepená, placebem kontrolovaná studie </w:t>
      </w:r>
      <w:r w:rsidR="00A958E0" w:rsidRPr="003D520D">
        <w:rPr>
          <w:szCs w:val="22"/>
          <w:lang w:val="cs-CZ"/>
        </w:rPr>
        <w:t>fáze</w:t>
      </w:r>
      <w:r w:rsidR="008D5972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III (C</w:t>
      </w:r>
      <w:r w:rsidR="00B17ED7" w:rsidRPr="003D520D">
        <w:rPr>
          <w:szCs w:val="22"/>
          <w:lang w:val="cs-CZ"/>
        </w:rPr>
        <w:t>ONCUR)</w:t>
      </w:r>
      <w:r w:rsidRPr="003D520D">
        <w:rPr>
          <w:szCs w:val="22"/>
          <w:lang w:val="cs-CZ"/>
        </w:rPr>
        <w:t xml:space="preserve"> hodnotila účinnost a bezpečnost přípravku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u 204 dříve léčených asijských pacientů</w:t>
      </w:r>
      <w:r w:rsidR="00B17ED7" w:rsidRPr="003D520D">
        <w:rPr>
          <w:szCs w:val="22"/>
          <w:lang w:val="cs-CZ"/>
        </w:rPr>
        <w:t xml:space="preserve"> (&gt;</w:t>
      </w:r>
      <w:r w:rsidRPr="003D520D">
        <w:rPr>
          <w:szCs w:val="22"/>
          <w:lang w:val="cs-CZ"/>
        </w:rPr>
        <w:t> </w:t>
      </w:r>
      <w:r w:rsidR="00B17ED7" w:rsidRPr="003D520D">
        <w:rPr>
          <w:szCs w:val="22"/>
          <w:lang w:val="cs-CZ"/>
        </w:rPr>
        <w:t>90</w:t>
      </w:r>
      <w:r w:rsidRPr="003D520D">
        <w:rPr>
          <w:szCs w:val="22"/>
          <w:lang w:val="cs-CZ"/>
        </w:rPr>
        <w:t> </w:t>
      </w:r>
      <w:r w:rsidR="00B17ED7" w:rsidRPr="003D520D">
        <w:rPr>
          <w:szCs w:val="22"/>
          <w:lang w:val="cs-CZ"/>
        </w:rPr>
        <w:t xml:space="preserve">% </w:t>
      </w:r>
      <w:r w:rsidRPr="003D520D">
        <w:rPr>
          <w:szCs w:val="22"/>
          <w:lang w:val="cs-CZ"/>
        </w:rPr>
        <w:t>východoasijská populace</w:t>
      </w:r>
      <w:r w:rsidR="00B17ED7" w:rsidRPr="003D520D">
        <w:rPr>
          <w:szCs w:val="22"/>
          <w:lang w:val="cs-CZ"/>
        </w:rPr>
        <w:t xml:space="preserve">) </w:t>
      </w:r>
      <w:r w:rsidRPr="003D520D">
        <w:rPr>
          <w:szCs w:val="22"/>
          <w:lang w:val="cs-CZ"/>
        </w:rPr>
        <w:t xml:space="preserve">s metastazujícím kolorektálním karcinomem, u kterých došlo k progresi po selhání chemoterapie na bázi </w:t>
      </w:r>
      <w:proofErr w:type="spellStart"/>
      <w:r w:rsidRPr="003D520D">
        <w:rPr>
          <w:szCs w:val="22"/>
          <w:lang w:val="cs-CZ"/>
        </w:rPr>
        <w:t>fluoropyrimidinu</w:t>
      </w:r>
      <w:proofErr w:type="spellEnd"/>
      <w:r w:rsidRPr="003D520D">
        <w:rPr>
          <w:szCs w:val="22"/>
          <w:lang w:val="cs-CZ"/>
        </w:rPr>
        <w:t xml:space="preserve">. Pouze 59,5 % pacientů zařazených do studie CONCUR bylo </w:t>
      </w:r>
      <w:r w:rsidR="00A958E0" w:rsidRPr="003D520D">
        <w:rPr>
          <w:szCs w:val="22"/>
          <w:lang w:val="cs-CZ"/>
        </w:rPr>
        <w:t>také</w:t>
      </w:r>
      <w:r w:rsidRPr="003D520D">
        <w:rPr>
          <w:szCs w:val="22"/>
          <w:lang w:val="cs-CZ"/>
        </w:rPr>
        <w:t xml:space="preserve"> dříve léčeno pomocí VEGF nebo EGFR cílené léčby. Primárním cílovým </w:t>
      </w:r>
      <w:r w:rsidR="00A734B9">
        <w:rPr>
          <w:szCs w:val="22"/>
          <w:lang w:val="cs-CZ"/>
        </w:rPr>
        <w:t>parametrem</w:t>
      </w:r>
      <w:r w:rsidRPr="003D520D">
        <w:rPr>
          <w:szCs w:val="22"/>
          <w:lang w:val="cs-CZ"/>
        </w:rPr>
        <w:t xml:space="preserve"> účinnosti bylo celkové přežití (OS). Přidání přípravku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k BSC vedlo k významně delšímu přežití v porovnání s placebem plus BSC s poměrem rizik 0,550 </w:t>
      </w:r>
      <w:r w:rsidR="00B17ED7" w:rsidRPr="003D520D">
        <w:rPr>
          <w:szCs w:val="22"/>
          <w:lang w:val="cs-CZ"/>
        </w:rPr>
        <w:t>(p</w:t>
      </w:r>
      <w:r w:rsidRPr="003D520D">
        <w:rPr>
          <w:szCs w:val="22"/>
          <w:lang w:val="cs-CZ"/>
        </w:rPr>
        <w:t> </w:t>
      </w:r>
      <w:r w:rsidR="00B17ED7" w:rsidRPr="003D520D">
        <w:rPr>
          <w:szCs w:val="22"/>
          <w:lang w:val="cs-CZ"/>
        </w:rPr>
        <w:t>=</w:t>
      </w:r>
      <w:r w:rsidRPr="003D520D">
        <w:rPr>
          <w:szCs w:val="22"/>
          <w:lang w:val="cs-CZ"/>
        </w:rPr>
        <w:t> </w:t>
      </w:r>
      <w:r w:rsidR="00B17ED7" w:rsidRPr="003D520D">
        <w:rPr>
          <w:szCs w:val="22"/>
          <w:lang w:val="cs-CZ"/>
        </w:rPr>
        <w:t>0</w:t>
      </w:r>
      <w:r w:rsidRPr="003D520D">
        <w:rPr>
          <w:szCs w:val="22"/>
          <w:lang w:val="cs-CZ"/>
        </w:rPr>
        <w:t>,</w:t>
      </w:r>
      <w:r w:rsidR="00B17ED7" w:rsidRPr="003D520D">
        <w:rPr>
          <w:szCs w:val="22"/>
          <w:lang w:val="cs-CZ"/>
        </w:rPr>
        <w:t xml:space="preserve">000159 </w:t>
      </w:r>
      <w:r w:rsidRPr="003D520D">
        <w:rPr>
          <w:szCs w:val="22"/>
          <w:lang w:val="cs-CZ"/>
        </w:rPr>
        <w:t xml:space="preserve">stratifikovaný log-rank test) a středním OS 8,8 měsíce oproti 6,3 měsíce </w:t>
      </w:r>
      <w:r w:rsidR="00B17ED7" w:rsidRPr="003D520D">
        <w:rPr>
          <w:szCs w:val="22"/>
          <w:lang w:val="cs-CZ"/>
        </w:rPr>
        <w:t>[</w:t>
      </w:r>
      <w:proofErr w:type="gramStart"/>
      <w:r w:rsidR="00B17ED7" w:rsidRPr="003D520D">
        <w:rPr>
          <w:szCs w:val="22"/>
          <w:lang w:val="cs-CZ"/>
        </w:rPr>
        <w:t>95%</w:t>
      </w:r>
      <w:proofErr w:type="gramEnd"/>
      <w:r w:rsidR="00B17ED7" w:rsidRPr="003D520D">
        <w:rPr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>IS</w:t>
      </w:r>
      <w:r w:rsidR="00B17ED7" w:rsidRPr="003D520D">
        <w:rPr>
          <w:szCs w:val="22"/>
          <w:lang w:val="cs-CZ"/>
        </w:rPr>
        <w:t xml:space="preserve"> 0</w:t>
      </w:r>
      <w:r w:rsidRPr="003D520D">
        <w:rPr>
          <w:szCs w:val="22"/>
          <w:lang w:val="cs-CZ"/>
        </w:rPr>
        <w:t>,</w:t>
      </w:r>
      <w:r w:rsidR="00B17ED7" w:rsidRPr="003D520D">
        <w:rPr>
          <w:szCs w:val="22"/>
          <w:lang w:val="cs-CZ"/>
        </w:rPr>
        <w:t>395, 0</w:t>
      </w:r>
      <w:r w:rsidRPr="003D520D">
        <w:rPr>
          <w:szCs w:val="22"/>
          <w:lang w:val="cs-CZ"/>
        </w:rPr>
        <w:t>,</w:t>
      </w:r>
      <w:r w:rsidR="00B17ED7" w:rsidRPr="003D520D">
        <w:rPr>
          <w:szCs w:val="22"/>
          <w:lang w:val="cs-CZ"/>
        </w:rPr>
        <w:t>765]. PFS</w:t>
      </w:r>
      <w:r w:rsidRPr="003D520D">
        <w:rPr>
          <w:szCs w:val="22"/>
          <w:lang w:val="cs-CZ"/>
        </w:rPr>
        <w:t xml:space="preserve"> byl </w:t>
      </w:r>
      <w:r w:rsidR="00A958E0" w:rsidRPr="003D520D">
        <w:rPr>
          <w:szCs w:val="22"/>
          <w:lang w:val="cs-CZ"/>
        </w:rPr>
        <w:t>také</w:t>
      </w:r>
      <w:r w:rsidRPr="003D520D">
        <w:rPr>
          <w:szCs w:val="22"/>
          <w:lang w:val="cs-CZ"/>
        </w:rPr>
        <w:t xml:space="preserve"> významně delší u pacientů léčených přípravkem </w:t>
      </w:r>
      <w:proofErr w:type="spellStart"/>
      <w:r w:rsidRPr="003D520D">
        <w:rPr>
          <w:szCs w:val="22"/>
          <w:lang w:val="cs-CZ"/>
        </w:rPr>
        <w:t>S</w:t>
      </w:r>
      <w:r w:rsidR="00A958E0" w:rsidRPr="003D520D">
        <w:rPr>
          <w:szCs w:val="22"/>
          <w:lang w:val="cs-CZ"/>
        </w:rPr>
        <w:t>t</w:t>
      </w:r>
      <w:r w:rsidRPr="003D520D">
        <w:rPr>
          <w:szCs w:val="22"/>
          <w:lang w:val="cs-CZ"/>
        </w:rPr>
        <w:t>ivarga</w:t>
      </w:r>
      <w:proofErr w:type="spellEnd"/>
      <w:r w:rsidRPr="003D520D">
        <w:rPr>
          <w:szCs w:val="22"/>
          <w:lang w:val="cs-CZ"/>
        </w:rPr>
        <w:t xml:space="preserve"> plus BSC </w:t>
      </w:r>
      <w:r w:rsidR="00B17ED7" w:rsidRPr="003D520D">
        <w:rPr>
          <w:szCs w:val="22"/>
          <w:lang w:val="cs-CZ"/>
        </w:rPr>
        <w:t>(</w:t>
      </w:r>
      <w:r w:rsidRPr="003D520D">
        <w:rPr>
          <w:szCs w:val="22"/>
          <w:lang w:val="cs-CZ"/>
        </w:rPr>
        <w:t>poměr rizik</w:t>
      </w:r>
      <w:r w:rsidR="00B17ED7" w:rsidRPr="003D520D">
        <w:rPr>
          <w:szCs w:val="22"/>
          <w:lang w:val="cs-CZ"/>
        </w:rPr>
        <w:t>: 0</w:t>
      </w:r>
      <w:r w:rsidRPr="003D520D">
        <w:rPr>
          <w:szCs w:val="22"/>
          <w:lang w:val="cs-CZ"/>
        </w:rPr>
        <w:t>,</w:t>
      </w:r>
      <w:r w:rsidR="00B17ED7" w:rsidRPr="003D520D">
        <w:rPr>
          <w:szCs w:val="22"/>
          <w:lang w:val="cs-CZ"/>
        </w:rPr>
        <w:t xml:space="preserve">311, </w:t>
      </w:r>
      <w:proofErr w:type="gramStart"/>
      <w:r w:rsidR="00B17ED7" w:rsidRPr="003D520D">
        <w:rPr>
          <w:szCs w:val="22"/>
          <w:lang w:val="cs-CZ"/>
        </w:rPr>
        <w:t>p&lt;</w:t>
      </w:r>
      <w:proofErr w:type="gramEnd"/>
      <w:r w:rsidR="00B17ED7" w:rsidRPr="003D520D">
        <w:rPr>
          <w:szCs w:val="22"/>
          <w:lang w:val="cs-CZ"/>
        </w:rPr>
        <w:t>0</w:t>
      </w:r>
      <w:r w:rsidRPr="003D520D">
        <w:rPr>
          <w:szCs w:val="22"/>
          <w:lang w:val="cs-CZ"/>
        </w:rPr>
        <w:t>,</w:t>
      </w:r>
      <w:r w:rsidR="00B17ED7" w:rsidRPr="003D520D">
        <w:rPr>
          <w:szCs w:val="22"/>
          <w:lang w:val="cs-CZ"/>
        </w:rPr>
        <w:t xml:space="preserve">000001), </w:t>
      </w:r>
      <w:r w:rsidR="00641259" w:rsidRPr="003D520D">
        <w:rPr>
          <w:szCs w:val="22"/>
          <w:lang w:val="cs-CZ"/>
        </w:rPr>
        <w:t>medián</w:t>
      </w:r>
      <w:r w:rsidR="00B17ED7" w:rsidRPr="003D520D">
        <w:rPr>
          <w:szCs w:val="22"/>
          <w:lang w:val="cs-CZ"/>
        </w:rPr>
        <w:t xml:space="preserve"> PFS 3</w:t>
      </w:r>
      <w:r w:rsidRPr="003D520D">
        <w:rPr>
          <w:szCs w:val="22"/>
          <w:lang w:val="cs-CZ"/>
        </w:rPr>
        <w:t>,</w:t>
      </w:r>
      <w:r w:rsidR="00B17ED7" w:rsidRPr="003D520D">
        <w:rPr>
          <w:szCs w:val="22"/>
          <w:lang w:val="cs-CZ"/>
        </w:rPr>
        <w:t>2</w:t>
      </w:r>
      <w:r w:rsidRPr="003D520D">
        <w:rPr>
          <w:szCs w:val="22"/>
          <w:lang w:val="cs-CZ"/>
        </w:rPr>
        <w:t> měsíce u přípravku</w:t>
      </w:r>
      <w:r w:rsidR="00B17ED7" w:rsidRPr="003D520D">
        <w:rPr>
          <w:szCs w:val="22"/>
          <w:lang w:val="cs-CZ"/>
        </w:rPr>
        <w:t xml:space="preserve"> </w:t>
      </w:r>
      <w:proofErr w:type="spellStart"/>
      <w:r w:rsidR="00B17ED7" w:rsidRPr="003D520D">
        <w:rPr>
          <w:szCs w:val="22"/>
          <w:lang w:val="cs-CZ"/>
        </w:rPr>
        <w:t>Stivarga</w:t>
      </w:r>
      <w:proofErr w:type="spellEnd"/>
      <w:r w:rsidR="00B17ED7" w:rsidRPr="003D520D">
        <w:rPr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>oproti</w:t>
      </w:r>
      <w:r w:rsidR="00B17ED7" w:rsidRPr="003D520D">
        <w:rPr>
          <w:szCs w:val="22"/>
          <w:lang w:val="cs-CZ"/>
        </w:rPr>
        <w:t xml:space="preserve"> 1</w:t>
      </w:r>
      <w:r w:rsidRPr="003D520D">
        <w:rPr>
          <w:szCs w:val="22"/>
          <w:lang w:val="cs-CZ"/>
        </w:rPr>
        <w:t>,</w:t>
      </w:r>
      <w:r w:rsidR="004C7646">
        <w:rPr>
          <w:szCs w:val="22"/>
          <w:lang w:val="cs-CZ"/>
        </w:rPr>
        <w:t>7</w:t>
      </w:r>
      <w:r w:rsidRPr="003D520D">
        <w:rPr>
          <w:szCs w:val="22"/>
          <w:lang w:val="cs-CZ"/>
        </w:rPr>
        <w:t> měsíce u placeba</w:t>
      </w:r>
      <w:r w:rsidR="00B17ED7" w:rsidRPr="003D520D">
        <w:rPr>
          <w:szCs w:val="22"/>
          <w:lang w:val="cs-CZ"/>
        </w:rPr>
        <w:t>.</w:t>
      </w:r>
      <w:r w:rsidRPr="003D520D">
        <w:rPr>
          <w:szCs w:val="22"/>
          <w:lang w:val="cs-CZ"/>
        </w:rPr>
        <w:t xml:space="preserve"> Bezpečnostní profil přípravku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plus </w:t>
      </w:r>
      <w:r w:rsidR="00153F51" w:rsidRPr="003D520D">
        <w:rPr>
          <w:szCs w:val="22"/>
          <w:lang w:val="cs-CZ"/>
        </w:rPr>
        <w:t>BSC</w:t>
      </w:r>
      <w:r w:rsidRPr="003D520D">
        <w:rPr>
          <w:szCs w:val="22"/>
          <w:lang w:val="cs-CZ"/>
        </w:rPr>
        <w:t xml:space="preserve"> ve studii CONCUR odpovídal bezpečnostnímu profilu pozorovaném</w:t>
      </w:r>
      <w:r w:rsidR="00A958E0" w:rsidRPr="003D520D">
        <w:rPr>
          <w:szCs w:val="22"/>
          <w:lang w:val="cs-CZ"/>
        </w:rPr>
        <w:t>u</w:t>
      </w:r>
      <w:r w:rsidRPr="003D520D">
        <w:rPr>
          <w:szCs w:val="22"/>
          <w:lang w:val="cs-CZ"/>
        </w:rPr>
        <w:t xml:space="preserve"> ve studii CORRECT.</w:t>
      </w:r>
    </w:p>
    <w:p w14:paraId="4737425F" w14:textId="77777777" w:rsidR="00173217" w:rsidRDefault="00173217" w:rsidP="005A5139">
      <w:pPr>
        <w:rPr>
          <w:i/>
          <w:iCs/>
          <w:lang w:val="cs-CZ"/>
        </w:rPr>
      </w:pPr>
    </w:p>
    <w:p w14:paraId="7D4577FD" w14:textId="5CB28222" w:rsidR="00ED680A" w:rsidRPr="005A5139" w:rsidRDefault="00ED680A" w:rsidP="005A5139">
      <w:pPr>
        <w:rPr>
          <w:i/>
          <w:iCs/>
          <w:szCs w:val="22"/>
          <w:lang w:val="cs-CZ"/>
        </w:rPr>
      </w:pPr>
      <w:r w:rsidRPr="005A5139">
        <w:rPr>
          <w:i/>
          <w:iCs/>
          <w:lang w:val="cs-CZ"/>
        </w:rPr>
        <w:t>Gastrointestin</w:t>
      </w:r>
      <w:r w:rsidR="008453B1" w:rsidRPr="005A5139">
        <w:rPr>
          <w:i/>
          <w:iCs/>
          <w:lang w:val="cs-CZ"/>
        </w:rPr>
        <w:t xml:space="preserve">ální </w:t>
      </w:r>
      <w:proofErr w:type="spellStart"/>
      <w:r w:rsidR="008453B1" w:rsidRPr="005A5139">
        <w:rPr>
          <w:i/>
          <w:iCs/>
          <w:lang w:val="cs-CZ"/>
        </w:rPr>
        <w:t>stromální</w:t>
      </w:r>
      <w:proofErr w:type="spellEnd"/>
      <w:r w:rsidR="008453B1" w:rsidRPr="005A5139">
        <w:rPr>
          <w:i/>
          <w:iCs/>
          <w:lang w:val="cs-CZ"/>
        </w:rPr>
        <w:t xml:space="preserve"> nádory</w:t>
      </w:r>
      <w:r w:rsidRPr="005A5139">
        <w:rPr>
          <w:i/>
          <w:iCs/>
          <w:lang w:val="cs-CZ"/>
        </w:rPr>
        <w:t xml:space="preserve"> (GIST)</w:t>
      </w:r>
    </w:p>
    <w:p w14:paraId="7D4577FE" w14:textId="77777777" w:rsidR="00ED680A" w:rsidRPr="003D520D" w:rsidRDefault="00362E3C" w:rsidP="00D707AB">
      <w:pPr>
        <w:spacing w:before="120" w:after="0"/>
        <w:rPr>
          <w:rFonts w:eastAsia="MS Mincho"/>
          <w:szCs w:val="22"/>
          <w:lang w:val="cs-CZ" w:eastAsia="en-US"/>
        </w:rPr>
      </w:pPr>
      <w:r w:rsidRPr="003D520D">
        <w:rPr>
          <w:rFonts w:eastAsia="MS Mincho"/>
          <w:szCs w:val="22"/>
          <w:lang w:val="cs-CZ" w:eastAsia="en-US"/>
        </w:rPr>
        <w:lastRenderedPageBreak/>
        <w:t xml:space="preserve">Klinická účinnost a bezpečnost přípravku </w:t>
      </w:r>
      <w:proofErr w:type="spellStart"/>
      <w:r w:rsidRPr="003D520D">
        <w:rPr>
          <w:rFonts w:eastAsia="MS Mincho"/>
          <w:szCs w:val="22"/>
          <w:lang w:val="cs-CZ" w:eastAsia="en-US"/>
        </w:rPr>
        <w:t>Stivarga</w:t>
      </w:r>
      <w:proofErr w:type="spellEnd"/>
      <w:r w:rsidRPr="003D520D">
        <w:rPr>
          <w:rFonts w:eastAsia="MS Mincho"/>
          <w:szCs w:val="22"/>
          <w:lang w:val="cs-CZ" w:eastAsia="en-US"/>
        </w:rPr>
        <w:t xml:space="preserve"> byla hodnocena v mezinárodní, multicentrické, randomizované, dvojitě zaslepené, placebem kontrolované studii fá</w:t>
      </w:r>
      <w:r w:rsidR="009265A9" w:rsidRPr="003D520D">
        <w:rPr>
          <w:rFonts w:eastAsia="MS Mincho"/>
          <w:szCs w:val="22"/>
          <w:lang w:val="cs-CZ" w:eastAsia="en-US"/>
        </w:rPr>
        <w:t>ze </w:t>
      </w:r>
      <w:r w:rsidRPr="003D520D">
        <w:rPr>
          <w:rFonts w:eastAsia="MS Mincho"/>
          <w:szCs w:val="22"/>
          <w:lang w:val="cs-CZ" w:eastAsia="en-US"/>
        </w:rPr>
        <w:t xml:space="preserve">III </w:t>
      </w:r>
      <w:r w:rsidR="00B17ED7" w:rsidRPr="003D520D">
        <w:rPr>
          <w:rFonts w:eastAsia="MS Mincho"/>
          <w:szCs w:val="22"/>
          <w:lang w:val="cs-CZ" w:eastAsia="en-US"/>
        </w:rPr>
        <w:t xml:space="preserve">(GRID) </w:t>
      </w:r>
      <w:r w:rsidRPr="003D520D">
        <w:rPr>
          <w:rFonts w:eastAsia="MS Mincho"/>
          <w:szCs w:val="22"/>
          <w:lang w:val="cs-CZ" w:eastAsia="en-US"/>
        </w:rPr>
        <w:t xml:space="preserve">u pacientů s gastrointestinálními </w:t>
      </w:r>
      <w:proofErr w:type="spellStart"/>
      <w:r w:rsidRPr="003D520D">
        <w:rPr>
          <w:rFonts w:eastAsia="MS Mincho"/>
          <w:szCs w:val="22"/>
          <w:lang w:val="cs-CZ" w:eastAsia="en-US"/>
        </w:rPr>
        <w:t>stromálními</w:t>
      </w:r>
      <w:proofErr w:type="spellEnd"/>
      <w:r w:rsidRPr="003D520D">
        <w:rPr>
          <w:rFonts w:eastAsia="MS Mincho"/>
          <w:szCs w:val="22"/>
          <w:lang w:val="cs-CZ" w:eastAsia="en-US"/>
        </w:rPr>
        <w:t xml:space="preserve"> nádory (GIST), kteří byli d</w:t>
      </w:r>
      <w:r w:rsidR="001E6FBA" w:rsidRPr="003D520D">
        <w:rPr>
          <w:rFonts w:eastAsia="MS Mincho"/>
          <w:szCs w:val="22"/>
          <w:lang w:val="cs-CZ" w:eastAsia="en-US"/>
        </w:rPr>
        <w:t>ří</w:t>
      </w:r>
      <w:r w:rsidRPr="003D520D">
        <w:rPr>
          <w:rFonts w:eastAsia="MS Mincho"/>
          <w:szCs w:val="22"/>
          <w:lang w:val="cs-CZ" w:eastAsia="en-US"/>
        </w:rPr>
        <w:t xml:space="preserve">ve léčeni 2 inhibitory </w:t>
      </w:r>
      <w:proofErr w:type="spellStart"/>
      <w:r w:rsidRPr="003D520D">
        <w:rPr>
          <w:rFonts w:eastAsia="MS Mincho"/>
          <w:szCs w:val="22"/>
          <w:lang w:val="cs-CZ" w:eastAsia="en-US"/>
        </w:rPr>
        <w:t>tyrosinkinázy</w:t>
      </w:r>
      <w:proofErr w:type="spellEnd"/>
      <w:r w:rsidRPr="003D520D">
        <w:rPr>
          <w:rFonts w:eastAsia="MS Mincho"/>
          <w:szCs w:val="22"/>
          <w:lang w:val="cs-CZ" w:eastAsia="en-US"/>
        </w:rPr>
        <w:t xml:space="preserve"> (</w:t>
      </w:r>
      <w:proofErr w:type="spellStart"/>
      <w:r w:rsidRPr="003D520D">
        <w:rPr>
          <w:rFonts w:eastAsia="MS Mincho"/>
          <w:szCs w:val="22"/>
          <w:lang w:val="cs-CZ" w:eastAsia="en-US"/>
        </w:rPr>
        <w:t>imatinib</w:t>
      </w:r>
      <w:proofErr w:type="spellEnd"/>
      <w:r w:rsidRPr="003D520D">
        <w:rPr>
          <w:rFonts w:eastAsia="MS Mincho"/>
          <w:szCs w:val="22"/>
          <w:lang w:val="cs-CZ" w:eastAsia="en-US"/>
        </w:rPr>
        <w:t xml:space="preserve"> a </w:t>
      </w:r>
      <w:proofErr w:type="spellStart"/>
      <w:r w:rsidRPr="003D520D">
        <w:rPr>
          <w:rFonts w:eastAsia="MS Mincho"/>
          <w:szCs w:val="22"/>
          <w:lang w:val="cs-CZ" w:eastAsia="en-US"/>
        </w:rPr>
        <w:t>sunitinib</w:t>
      </w:r>
      <w:proofErr w:type="spellEnd"/>
      <w:r w:rsidRPr="003D520D">
        <w:rPr>
          <w:rFonts w:eastAsia="MS Mincho"/>
          <w:szCs w:val="22"/>
          <w:lang w:val="cs-CZ" w:eastAsia="en-US"/>
        </w:rPr>
        <w:t>).</w:t>
      </w:r>
    </w:p>
    <w:p w14:paraId="7D4577FF" w14:textId="77777777" w:rsidR="00362E3C" w:rsidRPr="003D520D" w:rsidRDefault="00362E3C" w:rsidP="00D707AB">
      <w:pPr>
        <w:spacing w:before="120" w:after="0"/>
        <w:rPr>
          <w:rFonts w:eastAsia="MS Mincho"/>
          <w:szCs w:val="22"/>
          <w:lang w:val="cs-CZ" w:eastAsia="en-US"/>
        </w:rPr>
      </w:pPr>
      <w:r w:rsidRPr="003D520D">
        <w:rPr>
          <w:rFonts w:eastAsia="MS Mincho"/>
          <w:szCs w:val="22"/>
          <w:lang w:val="cs-CZ" w:eastAsia="en-US"/>
        </w:rPr>
        <w:t xml:space="preserve">Analýza primárního cílového </w:t>
      </w:r>
      <w:r w:rsidR="00E11BC1" w:rsidRPr="003D520D">
        <w:rPr>
          <w:rFonts w:eastAsia="MS Mincho"/>
          <w:szCs w:val="22"/>
          <w:lang w:val="cs-CZ" w:eastAsia="en-US"/>
        </w:rPr>
        <w:t>parametru</w:t>
      </w:r>
      <w:r w:rsidRPr="003D520D">
        <w:rPr>
          <w:rFonts w:eastAsia="MS Mincho"/>
          <w:szCs w:val="22"/>
          <w:lang w:val="cs-CZ" w:eastAsia="en-US"/>
        </w:rPr>
        <w:t xml:space="preserve"> účinnosti přežití bez progrese (PFS) byla provedena po 144 příhodách PFS (centrální zaslepené hodnocení). Byly </w:t>
      </w:r>
      <w:r w:rsidR="00AB6A5E" w:rsidRPr="003D520D">
        <w:rPr>
          <w:rFonts w:eastAsia="MS Mincho"/>
          <w:szCs w:val="22"/>
          <w:lang w:val="cs-CZ" w:eastAsia="en-US"/>
        </w:rPr>
        <w:t>také</w:t>
      </w:r>
      <w:r w:rsidRPr="003D520D">
        <w:rPr>
          <w:rFonts w:eastAsia="MS Mincho"/>
          <w:szCs w:val="22"/>
          <w:lang w:val="cs-CZ" w:eastAsia="en-US"/>
        </w:rPr>
        <w:t xml:space="preserve"> hodnoceny sekundární cílové </w:t>
      </w:r>
      <w:r w:rsidR="00227381" w:rsidRPr="003D520D">
        <w:rPr>
          <w:rFonts w:eastAsia="MS Mincho"/>
          <w:szCs w:val="22"/>
          <w:lang w:val="cs-CZ" w:eastAsia="en-US"/>
        </w:rPr>
        <w:t>parametry</w:t>
      </w:r>
      <w:r w:rsidRPr="003D520D">
        <w:rPr>
          <w:rFonts w:eastAsia="MS Mincho"/>
          <w:szCs w:val="22"/>
          <w:lang w:val="cs-CZ" w:eastAsia="en-US"/>
        </w:rPr>
        <w:t xml:space="preserve"> účinnosti zahrnující dobu do progrese (TTP) a celkové přežití (OS).</w:t>
      </w:r>
    </w:p>
    <w:p w14:paraId="7D457800" w14:textId="77777777" w:rsidR="00362E3C" w:rsidRPr="003D520D" w:rsidRDefault="00362E3C" w:rsidP="00D707AB">
      <w:pPr>
        <w:spacing w:before="120" w:after="0"/>
        <w:rPr>
          <w:rFonts w:eastAsia="MS Mincho"/>
          <w:szCs w:val="22"/>
          <w:lang w:val="cs-CZ" w:eastAsia="en-US"/>
        </w:rPr>
      </w:pPr>
      <w:r w:rsidRPr="003D520D">
        <w:rPr>
          <w:rFonts w:eastAsia="MS Mincho"/>
          <w:szCs w:val="22"/>
          <w:lang w:val="cs-CZ" w:eastAsia="en-US"/>
        </w:rPr>
        <w:t xml:space="preserve">Celkem bylo randomizováno 199 pacientů s GIST v poměru 2:1 do léčby buď 160 mg </w:t>
      </w:r>
      <w:proofErr w:type="spellStart"/>
      <w:r w:rsidRPr="003D520D">
        <w:rPr>
          <w:rFonts w:eastAsia="MS Mincho"/>
          <w:szCs w:val="22"/>
          <w:lang w:val="cs-CZ" w:eastAsia="en-US"/>
        </w:rPr>
        <w:t>regorafenibu</w:t>
      </w:r>
      <w:proofErr w:type="spellEnd"/>
      <w:r w:rsidRPr="003D520D">
        <w:rPr>
          <w:rFonts w:eastAsia="MS Mincho"/>
          <w:szCs w:val="22"/>
          <w:lang w:val="cs-CZ" w:eastAsia="en-US"/>
        </w:rPr>
        <w:t xml:space="preserve"> plus nejlepší podpůrnou péčí (BSC;</w:t>
      </w:r>
      <w:r w:rsidR="001E6FBA" w:rsidRPr="003D520D">
        <w:rPr>
          <w:rFonts w:eastAsia="MS Mincho"/>
          <w:szCs w:val="22"/>
          <w:lang w:val="cs-CZ" w:eastAsia="en-US"/>
        </w:rPr>
        <w:t xml:space="preserve"> </w:t>
      </w:r>
      <w:r w:rsidR="007D4208" w:rsidRPr="00C87CCD">
        <w:rPr>
          <w:rFonts w:eastAsia="MS Mincho"/>
          <w:szCs w:val="22"/>
          <w:lang w:val="cs-CZ" w:eastAsia="en-US"/>
        </w:rPr>
        <w:t>n</w:t>
      </w:r>
      <w:r w:rsidRPr="00C87CCD">
        <w:rPr>
          <w:rFonts w:eastAsia="MS Mincho"/>
          <w:szCs w:val="22"/>
          <w:lang w:val="cs-CZ" w:eastAsia="en-US"/>
        </w:rPr>
        <w:t>=1</w:t>
      </w:r>
      <w:r w:rsidRPr="003D520D">
        <w:rPr>
          <w:rFonts w:eastAsia="MS Mincho"/>
          <w:szCs w:val="22"/>
          <w:lang w:val="cs-CZ" w:eastAsia="en-US"/>
        </w:rPr>
        <w:t xml:space="preserve">33) perorálně jednou denně nebo do odpovídajícího placebo plus BSC </w:t>
      </w:r>
      <w:r w:rsidRPr="00C87CCD">
        <w:rPr>
          <w:rFonts w:eastAsia="MS Mincho"/>
          <w:szCs w:val="22"/>
          <w:lang w:val="cs-CZ" w:eastAsia="en-US"/>
        </w:rPr>
        <w:t>(</w:t>
      </w:r>
      <w:r w:rsidR="007D4208" w:rsidRPr="00C87CCD">
        <w:rPr>
          <w:rFonts w:eastAsia="MS Mincho"/>
          <w:szCs w:val="22"/>
          <w:lang w:val="cs-CZ" w:eastAsia="en-US"/>
        </w:rPr>
        <w:t>n</w:t>
      </w:r>
      <w:r w:rsidRPr="00C87CCD">
        <w:rPr>
          <w:rFonts w:eastAsia="MS Mincho"/>
          <w:szCs w:val="22"/>
          <w:lang w:val="cs-CZ" w:eastAsia="en-US"/>
        </w:rPr>
        <w:t>=</w:t>
      </w:r>
      <w:r w:rsidRPr="003D520D">
        <w:rPr>
          <w:rFonts w:eastAsia="MS Mincho"/>
          <w:szCs w:val="22"/>
          <w:lang w:val="cs-CZ" w:eastAsia="en-US"/>
        </w:rPr>
        <w:t>66) po dobu 3 týdnů léčby s následnou dobou 1 týdne bez léčby</w:t>
      </w:r>
      <w:r w:rsidR="00B273EB" w:rsidRPr="003D520D">
        <w:rPr>
          <w:rFonts w:eastAsia="MS Mincho"/>
          <w:szCs w:val="22"/>
          <w:lang w:val="cs-CZ" w:eastAsia="en-US"/>
        </w:rPr>
        <w:t xml:space="preserve">. Průměrná denní podaná dávka </w:t>
      </w:r>
      <w:proofErr w:type="spellStart"/>
      <w:r w:rsidR="00B273EB" w:rsidRPr="003D520D">
        <w:rPr>
          <w:rFonts w:eastAsia="MS Mincho"/>
          <w:szCs w:val="22"/>
          <w:lang w:val="cs-CZ" w:eastAsia="en-US"/>
        </w:rPr>
        <w:t>re</w:t>
      </w:r>
      <w:r w:rsidRPr="003D520D">
        <w:rPr>
          <w:rFonts w:eastAsia="MS Mincho"/>
          <w:szCs w:val="22"/>
          <w:lang w:val="cs-CZ" w:eastAsia="en-US"/>
        </w:rPr>
        <w:t>gorafenibu</w:t>
      </w:r>
      <w:proofErr w:type="spellEnd"/>
      <w:r w:rsidRPr="003D520D">
        <w:rPr>
          <w:rFonts w:eastAsia="MS Mincho"/>
          <w:szCs w:val="22"/>
          <w:lang w:val="cs-CZ" w:eastAsia="en-US"/>
        </w:rPr>
        <w:t xml:space="preserve"> byla 140 mg.</w:t>
      </w:r>
    </w:p>
    <w:p w14:paraId="7D457801" w14:textId="77777777" w:rsidR="000639FC" w:rsidRPr="003D520D" w:rsidRDefault="00362E3C" w:rsidP="00D707AB">
      <w:pPr>
        <w:spacing w:before="120" w:after="0"/>
        <w:rPr>
          <w:rFonts w:eastAsia="MS Mincho"/>
          <w:szCs w:val="22"/>
          <w:lang w:val="cs-CZ" w:eastAsia="en-US"/>
        </w:rPr>
      </w:pPr>
      <w:r w:rsidRPr="003D520D">
        <w:rPr>
          <w:rFonts w:eastAsia="MS Mincho"/>
          <w:szCs w:val="22"/>
          <w:lang w:val="cs-CZ" w:eastAsia="en-US"/>
        </w:rPr>
        <w:t xml:space="preserve">Pacienti byli léčeni do progrese onemocnění nebo nepřijatelné toxicity. Pacientům na placebu, u kterých došlo k progresi onemocnění, byl nabídnut </w:t>
      </w:r>
      <w:proofErr w:type="spellStart"/>
      <w:r w:rsidRPr="003D520D">
        <w:rPr>
          <w:rFonts w:eastAsia="MS Mincho"/>
          <w:szCs w:val="22"/>
          <w:lang w:val="cs-CZ" w:eastAsia="en-US"/>
        </w:rPr>
        <w:t>odslepený</w:t>
      </w:r>
      <w:proofErr w:type="spellEnd"/>
      <w:r w:rsidRPr="003D520D">
        <w:rPr>
          <w:rFonts w:eastAsia="MS Mincho"/>
          <w:szCs w:val="22"/>
          <w:lang w:val="cs-CZ" w:eastAsia="en-US"/>
        </w:rPr>
        <w:t xml:space="preserve"> </w:t>
      </w:r>
      <w:proofErr w:type="spellStart"/>
      <w:r w:rsidRPr="003D520D">
        <w:rPr>
          <w:rFonts w:eastAsia="MS Mincho"/>
          <w:szCs w:val="22"/>
          <w:lang w:val="cs-CZ" w:eastAsia="en-US"/>
        </w:rPr>
        <w:t>regorafenib</w:t>
      </w:r>
      <w:proofErr w:type="spellEnd"/>
      <w:r w:rsidRPr="003D520D">
        <w:rPr>
          <w:rFonts w:eastAsia="MS Mincho"/>
          <w:szCs w:val="22"/>
          <w:lang w:val="cs-CZ" w:eastAsia="en-US"/>
        </w:rPr>
        <w:t xml:space="preserve"> (přek</w:t>
      </w:r>
      <w:r w:rsidR="00B273EB" w:rsidRPr="003D520D">
        <w:rPr>
          <w:rFonts w:eastAsia="MS Mincho"/>
          <w:szCs w:val="22"/>
          <w:lang w:val="cs-CZ" w:eastAsia="en-US"/>
        </w:rPr>
        <w:t xml:space="preserve">řížená možnost). Pacientům na </w:t>
      </w:r>
      <w:proofErr w:type="spellStart"/>
      <w:r w:rsidR="00B273EB" w:rsidRPr="003D520D">
        <w:rPr>
          <w:rFonts w:eastAsia="MS Mincho"/>
          <w:szCs w:val="22"/>
          <w:lang w:val="cs-CZ" w:eastAsia="en-US"/>
        </w:rPr>
        <w:t>re</w:t>
      </w:r>
      <w:r w:rsidRPr="003D520D">
        <w:rPr>
          <w:rFonts w:eastAsia="MS Mincho"/>
          <w:szCs w:val="22"/>
          <w:lang w:val="cs-CZ" w:eastAsia="en-US"/>
        </w:rPr>
        <w:t>gorafenibu</w:t>
      </w:r>
      <w:proofErr w:type="spellEnd"/>
      <w:r w:rsidRPr="003D520D">
        <w:rPr>
          <w:rFonts w:eastAsia="MS Mincho"/>
          <w:szCs w:val="22"/>
          <w:lang w:val="cs-CZ" w:eastAsia="en-US"/>
        </w:rPr>
        <w:t xml:space="preserve">, u kterých došlo </w:t>
      </w:r>
      <w:r w:rsidR="00AB6A5E" w:rsidRPr="003D520D">
        <w:rPr>
          <w:rFonts w:eastAsia="MS Mincho"/>
          <w:szCs w:val="22"/>
          <w:lang w:val="cs-CZ" w:eastAsia="en-US"/>
        </w:rPr>
        <w:t>k</w:t>
      </w:r>
      <w:r w:rsidRPr="003D520D">
        <w:rPr>
          <w:rFonts w:eastAsia="MS Mincho"/>
          <w:szCs w:val="22"/>
          <w:lang w:val="cs-CZ" w:eastAsia="en-US"/>
        </w:rPr>
        <w:t xml:space="preserve"> progresi onemocnění a u kterých podle názor</w:t>
      </w:r>
      <w:r w:rsidR="00B273EB" w:rsidRPr="003D520D">
        <w:rPr>
          <w:rFonts w:eastAsia="MS Mincho"/>
          <w:szCs w:val="22"/>
          <w:lang w:val="cs-CZ" w:eastAsia="en-US"/>
        </w:rPr>
        <w:t xml:space="preserve">u zkoušejícího poskytoval </w:t>
      </w:r>
      <w:proofErr w:type="spellStart"/>
      <w:r w:rsidR="00B273EB" w:rsidRPr="003D520D">
        <w:rPr>
          <w:rFonts w:eastAsia="MS Mincho"/>
          <w:szCs w:val="22"/>
          <w:lang w:val="cs-CZ" w:eastAsia="en-US"/>
        </w:rPr>
        <w:t>re</w:t>
      </w:r>
      <w:r w:rsidRPr="003D520D">
        <w:rPr>
          <w:rFonts w:eastAsia="MS Mincho"/>
          <w:szCs w:val="22"/>
          <w:lang w:val="cs-CZ" w:eastAsia="en-US"/>
        </w:rPr>
        <w:t>gorafenib</w:t>
      </w:r>
      <w:proofErr w:type="spellEnd"/>
      <w:r w:rsidRPr="003D520D">
        <w:rPr>
          <w:rFonts w:eastAsia="MS Mincho"/>
          <w:szCs w:val="22"/>
          <w:lang w:val="cs-CZ" w:eastAsia="en-US"/>
        </w:rPr>
        <w:t xml:space="preserve"> klinický přínos, byla nabídnuta možnost </w:t>
      </w:r>
      <w:r w:rsidR="00B273EB" w:rsidRPr="003D520D">
        <w:rPr>
          <w:rFonts w:eastAsia="MS Mincho"/>
          <w:szCs w:val="22"/>
          <w:lang w:val="cs-CZ" w:eastAsia="en-US"/>
        </w:rPr>
        <w:t xml:space="preserve">pokračovat v léčbě </w:t>
      </w:r>
      <w:proofErr w:type="spellStart"/>
      <w:r w:rsidR="00B273EB" w:rsidRPr="003D520D">
        <w:rPr>
          <w:rFonts w:eastAsia="MS Mincho"/>
          <w:szCs w:val="22"/>
          <w:lang w:val="cs-CZ" w:eastAsia="en-US"/>
        </w:rPr>
        <w:t>odslepeným</w:t>
      </w:r>
      <w:proofErr w:type="spellEnd"/>
      <w:r w:rsidR="00B273EB" w:rsidRPr="003D520D">
        <w:rPr>
          <w:rFonts w:eastAsia="MS Mincho"/>
          <w:szCs w:val="22"/>
          <w:lang w:val="cs-CZ" w:eastAsia="en-US"/>
        </w:rPr>
        <w:t xml:space="preserve"> </w:t>
      </w:r>
      <w:proofErr w:type="spellStart"/>
      <w:r w:rsidR="00B273EB" w:rsidRPr="003D520D">
        <w:rPr>
          <w:rFonts w:eastAsia="MS Mincho"/>
          <w:szCs w:val="22"/>
          <w:lang w:val="cs-CZ" w:eastAsia="en-US"/>
        </w:rPr>
        <w:t>re</w:t>
      </w:r>
      <w:r w:rsidRPr="003D520D">
        <w:rPr>
          <w:rFonts w:eastAsia="MS Mincho"/>
          <w:szCs w:val="22"/>
          <w:lang w:val="cs-CZ" w:eastAsia="en-US"/>
        </w:rPr>
        <w:t>gorafenibem</w:t>
      </w:r>
      <w:proofErr w:type="spellEnd"/>
      <w:r w:rsidRPr="003D520D">
        <w:rPr>
          <w:rFonts w:eastAsia="MS Mincho"/>
          <w:szCs w:val="22"/>
          <w:lang w:val="cs-CZ" w:eastAsia="en-US"/>
        </w:rPr>
        <w:t>.</w:t>
      </w:r>
    </w:p>
    <w:p w14:paraId="7D457802" w14:textId="77777777" w:rsidR="000639FC" w:rsidRPr="003D520D" w:rsidRDefault="000639FC" w:rsidP="00D707AB">
      <w:pPr>
        <w:spacing w:before="120" w:after="0"/>
        <w:rPr>
          <w:rFonts w:eastAsia="MS Mincho"/>
          <w:szCs w:val="22"/>
          <w:lang w:val="cs-CZ" w:eastAsia="en-US"/>
        </w:rPr>
      </w:pPr>
      <w:r w:rsidRPr="003D520D">
        <w:rPr>
          <w:rFonts w:eastAsia="MS Mincho"/>
          <w:szCs w:val="22"/>
          <w:lang w:val="cs-CZ" w:eastAsia="en-US"/>
        </w:rPr>
        <w:t xml:space="preserve">Průměrný věk u 199 randomizovaných pacientů </w:t>
      </w:r>
      <w:r w:rsidR="00AB6A5E" w:rsidRPr="003D520D">
        <w:rPr>
          <w:rFonts w:eastAsia="MS Mincho"/>
          <w:szCs w:val="22"/>
          <w:lang w:val="cs-CZ" w:eastAsia="en-US"/>
        </w:rPr>
        <w:t>byl 58 let, 64 % byli muži</w:t>
      </w:r>
      <w:r w:rsidR="001E6FBA" w:rsidRPr="003D520D">
        <w:rPr>
          <w:rFonts w:eastAsia="MS Mincho"/>
          <w:szCs w:val="22"/>
          <w:lang w:val="cs-CZ" w:eastAsia="en-US"/>
        </w:rPr>
        <w:t>,</w:t>
      </w:r>
      <w:r w:rsidRPr="003D520D">
        <w:rPr>
          <w:rFonts w:eastAsia="MS Mincho"/>
          <w:szCs w:val="22"/>
          <w:lang w:val="cs-CZ" w:eastAsia="en-US"/>
        </w:rPr>
        <w:t xml:space="preserve"> 68 % byli běloši a všichni pacienti měli výchozí výkonnostní stav ECOG </w:t>
      </w:r>
      <w:r w:rsidR="001E6FBA" w:rsidRPr="003D520D">
        <w:rPr>
          <w:rFonts w:eastAsia="MS Mincho"/>
          <w:szCs w:val="22"/>
          <w:lang w:val="cs-CZ" w:eastAsia="en-US"/>
        </w:rPr>
        <w:t>(</w:t>
      </w:r>
      <w:proofErr w:type="gramStart"/>
      <w:r w:rsidR="001E6FBA" w:rsidRPr="003D520D">
        <w:rPr>
          <w:rFonts w:eastAsia="MS Mincho"/>
          <w:szCs w:val="22"/>
          <w:lang w:val="cs-CZ" w:eastAsia="en-US"/>
        </w:rPr>
        <w:t>ECOG -PS</w:t>
      </w:r>
      <w:proofErr w:type="gramEnd"/>
      <w:r w:rsidR="001E6FBA" w:rsidRPr="003D520D">
        <w:rPr>
          <w:rFonts w:eastAsia="MS Mincho"/>
          <w:szCs w:val="22"/>
          <w:lang w:val="cs-CZ" w:eastAsia="en-US"/>
        </w:rPr>
        <w:t xml:space="preserve">) </w:t>
      </w:r>
      <w:r w:rsidRPr="003D520D">
        <w:rPr>
          <w:rFonts w:eastAsia="MS Mincho"/>
          <w:szCs w:val="22"/>
          <w:lang w:val="cs-CZ" w:eastAsia="en-US"/>
        </w:rPr>
        <w:t>0 nebo 1. Celková střední doba od poslední progrese nebo relaps</w:t>
      </w:r>
      <w:r w:rsidR="00227381" w:rsidRPr="003D520D">
        <w:rPr>
          <w:rFonts w:eastAsia="MS Mincho"/>
          <w:szCs w:val="22"/>
          <w:lang w:val="cs-CZ" w:eastAsia="en-US"/>
        </w:rPr>
        <w:t>u</w:t>
      </w:r>
      <w:r w:rsidRPr="003D520D">
        <w:rPr>
          <w:rFonts w:eastAsia="MS Mincho"/>
          <w:szCs w:val="22"/>
          <w:lang w:val="cs-CZ" w:eastAsia="en-US"/>
        </w:rPr>
        <w:t xml:space="preserve"> do randomizace byla 6 týdnů.</w:t>
      </w:r>
    </w:p>
    <w:p w14:paraId="7D457803" w14:textId="77777777" w:rsidR="00F0494D" w:rsidRPr="003D520D" w:rsidRDefault="00B273EB" w:rsidP="00D707AB">
      <w:pPr>
        <w:spacing w:before="120" w:after="0"/>
        <w:rPr>
          <w:rFonts w:eastAsia="MS Mincho"/>
          <w:szCs w:val="22"/>
          <w:lang w:val="cs-CZ" w:eastAsia="en-US"/>
        </w:rPr>
      </w:pPr>
      <w:proofErr w:type="spellStart"/>
      <w:r w:rsidRPr="003D520D">
        <w:rPr>
          <w:rFonts w:eastAsia="MS Mincho"/>
          <w:szCs w:val="22"/>
          <w:lang w:val="cs-CZ" w:eastAsia="en-US"/>
        </w:rPr>
        <w:t>Re</w:t>
      </w:r>
      <w:r w:rsidR="000639FC" w:rsidRPr="003D520D">
        <w:rPr>
          <w:rFonts w:eastAsia="MS Mincho"/>
          <w:szCs w:val="22"/>
          <w:lang w:val="cs-CZ" w:eastAsia="en-US"/>
        </w:rPr>
        <w:t>gorafenib</w:t>
      </w:r>
      <w:proofErr w:type="spellEnd"/>
      <w:r w:rsidR="000639FC" w:rsidRPr="003D520D">
        <w:rPr>
          <w:rFonts w:eastAsia="MS Mincho"/>
          <w:szCs w:val="22"/>
          <w:lang w:val="cs-CZ" w:eastAsia="en-US"/>
        </w:rPr>
        <w:t xml:space="preserve"> plus BSC vedly k významně delšímu PFS ve srovnání s placebem plus BSC s poměrem rizik 0,268 [</w:t>
      </w:r>
      <w:proofErr w:type="gramStart"/>
      <w:r w:rsidR="000639FC" w:rsidRPr="003D520D">
        <w:rPr>
          <w:rFonts w:eastAsia="MS Mincho"/>
          <w:szCs w:val="22"/>
          <w:lang w:val="cs-CZ" w:eastAsia="en-US"/>
        </w:rPr>
        <w:t>95%</w:t>
      </w:r>
      <w:proofErr w:type="gramEnd"/>
      <w:r w:rsidR="000639FC" w:rsidRPr="003D520D">
        <w:rPr>
          <w:rFonts w:eastAsia="MS Mincho"/>
          <w:szCs w:val="22"/>
          <w:lang w:val="cs-CZ" w:eastAsia="en-US"/>
        </w:rPr>
        <w:t xml:space="preserve"> </w:t>
      </w:r>
      <w:r w:rsidR="00440981" w:rsidRPr="003D520D">
        <w:rPr>
          <w:rFonts w:eastAsia="MS Mincho"/>
          <w:szCs w:val="22"/>
          <w:lang w:val="cs-CZ" w:eastAsia="en-US"/>
        </w:rPr>
        <w:t>CI</w:t>
      </w:r>
      <w:r w:rsidR="000639FC" w:rsidRPr="003D520D">
        <w:rPr>
          <w:rFonts w:eastAsia="MS Mincho"/>
          <w:szCs w:val="22"/>
          <w:lang w:val="cs-CZ" w:eastAsia="en-US"/>
        </w:rPr>
        <w:t xml:space="preserve"> 0,185</w:t>
      </w:r>
      <w:r w:rsidR="00256DD1" w:rsidRPr="003D520D">
        <w:rPr>
          <w:rFonts w:eastAsia="MS Mincho"/>
          <w:szCs w:val="22"/>
          <w:lang w:val="cs-CZ" w:eastAsia="en-US"/>
        </w:rPr>
        <w:t>;</w:t>
      </w:r>
      <w:r w:rsidR="000639FC" w:rsidRPr="003D520D">
        <w:rPr>
          <w:rFonts w:eastAsia="MS Mincho"/>
          <w:szCs w:val="22"/>
          <w:lang w:val="cs-CZ" w:eastAsia="en-US"/>
        </w:rPr>
        <w:t xml:space="preserve"> 0,388] a středním PFS</w:t>
      </w:r>
      <w:r w:rsidR="00A5435A" w:rsidRPr="003D520D">
        <w:rPr>
          <w:rFonts w:eastAsia="MS Mincho"/>
          <w:szCs w:val="22"/>
          <w:lang w:val="cs-CZ" w:eastAsia="en-US"/>
        </w:rPr>
        <w:t xml:space="preserve"> 4,8 měsíce vs. 0,9 měsíce (</w:t>
      </w:r>
      <w:proofErr w:type="gramStart"/>
      <w:r w:rsidR="00A5435A" w:rsidRPr="003D520D">
        <w:rPr>
          <w:rFonts w:eastAsia="MS Mincho"/>
          <w:szCs w:val="22"/>
          <w:lang w:val="cs-CZ" w:eastAsia="en-US"/>
        </w:rPr>
        <w:t>p&lt;</w:t>
      </w:r>
      <w:proofErr w:type="gramEnd"/>
      <w:r w:rsidR="000639FC" w:rsidRPr="003D520D">
        <w:rPr>
          <w:rFonts w:eastAsia="MS Mincho"/>
          <w:szCs w:val="22"/>
          <w:lang w:val="cs-CZ" w:eastAsia="en-US"/>
        </w:rPr>
        <w:t xml:space="preserve">0,000001). Relativní riziko progrese onemocnění nebo úmrtí byla snížena přibližně o 73,2 % u </w:t>
      </w:r>
      <w:r w:rsidR="00AB6A5E" w:rsidRPr="003D520D">
        <w:rPr>
          <w:rFonts w:eastAsia="MS Mincho"/>
          <w:szCs w:val="22"/>
          <w:lang w:val="cs-CZ" w:eastAsia="en-US"/>
        </w:rPr>
        <w:t>pacientů</w:t>
      </w:r>
      <w:r w:rsidRPr="003D520D">
        <w:rPr>
          <w:rFonts w:eastAsia="MS Mincho"/>
          <w:szCs w:val="22"/>
          <w:lang w:val="cs-CZ" w:eastAsia="en-US"/>
        </w:rPr>
        <w:t xml:space="preserve"> léčených </w:t>
      </w:r>
      <w:proofErr w:type="spellStart"/>
      <w:r w:rsidRPr="003D520D">
        <w:rPr>
          <w:rFonts w:eastAsia="MS Mincho"/>
          <w:szCs w:val="22"/>
          <w:lang w:val="cs-CZ" w:eastAsia="en-US"/>
        </w:rPr>
        <w:t>re</w:t>
      </w:r>
      <w:r w:rsidR="000639FC" w:rsidRPr="003D520D">
        <w:rPr>
          <w:rFonts w:eastAsia="MS Mincho"/>
          <w:szCs w:val="22"/>
          <w:lang w:val="cs-CZ" w:eastAsia="en-US"/>
        </w:rPr>
        <w:t>gorafenibem</w:t>
      </w:r>
      <w:proofErr w:type="spellEnd"/>
      <w:r w:rsidR="000639FC" w:rsidRPr="003D520D">
        <w:rPr>
          <w:rFonts w:eastAsia="MS Mincho"/>
          <w:szCs w:val="22"/>
          <w:lang w:val="cs-CZ" w:eastAsia="en-US"/>
        </w:rPr>
        <w:t xml:space="preserve"> ve srovnání s pacienty na placebu (viz </w:t>
      </w:r>
      <w:r w:rsidR="00377D01">
        <w:rPr>
          <w:rFonts w:eastAsia="MS Mincho"/>
          <w:szCs w:val="22"/>
          <w:lang w:val="cs-CZ" w:eastAsia="en-US"/>
        </w:rPr>
        <w:t>t</w:t>
      </w:r>
      <w:r w:rsidR="009265A9" w:rsidRPr="003D520D">
        <w:rPr>
          <w:rFonts w:eastAsia="MS Mincho"/>
          <w:szCs w:val="22"/>
          <w:lang w:val="cs-CZ" w:eastAsia="en-US"/>
        </w:rPr>
        <w:t>abulka </w:t>
      </w:r>
      <w:r w:rsidR="00C75951">
        <w:rPr>
          <w:rFonts w:eastAsia="MS Mincho"/>
          <w:szCs w:val="22"/>
          <w:lang w:val="cs-CZ" w:eastAsia="en-US"/>
        </w:rPr>
        <w:t>6</w:t>
      </w:r>
      <w:r w:rsidR="000639FC" w:rsidRPr="003D520D">
        <w:rPr>
          <w:rFonts w:eastAsia="MS Mincho"/>
          <w:szCs w:val="22"/>
          <w:lang w:val="cs-CZ" w:eastAsia="en-US"/>
        </w:rPr>
        <w:t xml:space="preserve">, </w:t>
      </w:r>
      <w:r w:rsidR="00377D01">
        <w:rPr>
          <w:rFonts w:eastAsia="MS Mincho"/>
          <w:szCs w:val="22"/>
          <w:lang w:val="cs-CZ" w:eastAsia="en-US"/>
        </w:rPr>
        <w:t>o</w:t>
      </w:r>
      <w:r w:rsidR="009265A9" w:rsidRPr="003D520D">
        <w:rPr>
          <w:rFonts w:eastAsia="MS Mincho"/>
          <w:szCs w:val="22"/>
          <w:lang w:val="cs-CZ" w:eastAsia="en-US"/>
        </w:rPr>
        <w:t>brázek </w:t>
      </w:r>
      <w:r w:rsidR="000639FC" w:rsidRPr="003D520D">
        <w:rPr>
          <w:rFonts w:eastAsia="MS Mincho"/>
          <w:szCs w:val="22"/>
          <w:lang w:val="cs-CZ" w:eastAsia="en-US"/>
        </w:rPr>
        <w:t>2). Prodloužení PFS</w:t>
      </w:r>
      <w:r w:rsidR="00202C60" w:rsidRPr="003D520D">
        <w:rPr>
          <w:rFonts w:eastAsia="MS Mincho"/>
          <w:szCs w:val="22"/>
          <w:lang w:val="cs-CZ" w:eastAsia="en-US"/>
        </w:rPr>
        <w:t xml:space="preserve"> bylo trvale nezávislé na věku, pohlaví, geografické oblasti, předchozích liniích léčby a </w:t>
      </w:r>
      <w:r w:rsidR="00AB6A5E" w:rsidRPr="003D520D">
        <w:rPr>
          <w:rFonts w:eastAsia="MS Mincho"/>
          <w:szCs w:val="22"/>
          <w:lang w:val="cs-CZ" w:eastAsia="en-US"/>
        </w:rPr>
        <w:t>výkonnostním</w:t>
      </w:r>
      <w:r w:rsidR="00202C60" w:rsidRPr="003D520D">
        <w:rPr>
          <w:rFonts w:eastAsia="MS Mincho"/>
          <w:szCs w:val="22"/>
          <w:lang w:val="cs-CZ" w:eastAsia="en-US"/>
        </w:rPr>
        <w:t xml:space="preserve"> stavu ECOG.</w:t>
      </w:r>
    </w:p>
    <w:p w14:paraId="7D457804" w14:textId="77777777" w:rsidR="00164B27" w:rsidRPr="003D520D" w:rsidRDefault="00F0494D" w:rsidP="00D707AB">
      <w:pPr>
        <w:spacing w:before="120" w:after="0"/>
        <w:rPr>
          <w:rFonts w:eastAsia="MS Mincho"/>
          <w:szCs w:val="22"/>
          <w:lang w:val="cs-CZ" w:eastAsia="en-US"/>
        </w:rPr>
      </w:pPr>
      <w:r w:rsidRPr="003D520D">
        <w:rPr>
          <w:rFonts w:eastAsia="MS Mincho"/>
          <w:szCs w:val="22"/>
          <w:lang w:val="cs-CZ" w:eastAsia="en-US"/>
        </w:rPr>
        <w:t>TTP se významně pr</w:t>
      </w:r>
      <w:r w:rsidR="00B273EB" w:rsidRPr="003D520D">
        <w:rPr>
          <w:rFonts w:eastAsia="MS Mincho"/>
          <w:szCs w:val="22"/>
          <w:lang w:val="cs-CZ" w:eastAsia="en-US"/>
        </w:rPr>
        <w:t xml:space="preserve">odloužila u pacientů léčených </w:t>
      </w:r>
      <w:proofErr w:type="spellStart"/>
      <w:r w:rsidR="00B273EB" w:rsidRPr="003D520D">
        <w:rPr>
          <w:rFonts w:eastAsia="MS Mincho"/>
          <w:szCs w:val="22"/>
          <w:lang w:val="cs-CZ" w:eastAsia="en-US"/>
        </w:rPr>
        <w:t>re</w:t>
      </w:r>
      <w:r w:rsidRPr="003D520D">
        <w:rPr>
          <w:rFonts w:eastAsia="MS Mincho"/>
          <w:szCs w:val="22"/>
          <w:lang w:val="cs-CZ" w:eastAsia="en-US"/>
        </w:rPr>
        <w:t>gorafenibem</w:t>
      </w:r>
      <w:proofErr w:type="spellEnd"/>
      <w:r w:rsidRPr="003D520D">
        <w:rPr>
          <w:rFonts w:eastAsia="MS Mincho"/>
          <w:szCs w:val="22"/>
          <w:lang w:val="cs-CZ" w:eastAsia="en-US"/>
        </w:rPr>
        <w:t xml:space="preserve"> plus BSC ve srovnání s pacienty </w:t>
      </w:r>
      <w:r w:rsidR="00BC63C9" w:rsidRPr="003D520D">
        <w:rPr>
          <w:rFonts w:eastAsia="MS Mincho"/>
          <w:szCs w:val="22"/>
          <w:lang w:val="cs-CZ" w:eastAsia="en-US"/>
        </w:rPr>
        <w:t>užívajícími</w:t>
      </w:r>
      <w:r w:rsidRPr="003D520D">
        <w:rPr>
          <w:rFonts w:eastAsia="MS Mincho"/>
          <w:szCs w:val="22"/>
          <w:lang w:val="cs-CZ" w:eastAsia="en-US"/>
        </w:rPr>
        <w:t xml:space="preserve"> placebo plus BSC s poměrem rizik </w:t>
      </w:r>
      <w:r w:rsidR="009048EC" w:rsidRPr="003D520D">
        <w:rPr>
          <w:rFonts w:eastAsia="MS Mincho"/>
          <w:szCs w:val="22"/>
          <w:lang w:val="cs-CZ" w:eastAsia="en-US"/>
        </w:rPr>
        <w:t xml:space="preserve">0,248 </w:t>
      </w:r>
      <w:r w:rsidRPr="003D520D">
        <w:rPr>
          <w:rFonts w:eastAsia="MS Mincho"/>
          <w:szCs w:val="22"/>
          <w:lang w:val="cs-CZ" w:eastAsia="en-US"/>
        </w:rPr>
        <w:t>[</w:t>
      </w:r>
      <w:proofErr w:type="gramStart"/>
      <w:r w:rsidRPr="003D520D">
        <w:rPr>
          <w:rFonts w:eastAsia="MS Mincho"/>
          <w:szCs w:val="22"/>
          <w:lang w:val="cs-CZ" w:eastAsia="en-US"/>
        </w:rPr>
        <w:t>95%</w:t>
      </w:r>
      <w:proofErr w:type="gramEnd"/>
      <w:r w:rsidRPr="003D520D">
        <w:rPr>
          <w:rFonts w:eastAsia="MS Mincho"/>
          <w:szCs w:val="22"/>
          <w:lang w:val="cs-CZ" w:eastAsia="en-US"/>
        </w:rPr>
        <w:t xml:space="preserve"> IS 0,170</w:t>
      </w:r>
      <w:r w:rsidR="009048EC" w:rsidRPr="003D520D">
        <w:rPr>
          <w:rFonts w:eastAsia="MS Mincho"/>
          <w:szCs w:val="22"/>
          <w:lang w:val="cs-CZ" w:eastAsia="en-US"/>
        </w:rPr>
        <w:t>;</w:t>
      </w:r>
      <w:r w:rsidRPr="003D520D">
        <w:rPr>
          <w:rFonts w:eastAsia="MS Mincho"/>
          <w:szCs w:val="22"/>
          <w:lang w:val="cs-CZ" w:eastAsia="en-US"/>
        </w:rPr>
        <w:t xml:space="preserve"> 0,364] a střední TTP 5,4 měsíců versus 0,9 měsíců (</w:t>
      </w:r>
      <w:proofErr w:type="gramStart"/>
      <w:r w:rsidRPr="003D520D">
        <w:rPr>
          <w:rFonts w:eastAsia="MS Mincho"/>
          <w:szCs w:val="22"/>
          <w:lang w:val="cs-CZ" w:eastAsia="en-US"/>
        </w:rPr>
        <w:t>p&lt;</w:t>
      </w:r>
      <w:proofErr w:type="gramEnd"/>
      <w:r w:rsidRPr="003D520D">
        <w:rPr>
          <w:rFonts w:eastAsia="MS Mincho"/>
          <w:szCs w:val="22"/>
          <w:lang w:val="cs-CZ" w:eastAsia="en-US"/>
        </w:rPr>
        <w:t xml:space="preserve">0,000001) (viz </w:t>
      </w:r>
      <w:r w:rsidR="00377D01">
        <w:rPr>
          <w:rFonts w:eastAsia="MS Mincho"/>
          <w:szCs w:val="22"/>
          <w:lang w:val="cs-CZ" w:eastAsia="en-US"/>
        </w:rPr>
        <w:t>t</w:t>
      </w:r>
      <w:r w:rsidRPr="003D520D">
        <w:rPr>
          <w:rFonts w:eastAsia="MS Mincho"/>
          <w:szCs w:val="22"/>
          <w:lang w:val="cs-CZ" w:eastAsia="en-US"/>
        </w:rPr>
        <w:t>abulka</w:t>
      </w:r>
      <w:r w:rsidR="00A5435A" w:rsidRPr="003D520D">
        <w:rPr>
          <w:rFonts w:eastAsia="MS Mincho"/>
          <w:szCs w:val="22"/>
          <w:lang w:val="cs-CZ" w:eastAsia="en-US"/>
        </w:rPr>
        <w:t> </w:t>
      </w:r>
      <w:r w:rsidR="00C75951">
        <w:rPr>
          <w:rFonts w:eastAsia="MS Mincho"/>
          <w:szCs w:val="22"/>
          <w:lang w:val="cs-CZ" w:eastAsia="en-US"/>
        </w:rPr>
        <w:t>6</w:t>
      </w:r>
      <w:r w:rsidRPr="003D520D">
        <w:rPr>
          <w:rFonts w:eastAsia="MS Mincho"/>
          <w:szCs w:val="22"/>
          <w:lang w:val="cs-CZ" w:eastAsia="en-US"/>
        </w:rPr>
        <w:t>).</w:t>
      </w:r>
    </w:p>
    <w:p w14:paraId="7D457805" w14:textId="77777777" w:rsidR="00362E3C" w:rsidRPr="003D520D" w:rsidRDefault="00164B27" w:rsidP="00D707AB">
      <w:pPr>
        <w:spacing w:before="120" w:after="0"/>
        <w:rPr>
          <w:rFonts w:eastAsia="MS Mincho"/>
          <w:szCs w:val="22"/>
          <w:lang w:val="cs-CZ" w:eastAsia="en-US"/>
        </w:rPr>
      </w:pPr>
      <w:r w:rsidRPr="003D520D">
        <w:rPr>
          <w:rFonts w:eastAsia="MS Mincho"/>
          <w:szCs w:val="22"/>
          <w:lang w:val="cs-CZ" w:eastAsia="en-US"/>
        </w:rPr>
        <w:t xml:space="preserve">HR </w:t>
      </w:r>
      <w:r w:rsidR="00D8286F" w:rsidRPr="003D520D">
        <w:rPr>
          <w:rFonts w:eastAsia="MS Mincho"/>
          <w:szCs w:val="22"/>
          <w:lang w:val="cs-CZ" w:eastAsia="en-US"/>
        </w:rPr>
        <w:t>pro</w:t>
      </w:r>
      <w:r w:rsidRPr="003D520D">
        <w:rPr>
          <w:rFonts w:eastAsia="MS Mincho"/>
          <w:szCs w:val="22"/>
          <w:lang w:val="cs-CZ" w:eastAsia="en-US"/>
        </w:rPr>
        <w:t xml:space="preserve"> OS</w:t>
      </w:r>
      <w:r w:rsidR="00D8286F" w:rsidRPr="003D520D">
        <w:rPr>
          <w:rFonts w:eastAsia="MS Mincho"/>
          <w:szCs w:val="22"/>
          <w:lang w:val="cs-CZ" w:eastAsia="en-US"/>
        </w:rPr>
        <w:t xml:space="preserve"> byl</w:t>
      </w:r>
      <w:r w:rsidR="004F3E57" w:rsidRPr="003D520D">
        <w:rPr>
          <w:rFonts w:eastAsia="MS Mincho"/>
          <w:szCs w:val="22"/>
          <w:lang w:val="cs-CZ" w:eastAsia="en-US"/>
        </w:rPr>
        <w:t> </w:t>
      </w:r>
      <w:r w:rsidRPr="003D520D">
        <w:rPr>
          <w:rFonts w:eastAsia="MS Mincho"/>
          <w:szCs w:val="22"/>
          <w:lang w:val="cs-CZ" w:eastAsia="en-US"/>
        </w:rPr>
        <w:t xml:space="preserve">0,772 </w:t>
      </w:r>
      <w:r w:rsidR="00D8286F" w:rsidRPr="003D520D">
        <w:rPr>
          <w:rFonts w:eastAsia="MS Mincho"/>
          <w:szCs w:val="22"/>
          <w:lang w:val="cs-CZ" w:eastAsia="en-US"/>
        </w:rPr>
        <w:t>(</w:t>
      </w:r>
      <w:proofErr w:type="gramStart"/>
      <w:r w:rsidRPr="003D520D">
        <w:rPr>
          <w:rFonts w:eastAsia="MS Mincho"/>
          <w:szCs w:val="22"/>
          <w:lang w:val="cs-CZ" w:eastAsia="en-US"/>
        </w:rPr>
        <w:t>95%</w:t>
      </w:r>
      <w:proofErr w:type="gramEnd"/>
      <w:r w:rsidRPr="003D520D">
        <w:rPr>
          <w:rFonts w:eastAsia="MS Mincho"/>
          <w:szCs w:val="22"/>
          <w:lang w:val="cs-CZ" w:eastAsia="en-US"/>
        </w:rPr>
        <w:t xml:space="preserve"> </w:t>
      </w:r>
      <w:r w:rsidR="00440981" w:rsidRPr="003D520D">
        <w:rPr>
          <w:rFonts w:eastAsia="MS Mincho"/>
          <w:szCs w:val="22"/>
          <w:lang w:val="cs-CZ" w:eastAsia="en-US"/>
        </w:rPr>
        <w:t>CI</w:t>
      </w:r>
      <w:r w:rsidR="00AE49E9" w:rsidRPr="003D520D">
        <w:rPr>
          <w:rFonts w:eastAsia="MS Mincho"/>
          <w:szCs w:val="22"/>
          <w:lang w:val="cs-CZ" w:eastAsia="en-US"/>
        </w:rPr>
        <w:t>, 0,423</w:t>
      </w:r>
      <w:r w:rsidR="009048EC" w:rsidRPr="003D520D">
        <w:rPr>
          <w:rFonts w:eastAsia="MS Mincho"/>
          <w:szCs w:val="22"/>
          <w:lang w:val="cs-CZ" w:eastAsia="en-US"/>
        </w:rPr>
        <w:t>;</w:t>
      </w:r>
      <w:r w:rsidR="00AE49E9" w:rsidRPr="003D520D">
        <w:rPr>
          <w:rFonts w:eastAsia="MS Mincho"/>
          <w:szCs w:val="22"/>
          <w:lang w:val="cs-CZ" w:eastAsia="en-US"/>
        </w:rPr>
        <w:t xml:space="preserve"> 1,408; p = </w:t>
      </w:r>
      <w:r w:rsidRPr="003D520D">
        <w:rPr>
          <w:rFonts w:eastAsia="MS Mincho"/>
          <w:szCs w:val="22"/>
          <w:lang w:val="cs-CZ" w:eastAsia="en-US"/>
        </w:rPr>
        <w:t>0,199; střední</w:t>
      </w:r>
      <w:r w:rsidR="00D8286F" w:rsidRPr="003D520D">
        <w:rPr>
          <w:rFonts w:eastAsia="MS Mincho"/>
          <w:szCs w:val="22"/>
          <w:lang w:val="cs-CZ" w:eastAsia="en-US"/>
        </w:rPr>
        <w:t>ho</w:t>
      </w:r>
      <w:r w:rsidRPr="003D520D">
        <w:rPr>
          <w:rFonts w:eastAsia="MS Mincho"/>
          <w:szCs w:val="22"/>
          <w:lang w:val="cs-CZ" w:eastAsia="en-US"/>
        </w:rPr>
        <w:t xml:space="preserve"> OS nebylo dosaženo v žádném ramenu)</w:t>
      </w:r>
      <w:r w:rsidR="00D8286F" w:rsidRPr="003D520D">
        <w:rPr>
          <w:rFonts w:eastAsia="MS Mincho"/>
          <w:szCs w:val="22"/>
          <w:lang w:val="cs-CZ" w:eastAsia="en-US"/>
        </w:rPr>
        <w:t>;</w:t>
      </w:r>
      <w:r w:rsidR="003F65D4" w:rsidRPr="003D520D">
        <w:rPr>
          <w:rFonts w:eastAsia="MS Mincho"/>
          <w:szCs w:val="22"/>
          <w:lang w:val="cs-CZ" w:eastAsia="en-US"/>
        </w:rPr>
        <w:t xml:space="preserve"> </w:t>
      </w:r>
      <w:r w:rsidRPr="003D520D">
        <w:rPr>
          <w:rFonts w:eastAsia="MS Mincho"/>
          <w:szCs w:val="22"/>
          <w:lang w:val="cs-CZ" w:eastAsia="en-US"/>
        </w:rPr>
        <w:t xml:space="preserve">85 % </w:t>
      </w:r>
      <w:r w:rsidR="004B1D5A">
        <w:rPr>
          <w:rFonts w:eastAsia="MS Mincho"/>
          <w:szCs w:val="22"/>
          <w:lang w:val="cs-CZ" w:eastAsia="en-US"/>
        </w:rPr>
        <w:t>z </w:t>
      </w:r>
      <w:r w:rsidRPr="003D520D">
        <w:rPr>
          <w:rFonts w:eastAsia="MS Mincho"/>
          <w:szCs w:val="22"/>
          <w:lang w:val="cs-CZ" w:eastAsia="en-US"/>
        </w:rPr>
        <w:t>pacientů</w:t>
      </w:r>
      <w:r w:rsidR="004B1D5A">
        <w:rPr>
          <w:rFonts w:eastAsia="MS Mincho"/>
          <w:szCs w:val="22"/>
          <w:lang w:val="cs-CZ" w:eastAsia="en-US"/>
        </w:rPr>
        <w:t>, kteří</w:t>
      </w:r>
      <w:r w:rsidRPr="003D520D">
        <w:rPr>
          <w:rFonts w:eastAsia="MS Mincho"/>
          <w:szCs w:val="22"/>
          <w:lang w:val="cs-CZ" w:eastAsia="en-US"/>
        </w:rPr>
        <w:t xml:space="preserve"> byl</w:t>
      </w:r>
      <w:r w:rsidR="004B1D5A">
        <w:rPr>
          <w:rFonts w:eastAsia="MS Mincho"/>
          <w:szCs w:val="22"/>
          <w:lang w:val="cs-CZ" w:eastAsia="en-US"/>
        </w:rPr>
        <w:t>i</w:t>
      </w:r>
      <w:r w:rsidRPr="003D520D">
        <w:rPr>
          <w:rFonts w:eastAsia="MS Mincho"/>
          <w:szCs w:val="22"/>
          <w:lang w:val="cs-CZ" w:eastAsia="en-US"/>
        </w:rPr>
        <w:t xml:space="preserve"> v úvodu randomizován</w:t>
      </w:r>
      <w:r w:rsidR="004B1D5A">
        <w:rPr>
          <w:rFonts w:eastAsia="MS Mincho"/>
          <w:szCs w:val="22"/>
          <w:lang w:val="cs-CZ" w:eastAsia="en-US"/>
        </w:rPr>
        <w:t>i</w:t>
      </w:r>
      <w:r w:rsidRPr="003D520D">
        <w:rPr>
          <w:rFonts w:eastAsia="MS Mincho"/>
          <w:szCs w:val="22"/>
          <w:lang w:val="cs-CZ" w:eastAsia="en-US"/>
        </w:rPr>
        <w:t xml:space="preserve"> do placebového ramena</w:t>
      </w:r>
      <w:r w:rsidR="004B1D5A">
        <w:rPr>
          <w:rFonts w:eastAsia="MS Mincho"/>
          <w:szCs w:val="22"/>
          <w:lang w:val="cs-CZ" w:eastAsia="en-US"/>
        </w:rPr>
        <w:t>,</w:t>
      </w:r>
      <w:r w:rsidR="00D8286F" w:rsidRPr="003D520D">
        <w:rPr>
          <w:rFonts w:eastAsia="MS Mincho"/>
          <w:szCs w:val="22"/>
          <w:lang w:val="cs-CZ" w:eastAsia="en-US"/>
        </w:rPr>
        <w:t xml:space="preserve"> dostávalo po progresi léčbu </w:t>
      </w:r>
      <w:proofErr w:type="spellStart"/>
      <w:r w:rsidR="00D8286F" w:rsidRPr="003D520D">
        <w:rPr>
          <w:rFonts w:eastAsia="MS Mincho"/>
          <w:szCs w:val="22"/>
          <w:lang w:val="cs-CZ" w:eastAsia="en-US"/>
        </w:rPr>
        <w:t>regorafenibem</w:t>
      </w:r>
      <w:proofErr w:type="spellEnd"/>
      <w:r w:rsidRPr="003D520D">
        <w:rPr>
          <w:rFonts w:eastAsia="MS Mincho"/>
          <w:szCs w:val="22"/>
          <w:lang w:val="cs-CZ" w:eastAsia="en-US"/>
        </w:rPr>
        <w:t xml:space="preserve"> (viz </w:t>
      </w:r>
      <w:r w:rsidR="00377D01">
        <w:rPr>
          <w:rFonts w:eastAsia="MS Mincho"/>
          <w:szCs w:val="22"/>
          <w:lang w:val="cs-CZ" w:eastAsia="en-US"/>
        </w:rPr>
        <w:t>t</w:t>
      </w:r>
      <w:r w:rsidR="00872CB6" w:rsidRPr="003D520D">
        <w:rPr>
          <w:rFonts w:eastAsia="MS Mincho"/>
          <w:szCs w:val="22"/>
          <w:lang w:val="cs-CZ" w:eastAsia="en-US"/>
        </w:rPr>
        <w:t>abulka </w:t>
      </w:r>
      <w:r w:rsidR="00C75951">
        <w:rPr>
          <w:rFonts w:eastAsia="MS Mincho"/>
          <w:szCs w:val="22"/>
          <w:lang w:val="cs-CZ" w:eastAsia="en-US"/>
        </w:rPr>
        <w:t>6</w:t>
      </w:r>
      <w:r w:rsidRPr="003D520D">
        <w:rPr>
          <w:rFonts w:eastAsia="MS Mincho"/>
          <w:szCs w:val="22"/>
          <w:lang w:val="cs-CZ" w:eastAsia="en-US"/>
        </w:rPr>
        <w:t xml:space="preserve">, </w:t>
      </w:r>
      <w:r w:rsidR="00377D01">
        <w:rPr>
          <w:rFonts w:eastAsia="MS Mincho"/>
          <w:szCs w:val="22"/>
          <w:lang w:val="cs-CZ" w:eastAsia="en-US"/>
        </w:rPr>
        <w:t>o</w:t>
      </w:r>
      <w:r w:rsidRPr="003D520D">
        <w:rPr>
          <w:rFonts w:eastAsia="MS Mincho"/>
          <w:szCs w:val="22"/>
          <w:lang w:val="cs-CZ" w:eastAsia="en-US"/>
        </w:rPr>
        <w:t>brázek</w:t>
      </w:r>
      <w:r w:rsidR="00872CB6" w:rsidRPr="003D520D">
        <w:rPr>
          <w:rFonts w:eastAsia="MS Mincho"/>
          <w:szCs w:val="22"/>
          <w:lang w:val="cs-CZ" w:eastAsia="en-US"/>
        </w:rPr>
        <w:t> 3).</w:t>
      </w:r>
    </w:p>
    <w:p w14:paraId="7D457806" w14:textId="77777777" w:rsidR="00ED680A" w:rsidRDefault="00ED680A" w:rsidP="00D707AB">
      <w:pPr>
        <w:spacing w:after="0"/>
        <w:rPr>
          <w:rFonts w:eastAsia="MS Mincho"/>
          <w:szCs w:val="22"/>
          <w:lang w:val="cs-CZ" w:eastAsia="en-US"/>
        </w:rPr>
      </w:pPr>
    </w:p>
    <w:p w14:paraId="7D457807" w14:textId="77777777" w:rsidR="00ED680A" w:rsidRPr="003D520D" w:rsidRDefault="0001783D" w:rsidP="00D707AB">
      <w:pPr>
        <w:pStyle w:val="Titulek"/>
        <w:keepNext/>
        <w:jc w:val="left"/>
        <w:rPr>
          <w:rFonts w:eastAsia="MS Mincho"/>
          <w:b/>
          <w:i w:val="0"/>
          <w:sz w:val="22"/>
          <w:lang w:val="cs-CZ" w:eastAsia="en-US"/>
        </w:rPr>
      </w:pPr>
      <w:bookmarkStart w:id="1" w:name="table7"/>
      <w:r w:rsidRPr="003D520D">
        <w:rPr>
          <w:rFonts w:eastAsia="MS Mincho"/>
          <w:b/>
          <w:i w:val="0"/>
          <w:sz w:val="22"/>
          <w:lang w:val="cs-CZ" w:eastAsia="en-US"/>
        </w:rPr>
        <w:t>Tabulka</w:t>
      </w:r>
      <w:r w:rsidR="00794680" w:rsidRPr="003D520D">
        <w:rPr>
          <w:rFonts w:eastAsia="MS Mincho"/>
          <w:b/>
          <w:i w:val="0"/>
          <w:sz w:val="22"/>
          <w:lang w:val="cs-CZ" w:eastAsia="en-US"/>
        </w:rPr>
        <w:t> </w:t>
      </w:r>
      <w:r w:rsidR="00C75951">
        <w:rPr>
          <w:rFonts w:eastAsia="MS Mincho"/>
          <w:b/>
          <w:i w:val="0"/>
          <w:sz w:val="22"/>
          <w:lang w:val="cs-CZ" w:eastAsia="en-US"/>
        </w:rPr>
        <w:t>6</w:t>
      </w:r>
      <w:bookmarkEnd w:id="1"/>
      <w:r w:rsidR="00ED680A" w:rsidRPr="003D520D">
        <w:rPr>
          <w:rFonts w:eastAsia="MS Mincho"/>
          <w:b/>
          <w:i w:val="0"/>
          <w:sz w:val="22"/>
          <w:lang w:val="cs-CZ" w:eastAsia="en-US"/>
        </w:rPr>
        <w:t xml:space="preserve">: </w:t>
      </w:r>
      <w:r w:rsidRPr="003D520D">
        <w:rPr>
          <w:rFonts w:eastAsia="MS Mincho"/>
          <w:b/>
          <w:i w:val="0"/>
          <w:sz w:val="22"/>
          <w:lang w:val="cs-CZ" w:eastAsia="en-US"/>
        </w:rPr>
        <w:t xml:space="preserve">Výsledky účinnosti ze studie </w:t>
      </w:r>
      <w:r w:rsidR="00ED680A" w:rsidRPr="003D520D">
        <w:rPr>
          <w:rFonts w:eastAsia="MS Mincho"/>
          <w:b/>
          <w:i w:val="0"/>
          <w:sz w:val="22"/>
          <w:lang w:val="cs-CZ" w:eastAsia="en-US"/>
        </w:rPr>
        <w:t>GRID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908"/>
        <w:gridCol w:w="1908"/>
        <w:gridCol w:w="1908"/>
        <w:gridCol w:w="1818"/>
      </w:tblGrid>
      <w:tr w:rsidR="00A6381C" w:rsidRPr="003D520D" w14:paraId="7D45780D" w14:textId="77777777" w:rsidTr="00C43F09">
        <w:trPr>
          <w:trHeight w:val="468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14:paraId="7D457808" w14:textId="77777777" w:rsidR="00A6381C" w:rsidRPr="003D520D" w:rsidRDefault="00A6381C" w:rsidP="00D707AB">
            <w:pPr>
              <w:keepNext/>
              <w:spacing w:after="0"/>
              <w:jc w:val="center"/>
              <w:rPr>
                <w:rFonts w:eastAsia="MS Mincho"/>
                <w:b/>
                <w:lang w:val="cs-CZ" w:eastAsia="en-US"/>
              </w:rPr>
            </w:pPr>
            <w:r w:rsidRPr="003D520D">
              <w:rPr>
                <w:b/>
                <w:bCs/>
                <w:szCs w:val="22"/>
                <w:lang w:val="cs-CZ"/>
              </w:rPr>
              <w:t>Parametr účinnosti</w:t>
            </w:r>
          </w:p>
        </w:tc>
        <w:tc>
          <w:tcPr>
            <w:tcW w:w="1908" w:type="dxa"/>
            <w:vMerge w:val="restart"/>
            <w:shd w:val="clear" w:color="auto" w:fill="auto"/>
            <w:vAlign w:val="center"/>
          </w:tcPr>
          <w:p w14:paraId="7D457809" w14:textId="77777777" w:rsidR="00A6381C" w:rsidRPr="003D520D" w:rsidRDefault="00A6381C" w:rsidP="00D707AB">
            <w:pPr>
              <w:keepNext/>
              <w:spacing w:after="0"/>
              <w:jc w:val="center"/>
              <w:rPr>
                <w:rFonts w:eastAsia="MS Mincho"/>
                <w:b/>
                <w:lang w:val="cs-CZ" w:eastAsia="en-US"/>
              </w:rPr>
            </w:pPr>
            <w:r w:rsidRPr="003D520D">
              <w:rPr>
                <w:b/>
                <w:bCs/>
                <w:szCs w:val="22"/>
                <w:lang w:val="cs-CZ"/>
              </w:rPr>
              <w:t>Poměr rizik* (</w:t>
            </w:r>
            <w:proofErr w:type="gramStart"/>
            <w:r w:rsidRPr="003D520D">
              <w:rPr>
                <w:b/>
                <w:bCs/>
                <w:szCs w:val="22"/>
                <w:lang w:val="cs-CZ"/>
              </w:rPr>
              <w:t>95%</w:t>
            </w:r>
            <w:proofErr w:type="gramEnd"/>
            <w:r w:rsidRPr="003D520D">
              <w:rPr>
                <w:b/>
                <w:bCs/>
                <w:szCs w:val="22"/>
                <w:lang w:val="cs-CZ"/>
              </w:rPr>
              <w:t xml:space="preserve"> CI)</w:t>
            </w:r>
          </w:p>
        </w:tc>
        <w:tc>
          <w:tcPr>
            <w:tcW w:w="1908" w:type="dxa"/>
            <w:vMerge w:val="restart"/>
            <w:shd w:val="clear" w:color="auto" w:fill="auto"/>
            <w:vAlign w:val="center"/>
          </w:tcPr>
          <w:p w14:paraId="7D45780A" w14:textId="77777777" w:rsidR="00A6381C" w:rsidRPr="003D520D" w:rsidRDefault="00A6381C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P</w:t>
            </w:r>
            <w:r w:rsidRPr="003D520D">
              <w:rPr>
                <w:bCs/>
                <w:szCs w:val="22"/>
                <w:lang w:val="cs-CZ"/>
              </w:rPr>
              <w:noBreakHyphen/>
              <w:t>hodnota</w:t>
            </w:r>
          </w:p>
          <w:p w14:paraId="7D45780B" w14:textId="77777777" w:rsidR="00A6381C" w:rsidRPr="003D520D" w:rsidRDefault="00A6381C" w:rsidP="00D707AB">
            <w:pPr>
              <w:keepNext/>
              <w:spacing w:after="0"/>
              <w:jc w:val="center"/>
              <w:rPr>
                <w:rFonts w:eastAsia="MS Mincho"/>
                <w:b/>
                <w:lang w:val="cs-CZ" w:eastAsia="en-US"/>
              </w:rPr>
            </w:pPr>
            <w:r w:rsidRPr="003D520D">
              <w:rPr>
                <w:b/>
                <w:bCs/>
                <w:szCs w:val="22"/>
                <w:lang w:val="cs-CZ"/>
              </w:rPr>
              <w:t>(jednostranný)</w:t>
            </w:r>
          </w:p>
        </w:tc>
        <w:tc>
          <w:tcPr>
            <w:tcW w:w="3726" w:type="dxa"/>
            <w:gridSpan w:val="2"/>
            <w:shd w:val="clear" w:color="auto" w:fill="auto"/>
            <w:vAlign w:val="center"/>
          </w:tcPr>
          <w:p w14:paraId="7D45780C" w14:textId="77777777" w:rsidR="00A6381C" w:rsidRPr="003D520D" w:rsidRDefault="00A6381C" w:rsidP="00D707AB">
            <w:pPr>
              <w:keepNext/>
              <w:spacing w:after="0"/>
              <w:jc w:val="center"/>
              <w:rPr>
                <w:rFonts w:eastAsia="MS Mincho"/>
                <w:b/>
                <w:lang w:val="cs-CZ" w:eastAsia="en-US"/>
              </w:rPr>
            </w:pPr>
            <w:r w:rsidRPr="003D520D">
              <w:rPr>
                <w:b/>
                <w:bCs/>
                <w:szCs w:val="22"/>
                <w:lang w:val="cs-CZ"/>
              </w:rPr>
              <w:t>Medián (</w:t>
            </w:r>
            <w:proofErr w:type="gramStart"/>
            <w:r w:rsidRPr="003D520D">
              <w:rPr>
                <w:b/>
                <w:bCs/>
                <w:szCs w:val="22"/>
                <w:lang w:val="cs-CZ"/>
              </w:rPr>
              <w:t>95%</w:t>
            </w:r>
            <w:proofErr w:type="gramEnd"/>
            <w:r w:rsidRPr="003D520D">
              <w:rPr>
                <w:b/>
                <w:bCs/>
                <w:szCs w:val="22"/>
                <w:lang w:val="cs-CZ"/>
              </w:rPr>
              <w:t xml:space="preserve"> CI)</w:t>
            </w:r>
          </w:p>
        </w:tc>
      </w:tr>
      <w:tr w:rsidR="00A6381C" w:rsidRPr="003D520D" w14:paraId="7D457815" w14:textId="77777777" w:rsidTr="00C43F09">
        <w:tc>
          <w:tcPr>
            <w:tcW w:w="1814" w:type="dxa"/>
            <w:vMerge/>
            <w:shd w:val="clear" w:color="auto" w:fill="auto"/>
          </w:tcPr>
          <w:p w14:paraId="7D45780E" w14:textId="77777777" w:rsidR="00A6381C" w:rsidRPr="003D520D" w:rsidRDefault="00A6381C" w:rsidP="00D707AB">
            <w:pPr>
              <w:keepNext/>
              <w:spacing w:after="0"/>
              <w:jc w:val="center"/>
              <w:rPr>
                <w:rFonts w:eastAsia="MS Mincho"/>
                <w:b/>
                <w:lang w:val="cs-CZ" w:eastAsia="en-US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7D45780F" w14:textId="77777777" w:rsidR="00A6381C" w:rsidRPr="003D520D" w:rsidRDefault="00A6381C" w:rsidP="00D707AB">
            <w:pPr>
              <w:keepNext/>
              <w:spacing w:after="0"/>
              <w:jc w:val="center"/>
              <w:rPr>
                <w:rFonts w:eastAsia="MS Mincho"/>
                <w:b/>
                <w:lang w:val="cs-CZ" w:eastAsia="en-US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7D457810" w14:textId="77777777" w:rsidR="00A6381C" w:rsidRPr="003D520D" w:rsidRDefault="00A6381C" w:rsidP="00D707AB">
            <w:pPr>
              <w:keepNext/>
              <w:spacing w:after="0"/>
              <w:jc w:val="center"/>
              <w:rPr>
                <w:rFonts w:eastAsia="MS Mincho"/>
                <w:b/>
                <w:lang w:val="cs-CZ" w:eastAsia="en-US"/>
              </w:rPr>
            </w:pPr>
          </w:p>
        </w:tc>
        <w:tc>
          <w:tcPr>
            <w:tcW w:w="1908" w:type="dxa"/>
            <w:shd w:val="clear" w:color="auto" w:fill="auto"/>
          </w:tcPr>
          <w:p w14:paraId="7D457811" w14:textId="77777777" w:rsidR="00A6381C" w:rsidRPr="003D520D" w:rsidRDefault="00A6381C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proofErr w:type="spellStart"/>
            <w:r w:rsidRPr="003D520D">
              <w:rPr>
                <w:bCs/>
                <w:szCs w:val="22"/>
                <w:lang w:val="cs-CZ"/>
              </w:rPr>
              <w:t>Stivarga</w:t>
            </w:r>
            <w:proofErr w:type="spellEnd"/>
            <w:r w:rsidRPr="003D520D">
              <w:rPr>
                <w:bCs/>
                <w:szCs w:val="22"/>
                <w:lang w:val="cs-CZ"/>
              </w:rPr>
              <w:t xml:space="preserve"> plus BSC</w:t>
            </w:r>
            <w:r w:rsidR="00B17ED7" w:rsidRPr="003D520D">
              <w:rPr>
                <w:rFonts w:eastAsia="MS Mincho"/>
                <w:b w:val="0"/>
                <w:vertAlign w:val="superscript"/>
              </w:rPr>
              <w:t>§</w:t>
            </w:r>
          </w:p>
          <w:p w14:paraId="7D457812" w14:textId="77777777" w:rsidR="00A6381C" w:rsidRPr="003D520D" w:rsidRDefault="00A6381C" w:rsidP="00D707AB">
            <w:pPr>
              <w:keepNext/>
              <w:spacing w:after="0"/>
              <w:jc w:val="center"/>
              <w:rPr>
                <w:rFonts w:eastAsia="MS Mincho"/>
                <w:b/>
                <w:lang w:val="cs-CZ" w:eastAsia="en-US"/>
              </w:rPr>
            </w:pPr>
            <w:r w:rsidRPr="003D520D">
              <w:rPr>
                <w:b/>
                <w:bCs/>
                <w:szCs w:val="22"/>
                <w:lang w:val="cs-CZ"/>
              </w:rPr>
              <w:t>(</w:t>
            </w:r>
            <w:r w:rsidR="00FC42F4">
              <w:rPr>
                <w:b/>
                <w:bCs/>
                <w:szCs w:val="22"/>
                <w:lang w:val="cs-CZ"/>
              </w:rPr>
              <w:t>n</w:t>
            </w:r>
            <w:r w:rsidRPr="003D520D">
              <w:rPr>
                <w:b/>
                <w:bCs/>
                <w:szCs w:val="22"/>
                <w:lang w:val="cs-CZ"/>
              </w:rPr>
              <w:t>=133)</w:t>
            </w:r>
          </w:p>
        </w:tc>
        <w:tc>
          <w:tcPr>
            <w:tcW w:w="1818" w:type="dxa"/>
            <w:shd w:val="clear" w:color="auto" w:fill="auto"/>
          </w:tcPr>
          <w:p w14:paraId="7D457813" w14:textId="77777777" w:rsidR="00A6381C" w:rsidRPr="003D520D" w:rsidRDefault="00440981" w:rsidP="00D707AB">
            <w:pPr>
              <w:pStyle w:val="BayerTableColumnHeadings"/>
              <w:keepNext/>
              <w:keepLines/>
              <w:rPr>
                <w:szCs w:val="22"/>
                <w:lang w:val="cs-CZ"/>
              </w:rPr>
            </w:pPr>
            <w:r w:rsidRPr="003D520D">
              <w:rPr>
                <w:bCs/>
                <w:szCs w:val="22"/>
                <w:lang w:val="cs-CZ"/>
              </w:rPr>
              <w:t>Placebo</w:t>
            </w:r>
            <w:r w:rsidR="00A6381C" w:rsidRPr="003D520D">
              <w:rPr>
                <w:bCs/>
                <w:szCs w:val="22"/>
                <w:lang w:val="cs-CZ"/>
              </w:rPr>
              <w:t xml:space="preserve"> plus BSC</w:t>
            </w:r>
            <w:r w:rsidR="00B17ED7" w:rsidRPr="003D520D">
              <w:rPr>
                <w:rFonts w:eastAsia="MS Mincho"/>
                <w:b w:val="0"/>
                <w:vertAlign w:val="superscript"/>
              </w:rPr>
              <w:t>§</w:t>
            </w:r>
          </w:p>
          <w:p w14:paraId="7D457814" w14:textId="77777777" w:rsidR="00A6381C" w:rsidRPr="003D520D" w:rsidRDefault="00A6381C" w:rsidP="00D707AB">
            <w:pPr>
              <w:keepNext/>
              <w:spacing w:after="0"/>
              <w:jc w:val="center"/>
              <w:rPr>
                <w:rFonts w:eastAsia="MS Mincho"/>
                <w:b/>
                <w:lang w:val="cs-CZ" w:eastAsia="en-US"/>
              </w:rPr>
            </w:pPr>
            <w:r w:rsidRPr="003D520D">
              <w:rPr>
                <w:b/>
                <w:bCs/>
                <w:szCs w:val="22"/>
                <w:lang w:val="cs-CZ"/>
              </w:rPr>
              <w:t>(</w:t>
            </w:r>
            <w:r w:rsidR="00FC42F4">
              <w:rPr>
                <w:b/>
                <w:bCs/>
                <w:szCs w:val="22"/>
                <w:lang w:val="cs-CZ"/>
              </w:rPr>
              <w:t>n</w:t>
            </w:r>
            <w:r w:rsidRPr="003D520D">
              <w:rPr>
                <w:b/>
                <w:bCs/>
                <w:szCs w:val="22"/>
                <w:lang w:val="cs-CZ"/>
              </w:rPr>
              <w:t>=66)</w:t>
            </w:r>
          </w:p>
        </w:tc>
      </w:tr>
      <w:tr w:rsidR="00ED680A" w:rsidRPr="003D520D" w14:paraId="7D45781E" w14:textId="77777777" w:rsidTr="00C43F09">
        <w:tc>
          <w:tcPr>
            <w:tcW w:w="1814" w:type="dxa"/>
            <w:shd w:val="clear" w:color="auto" w:fill="auto"/>
          </w:tcPr>
          <w:p w14:paraId="7D457816" w14:textId="77777777" w:rsidR="00ED680A" w:rsidRPr="003D520D" w:rsidRDefault="000D25C6" w:rsidP="00D707AB">
            <w:pPr>
              <w:keepNext/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P</w:t>
            </w:r>
            <w:r w:rsidR="000D2112" w:rsidRPr="003D520D">
              <w:rPr>
                <w:rFonts w:eastAsia="MS Mincho"/>
                <w:lang w:val="cs-CZ" w:eastAsia="en-US"/>
              </w:rPr>
              <w:t>řežití bez progrese</w:t>
            </w:r>
          </w:p>
        </w:tc>
        <w:tc>
          <w:tcPr>
            <w:tcW w:w="1908" w:type="dxa"/>
            <w:shd w:val="clear" w:color="auto" w:fill="auto"/>
          </w:tcPr>
          <w:p w14:paraId="7D457817" w14:textId="77777777" w:rsidR="00ED680A" w:rsidRPr="003D520D" w:rsidRDefault="00A6381C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0,</w:t>
            </w:r>
            <w:r w:rsidR="00ED2E8D" w:rsidRPr="003D520D">
              <w:rPr>
                <w:rFonts w:eastAsia="MS Mincho"/>
                <w:lang w:val="cs-CZ" w:eastAsia="en-US"/>
              </w:rPr>
              <w:t>268</w:t>
            </w:r>
          </w:p>
          <w:p w14:paraId="7D457818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(0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185</w:t>
            </w:r>
            <w:r w:rsidR="00A6381C" w:rsidRPr="003D520D">
              <w:rPr>
                <w:rFonts w:eastAsia="MS Mincho"/>
                <w:lang w:val="cs-CZ" w:eastAsia="en-US"/>
              </w:rPr>
              <w:t>;</w:t>
            </w:r>
            <w:r w:rsidRPr="003D520D">
              <w:rPr>
                <w:rFonts w:eastAsia="MS Mincho"/>
                <w:lang w:val="cs-CZ" w:eastAsia="en-US"/>
              </w:rPr>
              <w:t xml:space="preserve"> 0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="00ED2E8D" w:rsidRPr="003D520D">
              <w:rPr>
                <w:rFonts w:eastAsia="MS Mincho"/>
                <w:lang w:val="cs-CZ" w:eastAsia="en-US"/>
              </w:rPr>
              <w:t>388)</w:t>
            </w:r>
          </w:p>
        </w:tc>
        <w:tc>
          <w:tcPr>
            <w:tcW w:w="1908" w:type="dxa"/>
            <w:shd w:val="clear" w:color="auto" w:fill="auto"/>
          </w:tcPr>
          <w:p w14:paraId="7D457819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&lt;0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000001</w:t>
            </w:r>
          </w:p>
        </w:tc>
        <w:tc>
          <w:tcPr>
            <w:tcW w:w="1908" w:type="dxa"/>
            <w:shd w:val="clear" w:color="auto" w:fill="auto"/>
          </w:tcPr>
          <w:p w14:paraId="7D45781A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4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="00ED2E8D" w:rsidRPr="003D520D">
              <w:rPr>
                <w:rFonts w:eastAsia="MS Mincho"/>
                <w:lang w:val="cs-CZ" w:eastAsia="en-US"/>
              </w:rPr>
              <w:t>8 </w:t>
            </w:r>
            <w:r w:rsidR="00A6381C" w:rsidRPr="003D520D">
              <w:rPr>
                <w:rFonts w:eastAsia="MS Mincho"/>
                <w:lang w:val="cs-CZ" w:eastAsia="en-US"/>
              </w:rPr>
              <w:t>měsíců</w:t>
            </w:r>
          </w:p>
          <w:p w14:paraId="7D45781B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(4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0</w:t>
            </w:r>
            <w:r w:rsidR="00A6381C" w:rsidRPr="003D520D">
              <w:rPr>
                <w:rFonts w:eastAsia="MS Mincho"/>
                <w:lang w:val="cs-CZ" w:eastAsia="en-US"/>
              </w:rPr>
              <w:t>;</w:t>
            </w:r>
            <w:r w:rsidRPr="003D520D">
              <w:rPr>
                <w:rFonts w:eastAsia="MS Mincho"/>
                <w:lang w:val="cs-CZ" w:eastAsia="en-US"/>
              </w:rPr>
              <w:t xml:space="preserve"> 5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7)</w:t>
            </w:r>
          </w:p>
        </w:tc>
        <w:tc>
          <w:tcPr>
            <w:tcW w:w="1818" w:type="dxa"/>
            <w:shd w:val="clear" w:color="auto" w:fill="auto"/>
          </w:tcPr>
          <w:p w14:paraId="7D45781C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0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="00ED2E8D" w:rsidRPr="003D520D">
              <w:rPr>
                <w:rFonts w:eastAsia="MS Mincho"/>
                <w:lang w:val="cs-CZ" w:eastAsia="en-US"/>
              </w:rPr>
              <w:t>9 </w:t>
            </w:r>
            <w:r w:rsidR="00A6381C" w:rsidRPr="003D520D">
              <w:rPr>
                <w:rFonts w:eastAsia="MS Mincho"/>
                <w:lang w:val="cs-CZ" w:eastAsia="en-US"/>
              </w:rPr>
              <w:t>měsíců</w:t>
            </w:r>
          </w:p>
          <w:p w14:paraId="7D45781D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(0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9</w:t>
            </w:r>
            <w:r w:rsidR="00A6381C" w:rsidRPr="003D520D">
              <w:rPr>
                <w:rFonts w:eastAsia="MS Mincho"/>
                <w:lang w:val="cs-CZ" w:eastAsia="en-US"/>
              </w:rPr>
              <w:t>;</w:t>
            </w:r>
            <w:r w:rsidRPr="003D520D">
              <w:rPr>
                <w:rFonts w:eastAsia="MS Mincho"/>
                <w:lang w:val="cs-CZ" w:eastAsia="en-US"/>
              </w:rPr>
              <w:t xml:space="preserve"> 1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1)</w:t>
            </w:r>
          </w:p>
        </w:tc>
      </w:tr>
      <w:tr w:rsidR="00ED680A" w:rsidRPr="003D520D" w14:paraId="7D457827" w14:textId="77777777" w:rsidTr="00C43F09">
        <w:tc>
          <w:tcPr>
            <w:tcW w:w="1814" w:type="dxa"/>
            <w:shd w:val="clear" w:color="auto" w:fill="auto"/>
          </w:tcPr>
          <w:p w14:paraId="7D45781F" w14:textId="77777777" w:rsidR="00ED680A" w:rsidRPr="003D520D" w:rsidRDefault="000D25C6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D</w:t>
            </w:r>
            <w:r w:rsidR="000D2112" w:rsidRPr="003D520D">
              <w:rPr>
                <w:rFonts w:eastAsia="MS Mincho"/>
                <w:lang w:val="cs-CZ" w:eastAsia="en-US"/>
              </w:rPr>
              <w:t>oba do progrese</w:t>
            </w:r>
          </w:p>
        </w:tc>
        <w:tc>
          <w:tcPr>
            <w:tcW w:w="1908" w:type="dxa"/>
            <w:shd w:val="clear" w:color="auto" w:fill="auto"/>
          </w:tcPr>
          <w:p w14:paraId="7D457820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0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248</w:t>
            </w:r>
          </w:p>
          <w:p w14:paraId="7D457821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(0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170</w:t>
            </w:r>
            <w:r w:rsidR="00A6381C" w:rsidRPr="003D520D">
              <w:rPr>
                <w:rFonts w:eastAsia="MS Mincho"/>
                <w:lang w:val="cs-CZ" w:eastAsia="en-US"/>
              </w:rPr>
              <w:t>;</w:t>
            </w:r>
            <w:r w:rsidR="009048EC" w:rsidRPr="003D520D">
              <w:rPr>
                <w:rFonts w:eastAsia="MS Mincho"/>
                <w:lang w:val="cs-CZ" w:eastAsia="en-US"/>
              </w:rPr>
              <w:t xml:space="preserve"> </w:t>
            </w:r>
            <w:r w:rsidRPr="003D520D">
              <w:rPr>
                <w:rFonts w:eastAsia="MS Mincho"/>
                <w:lang w:val="cs-CZ" w:eastAsia="en-US"/>
              </w:rPr>
              <w:t>0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364)</w:t>
            </w:r>
          </w:p>
        </w:tc>
        <w:tc>
          <w:tcPr>
            <w:tcW w:w="1908" w:type="dxa"/>
            <w:shd w:val="clear" w:color="auto" w:fill="auto"/>
          </w:tcPr>
          <w:p w14:paraId="7D457822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&lt;0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000001</w:t>
            </w:r>
          </w:p>
        </w:tc>
        <w:tc>
          <w:tcPr>
            <w:tcW w:w="1908" w:type="dxa"/>
            <w:shd w:val="clear" w:color="auto" w:fill="auto"/>
          </w:tcPr>
          <w:p w14:paraId="7D457823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5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="00ED2E8D" w:rsidRPr="003D520D">
              <w:rPr>
                <w:rFonts w:eastAsia="MS Mincho"/>
                <w:lang w:val="cs-CZ" w:eastAsia="en-US"/>
              </w:rPr>
              <w:t>4 </w:t>
            </w:r>
            <w:r w:rsidR="00A6381C" w:rsidRPr="003D520D">
              <w:rPr>
                <w:rFonts w:eastAsia="MS Mincho"/>
                <w:lang w:val="cs-CZ" w:eastAsia="en-US"/>
              </w:rPr>
              <w:t>měsíců</w:t>
            </w:r>
          </w:p>
          <w:p w14:paraId="7D457824" w14:textId="77777777" w:rsidR="00ED680A" w:rsidRPr="003D520D" w:rsidDel="00F81651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(4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1</w:t>
            </w:r>
            <w:r w:rsidR="00A6381C" w:rsidRPr="003D520D">
              <w:rPr>
                <w:rFonts w:eastAsia="MS Mincho"/>
                <w:lang w:val="cs-CZ" w:eastAsia="en-US"/>
              </w:rPr>
              <w:t>;</w:t>
            </w:r>
            <w:r w:rsidRPr="003D520D">
              <w:rPr>
                <w:rFonts w:eastAsia="MS Mincho"/>
                <w:lang w:val="cs-CZ" w:eastAsia="en-US"/>
              </w:rPr>
              <w:t xml:space="preserve"> 5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7)</w:t>
            </w:r>
          </w:p>
        </w:tc>
        <w:tc>
          <w:tcPr>
            <w:tcW w:w="1818" w:type="dxa"/>
            <w:shd w:val="clear" w:color="auto" w:fill="auto"/>
          </w:tcPr>
          <w:p w14:paraId="7D457825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0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="00ED2E8D" w:rsidRPr="003D520D">
              <w:rPr>
                <w:rFonts w:eastAsia="MS Mincho"/>
                <w:lang w:val="cs-CZ" w:eastAsia="en-US"/>
              </w:rPr>
              <w:t>9 </w:t>
            </w:r>
            <w:r w:rsidR="00A6381C" w:rsidRPr="003D520D">
              <w:rPr>
                <w:rFonts w:eastAsia="MS Mincho"/>
                <w:lang w:val="cs-CZ" w:eastAsia="en-US"/>
              </w:rPr>
              <w:t>měsíců</w:t>
            </w:r>
          </w:p>
          <w:p w14:paraId="7D457826" w14:textId="77777777" w:rsidR="00ED680A" w:rsidRPr="003D520D" w:rsidDel="00F81651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(0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9</w:t>
            </w:r>
            <w:r w:rsidR="00A6381C" w:rsidRPr="003D520D">
              <w:rPr>
                <w:rFonts w:eastAsia="MS Mincho"/>
                <w:lang w:val="cs-CZ" w:eastAsia="en-US"/>
              </w:rPr>
              <w:t>;</w:t>
            </w:r>
            <w:r w:rsidRPr="003D520D">
              <w:rPr>
                <w:rFonts w:eastAsia="MS Mincho"/>
                <w:lang w:val="cs-CZ" w:eastAsia="en-US"/>
              </w:rPr>
              <w:t xml:space="preserve"> 1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1)</w:t>
            </w:r>
          </w:p>
        </w:tc>
      </w:tr>
      <w:tr w:rsidR="00ED680A" w:rsidRPr="003D520D" w14:paraId="7D45782E" w14:textId="77777777" w:rsidTr="00C43F09">
        <w:tc>
          <w:tcPr>
            <w:tcW w:w="1814" w:type="dxa"/>
            <w:shd w:val="clear" w:color="auto" w:fill="auto"/>
          </w:tcPr>
          <w:p w14:paraId="7D457828" w14:textId="77777777" w:rsidR="00ED680A" w:rsidRPr="003D520D" w:rsidRDefault="000D25C6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C</w:t>
            </w:r>
            <w:r w:rsidR="000D2112" w:rsidRPr="003D520D">
              <w:rPr>
                <w:rFonts w:eastAsia="MS Mincho"/>
                <w:lang w:val="cs-CZ" w:eastAsia="en-US"/>
              </w:rPr>
              <w:t>elkové přežití</w:t>
            </w:r>
          </w:p>
        </w:tc>
        <w:tc>
          <w:tcPr>
            <w:tcW w:w="1908" w:type="dxa"/>
            <w:shd w:val="clear" w:color="auto" w:fill="auto"/>
          </w:tcPr>
          <w:p w14:paraId="7D457829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0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="009048EC" w:rsidRPr="003D520D">
              <w:rPr>
                <w:rFonts w:eastAsia="MS Mincho"/>
                <w:lang w:val="cs-CZ" w:eastAsia="en-US"/>
              </w:rPr>
              <w:t>772</w:t>
            </w:r>
          </w:p>
          <w:p w14:paraId="7D45782A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(0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423</w:t>
            </w:r>
            <w:r w:rsidR="00A6381C" w:rsidRPr="003D520D">
              <w:rPr>
                <w:rFonts w:eastAsia="MS Mincho"/>
                <w:lang w:val="cs-CZ" w:eastAsia="en-US"/>
              </w:rPr>
              <w:t>;</w:t>
            </w:r>
            <w:r w:rsidRPr="003D520D">
              <w:rPr>
                <w:rFonts w:eastAsia="MS Mincho"/>
                <w:lang w:val="cs-CZ" w:eastAsia="en-US"/>
              </w:rPr>
              <w:t xml:space="preserve"> 1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408)</w:t>
            </w:r>
          </w:p>
        </w:tc>
        <w:tc>
          <w:tcPr>
            <w:tcW w:w="1908" w:type="dxa"/>
            <w:shd w:val="clear" w:color="auto" w:fill="auto"/>
          </w:tcPr>
          <w:p w14:paraId="7D45782B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0</w:t>
            </w:r>
            <w:r w:rsidR="00A6381C" w:rsidRPr="003D520D">
              <w:rPr>
                <w:rFonts w:eastAsia="MS Mincho"/>
                <w:lang w:val="cs-CZ" w:eastAsia="en-US"/>
              </w:rPr>
              <w:t>,</w:t>
            </w:r>
            <w:r w:rsidRPr="003D520D">
              <w:rPr>
                <w:rFonts w:eastAsia="MS Mincho"/>
                <w:lang w:val="cs-CZ" w:eastAsia="en-US"/>
              </w:rPr>
              <w:t>199</w:t>
            </w:r>
          </w:p>
        </w:tc>
        <w:tc>
          <w:tcPr>
            <w:tcW w:w="1908" w:type="dxa"/>
            <w:shd w:val="clear" w:color="auto" w:fill="auto"/>
          </w:tcPr>
          <w:p w14:paraId="7D45782C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NR**</w:t>
            </w:r>
          </w:p>
        </w:tc>
        <w:tc>
          <w:tcPr>
            <w:tcW w:w="1818" w:type="dxa"/>
            <w:shd w:val="clear" w:color="auto" w:fill="auto"/>
          </w:tcPr>
          <w:p w14:paraId="7D45782D" w14:textId="77777777" w:rsidR="00ED680A" w:rsidRPr="003D520D" w:rsidRDefault="00ED680A" w:rsidP="00D707AB">
            <w:pPr>
              <w:widowControl w:val="0"/>
              <w:spacing w:after="0"/>
              <w:rPr>
                <w:rFonts w:eastAsia="MS Mincho"/>
                <w:lang w:val="cs-CZ" w:eastAsia="en-US"/>
              </w:rPr>
            </w:pPr>
            <w:r w:rsidRPr="003D520D">
              <w:rPr>
                <w:rFonts w:eastAsia="MS Mincho"/>
                <w:lang w:val="cs-CZ" w:eastAsia="en-US"/>
              </w:rPr>
              <w:t>NR**</w:t>
            </w:r>
          </w:p>
        </w:tc>
      </w:tr>
    </w:tbl>
    <w:p w14:paraId="7D45782F" w14:textId="77777777" w:rsidR="00B17ED7" w:rsidRPr="003D520D" w:rsidRDefault="00B17ED7" w:rsidP="00D707AB">
      <w:pPr>
        <w:pStyle w:val="Titulek"/>
        <w:spacing w:after="0"/>
        <w:jc w:val="left"/>
        <w:rPr>
          <w:i w:val="0"/>
          <w:sz w:val="22"/>
          <w:szCs w:val="22"/>
          <w:lang w:val="cs-CZ"/>
        </w:rPr>
      </w:pPr>
      <w:r w:rsidRPr="003D520D">
        <w:rPr>
          <w:rFonts w:eastAsia="MS Mincho"/>
          <w:i w:val="0"/>
          <w:sz w:val="22"/>
          <w:szCs w:val="22"/>
          <w:vertAlign w:val="superscript"/>
          <w:lang w:eastAsia="en-US"/>
        </w:rPr>
        <w:t>§</w:t>
      </w:r>
      <w:r w:rsidRPr="003D520D">
        <w:rPr>
          <w:rFonts w:eastAsia="MS Mincho"/>
          <w:i w:val="0"/>
          <w:sz w:val="22"/>
          <w:szCs w:val="22"/>
          <w:lang w:eastAsia="en-US"/>
        </w:rPr>
        <w:t xml:space="preserve"> </w:t>
      </w:r>
      <w:r w:rsidR="0097326F">
        <w:rPr>
          <w:rFonts w:eastAsia="MS Mincho"/>
          <w:i w:val="0"/>
          <w:sz w:val="22"/>
          <w:szCs w:val="22"/>
          <w:lang w:eastAsia="en-US"/>
        </w:rPr>
        <w:t xml:space="preserve">BSC - </w:t>
      </w:r>
      <w:proofErr w:type="spellStart"/>
      <w:r w:rsidRPr="003D520D">
        <w:rPr>
          <w:rFonts w:eastAsia="MS Mincho"/>
          <w:i w:val="0"/>
          <w:sz w:val="22"/>
          <w:szCs w:val="22"/>
          <w:lang w:eastAsia="en-US"/>
        </w:rPr>
        <w:t>Nejlepší</w:t>
      </w:r>
      <w:proofErr w:type="spellEnd"/>
      <w:r w:rsidRPr="003D520D">
        <w:rPr>
          <w:rFonts w:eastAsia="MS Mincho"/>
          <w:i w:val="0"/>
          <w:sz w:val="22"/>
          <w:szCs w:val="22"/>
          <w:lang w:eastAsia="en-US"/>
        </w:rPr>
        <w:t xml:space="preserve"> </w:t>
      </w:r>
      <w:proofErr w:type="spellStart"/>
      <w:r w:rsidRPr="003D520D">
        <w:rPr>
          <w:rFonts w:eastAsia="MS Mincho"/>
          <w:i w:val="0"/>
          <w:sz w:val="22"/>
          <w:szCs w:val="22"/>
          <w:lang w:eastAsia="en-US"/>
        </w:rPr>
        <w:t>podpůrná</w:t>
      </w:r>
      <w:proofErr w:type="spellEnd"/>
      <w:r w:rsidRPr="003D520D">
        <w:rPr>
          <w:rFonts w:eastAsia="MS Mincho"/>
          <w:i w:val="0"/>
          <w:sz w:val="22"/>
          <w:szCs w:val="22"/>
          <w:lang w:eastAsia="en-US"/>
        </w:rPr>
        <w:t xml:space="preserve"> </w:t>
      </w:r>
      <w:proofErr w:type="spellStart"/>
      <w:r w:rsidRPr="003D520D">
        <w:rPr>
          <w:rFonts w:eastAsia="MS Mincho"/>
          <w:i w:val="0"/>
          <w:sz w:val="22"/>
          <w:szCs w:val="22"/>
          <w:lang w:eastAsia="en-US"/>
        </w:rPr>
        <w:t>péče</w:t>
      </w:r>
      <w:proofErr w:type="spellEnd"/>
    </w:p>
    <w:p w14:paraId="7D457830" w14:textId="77777777" w:rsidR="000D2112" w:rsidRPr="003D520D" w:rsidRDefault="000D2112" w:rsidP="00D707AB">
      <w:pPr>
        <w:pStyle w:val="Titulek"/>
        <w:spacing w:after="0"/>
        <w:jc w:val="left"/>
        <w:rPr>
          <w:i w:val="0"/>
          <w:sz w:val="22"/>
          <w:szCs w:val="22"/>
          <w:lang w:val="cs-CZ"/>
        </w:rPr>
      </w:pPr>
      <w:r w:rsidRPr="003D520D">
        <w:rPr>
          <w:i w:val="0"/>
          <w:sz w:val="22"/>
          <w:szCs w:val="22"/>
          <w:lang w:val="cs-CZ"/>
        </w:rPr>
        <w:t xml:space="preserve">* Poměr rizik </w:t>
      </w:r>
      <w:proofErr w:type="gramStart"/>
      <w:r w:rsidRPr="003D520D">
        <w:rPr>
          <w:i w:val="0"/>
          <w:sz w:val="22"/>
          <w:szCs w:val="22"/>
          <w:lang w:val="cs-CZ"/>
        </w:rPr>
        <w:t>&lt; 1</w:t>
      </w:r>
      <w:proofErr w:type="gramEnd"/>
      <w:r w:rsidRPr="003D520D">
        <w:rPr>
          <w:i w:val="0"/>
          <w:sz w:val="22"/>
          <w:szCs w:val="22"/>
          <w:lang w:val="cs-CZ"/>
        </w:rPr>
        <w:t xml:space="preserve"> ve prospěch přípravku </w:t>
      </w:r>
      <w:proofErr w:type="spellStart"/>
      <w:r w:rsidRPr="003D520D">
        <w:rPr>
          <w:i w:val="0"/>
          <w:sz w:val="22"/>
          <w:szCs w:val="22"/>
          <w:lang w:val="cs-CZ"/>
        </w:rPr>
        <w:t>Stivarga</w:t>
      </w:r>
      <w:proofErr w:type="spellEnd"/>
    </w:p>
    <w:p w14:paraId="7D457831" w14:textId="77777777" w:rsidR="00ED680A" w:rsidRPr="003D520D" w:rsidRDefault="00ED680A" w:rsidP="00D707AB">
      <w:pPr>
        <w:rPr>
          <w:rFonts w:eastAsia="MS Mincho"/>
          <w:szCs w:val="22"/>
          <w:lang w:val="cs-CZ" w:eastAsia="en-US"/>
        </w:rPr>
      </w:pPr>
      <w:r w:rsidRPr="003D520D">
        <w:rPr>
          <w:rFonts w:eastAsia="MS Mincho"/>
          <w:szCs w:val="22"/>
          <w:lang w:val="cs-CZ" w:eastAsia="en-US"/>
        </w:rPr>
        <w:t xml:space="preserve">** NR: </w:t>
      </w:r>
      <w:r w:rsidR="000D2112" w:rsidRPr="003D520D">
        <w:rPr>
          <w:rFonts w:eastAsia="MS Mincho"/>
          <w:szCs w:val="22"/>
          <w:lang w:val="cs-CZ" w:eastAsia="en-US"/>
        </w:rPr>
        <w:t>nebylo dosaženo</w:t>
      </w:r>
    </w:p>
    <w:p w14:paraId="7D457832" w14:textId="77777777" w:rsidR="00ED680A" w:rsidRPr="003D520D" w:rsidRDefault="00ED680A" w:rsidP="00D707AB">
      <w:pPr>
        <w:rPr>
          <w:rFonts w:eastAsia="MS Mincho"/>
          <w:szCs w:val="22"/>
          <w:lang w:val="cs-CZ" w:eastAsia="en-US"/>
        </w:rPr>
      </w:pPr>
    </w:p>
    <w:p w14:paraId="7D457833" w14:textId="587B69D5" w:rsidR="00ED680A" w:rsidRPr="003D520D" w:rsidRDefault="00297C82" w:rsidP="00D707AB">
      <w:pPr>
        <w:pStyle w:val="Titulek"/>
        <w:jc w:val="left"/>
        <w:rPr>
          <w:rFonts w:eastAsia="MS Mincho"/>
          <w:b/>
          <w:i w:val="0"/>
          <w:sz w:val="22"/>
          <w:lang w:val="cs-CZ" w:eastAsia="en-US"/>
        </w:rPr>
      </w:pPr>
      <w:bookmarkStart w:id="2" w:name="figure3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D457C02" wp14:editId="442EF50A">
                <wp:simplePos x="0" y="0"/>
                <wp:positionH relativeFrom="column">
                  <wp:posOffset>-147955</wp:posOffset>
                </wp:positionH>
                <wp:positionV relativeFrom="paragraph">
                  <wp:posOffset>-125730</wp:posOffset>
                </wp:positionV>
                <wp:extent cx="6448425" cy="8071485"/>
                <wp:effectExtent l="0" t="0" r="0" b="5715"/>
                <wp:wrapNone/>
                <wp:docPr id="29" name="Flussdiagramm: Proz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07148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4CF06"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17" o:spid="_x0000_s1026" type="#_x0000_t109" style="position:absolute;margin-left:-11.65pt;margin-top:-9.9pt;width:507.75pt;height:63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" o:allowincell="f" filled="f" fillcolor="yellow" stroked="f"/>
            </w:pict>
          </mc:Fallback>
        </mc:AlternateContent>
      </w:r>
      <w:bookmarkEnd w:id="2"/>
      <w:r w:rsidR="00217E13" w:rsidRPr="003D520D">
        <w:rPr>
          <w:rFonts w:eastAsia="MS Mincho"/>
          <w:b/>
          <w:i w:val="0"/>
          <w:sz w:val="22"/>
          <w:lang w:val="cs-CZ" w:eastAsia="en-US"/>
        </w:rPr>
        <w:t>Obrázek </w:t>
      </w:r>
      <w:r w:rsidR="000D2112" w:rsidRPr="003D520D">
        <w:rPr>
          <w:rFonts w:eastAsia="MS Mincho"/>
          <w:b/>
          <w:i w:val="0"/>
          <w:sz w:val="22"/>
          <w:lang w:val="cs-CZ" w:eastAsia="en-US"/>
        </w:rPr>
        <w:t>2</w:t>
      </w:r>
      <w:r w:rsidR="00ED680A" w:rsidRPr="003D520D">
        <w:rPr>
          <w:rFonts w:eastAsia="MS Mincho"/>
          <w:b/>
          <w:i w:val="0"/>
          <w:sz w:val="22"/>
          <w:lang w:val="cs-CZ" w:eastAsia="en-US"/>
        </w:rPr>
        <w:t>: Kaplan-</w:t>
      </w:r>
      <w:proofErr w:type="spellStart"/>
      <w:r w:rsidR="00ED680A" w:rsidRPr="003D520D">
        <w:rPr>
          <w:rFonts w:eastAsia="MS Mincho"/>
          <w:b/>
          <w:i w:val="0"/>
          <w:sz w:val="22"/>
          <w:lang w:val="cs-CZ" w:eastAsia="en-US"/>
        </w:rPr>
        <w:t>Meier</w:t>
      </w:r>
      <w:r w:rsidR="000D2112" w:rsidRPr="003D520D">
        <w:rPr>
          <w:rFonts w:eastAsia="MS Mincho"/>
          <w:b/>
          <w:i w:val="0"/>
          <w:sz w:val="22"/>
          <w:lang w:val="cs-CZ" w:eastAsia="en-US"/>
        </w:rPr>
        <w:t>ovy</w:t>
      </w:r>
      <w:proofErr w:type="spellEnd"/>
      <w:r w:rsidR="000D2112" w:rsidRPr="003D520D">
        <w:rPr>
          <w:rFonts w:eastAsia="MS Mincho"/>
          <w:b/>
          <w:i w:val="0"/>
          <w:sz w:val="22"/>
          <w:lang w:val="cs-CZ" w:eastAsia="en-US"/>
        </w:rPr>
        <w:t xml:space="preserve"> křivky přežití bez progrese</w:t>
      </w:r>
    </w:p>
    <w:p w14:paraId="7D457834" w14:textId="7E1BF38F" w:rsidR="008051EA" w:rsidRPr="003D520D" w:rsidRDefault="00297C82" w:rsidP="00D707AB">
      <w:pPr>
        <w:rPr>
          <w:rFonts w:eastAsia="MS Mincho"/>
          <w:lang w:val="cs-CZ" w:eastAsia="en-US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D457C03" wp14:editId="76ED0669">
                <wp:simplePos x="0" y="0"/>
                <wp:positionH relativeFrom="column">
                  <wp:posOffset>17780</wp:posOffset>
                </wp:positionH>
                <wp:positionV relativeFrom="paragraph">
                  <wp:posOffset>207010</wp:posOffset>
                </wp:positionV>
                <wp:extent cx="5193030" cy="3286125"/>
                <wp:effectExtent l="0" t="0" r="0" b="0"/>
                <wp:wrapNone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3030" cy="3286125"/>
                          <a:chOff x="1500" y="2310"/>
                          <a:chExt cx="8178" cy="5175"/>
                        </a:xfrm>
                      </wpg:grpSpPr>
                      <wps:wsp>
                        <wps:cNvPr id="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52" y="6440"/>
                            <a:ext cx="2513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57C2C" w14:textId="77777777" w:rsidR="00C96C26" w:rsidRPr="002B6694" w:rsidRDefault="00C96C26" w:rsidP="00ED680A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Měsíce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od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randomizace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feld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6875"/>
                            <a:ext cx="1780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57C2D" w14:textId="77777777" w:rsidR="00C96C26" w:rsidRDefault="00C96C26" w:rsidP="00ED680A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Rizikoví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pacienti</w:t>
                              </w:r>
                              <w:proofErr w:type="spellEnd"/>
                            </w:p>
                            <w:p w14:paraId="7D457C2E" w14:textId="77777777" w:rsidR="00C96C26" w:rsidRDefault="00C96C26" w:rsidP="00ED680A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Stivarga</w:t>
                              </w:r>
                              <w:proofErr w:type="spellEnd"/>
                            </w:p>
                            <w:p w14:paraId="7D457C2F" w14:textId="77777777" w:rsidR="00C96C26" w:rsidRPr="002B6694" w:rsidRDefault="00C96C26" w:rsidP="00ED680A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Placebo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5" y="2310"/>
                            <a:ext cx="2513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57C30" w14:textId="77777777" w:rsidR="00C96C26" w:rsidRPr="002B6694" w:rsidRDefault="00C96C26" w:rsidP="00ED680A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Stivarga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B669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2B669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=133)</w:t>
                              </w:r>
                            </w:p>
                            <w:p w14:paraId="7D457C31" w14:textId="77777777" w:rsidR="00C96C26" w:rsidRPr="002B6694" w:rsidRDefault="00C96C26" w:rsidP="00ED680A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B669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Placebo (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2B669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=66)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feld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2582"/>
                            <a:ext cx="421" cy="3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57C32" w14:textId="77777777" w:rsidR="00C96C26" w:rsidRPr="002B6694" w:rsidRDefault="00C96C26" w:rsidP="00ED680A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Pravděpodobnost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přežití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bez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progrese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(%)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57C03" id="Group 17" o:spid="_x0000_s1031" style="position:absolute;margin-left:1.4pt;margin-top:16.3pt;width:408.9pt;height:258.75pt;z-index:251652096" coordorigin="1500,2310" coordsize="8178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">
                <v:shape id="Text Box 12" o:spid="_x0000_s1032" type="#_x0000_t202" style="position:absolute;left:4652;top:6440;width:251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<v:textbox inset="0,0,0,0">
                    <w:txbxContent>
                      <w:p w14:paraId="7D457C2C" w14:textId="77777777" w:rsidR="00C96C26" w:rsidRPr="002B6694" w:rsidRDefault="00C96C26" w:rsidP="00ED680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Měsíce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randomizace</w:t>
                        </w:r>
                        <w:proofErr w:type="spellEnd"/>
                      </w:p>
                    </w:txbxContent>
                  </v:textbox>
                </v:shape>
                <v:shape id="Textfeld 12" o:spid="_x0000_s1033" type="#_x0000_t202" style="position:absolute;left:1704;top:6875;width:1780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<v:textbox inset="0,0,0,0">
                    <w:txbxContent>
                      <w:p w14:paraId="7D457C2D" w14:textId="77777777" w:rsidR="00C96C26" w:rsidRDefault="00C96C26" w:rsidP="00ED680A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Rizikoví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pacienti</w:t>
                        </w:r>
                        <w:proofErr w:type="spellEnd"/>
                      </w:p>
                      <w:p w14:paraId="7D457C2E" w14:textId="77777777" w:rsidR="00C96C26" w:rsidRDefault="00C96C26" w:rsidP="00ED680A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Stivarga</w:t>
                        </w:r>
                        <w:proofErr w:type="spellEnd"/>
                      </w:p>
                      <w:p w14:paraId="7D457C2F" w14:textId="77777777" w:rsidR="00C96C26" w:rsidRPr="002B6694" w:rsidRDefault="00C96C26" w:rsidP="00ED680A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Placebo</w:t>
                        </w:r>
                      </w:p>
                    </w:txbxContent>
                  </v:textbox>
                </v:shape>
                <v:shape id="Text Box 14" o:spid="_x0000_s1034" type="#_x0000_t202" style="position:absolute;left:7165;top:2310;width:251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aX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" stroked="f">
                  <v:textbox inset="0,0,0,0">
                    <w:txbxContent>
                      <w:p w14:paraId="7D457C30" w14:textId="77777777" w:rsidR="00C96C26" w:rsidRPr="002B6694" w:rsidRDefault="00C96C26" w:rsidP="00ED680A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Stivarga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2B669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</w:t>
                        </w:r>
                        <w:r w:rsidRPr="002B669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=133)</w:t>
                        </w:r>
                      </w:p>
                      <w:p w14:paraId="7D457C31" w14:textId="77777777" w:rsidR="00C96C26" w:rsidRPr="002B6694" w:rsidRDefault="00C96C26" w:rsidP="00ED680A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2B66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Placebo (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</w:t>
                        </w:r>
                        <w:r w:rsidRPr="002B66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=66)</w:t>
                        </w:r>
                      </w:p>
                    </w:txbxContent>
                  </v:textbox>
                </v:shape>
                <v:shape id="Textfeld 14" o:spid="_x0000_s1035" type="#_x0000_t202" style="position:absolute;left:1500;top:2582;width:421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" stroked="f">
                  <v:textbox style="layout-flow:vertical;mso-layout-flow-alt:bottom-to-top" inset="0,0,0,0">
                    <w:txbxContent>
                      <w:p w14:paraId="7D457C32" w14:textId="77777777" w:rsidR="00C96C26" w:rsidRPr="002B6694" w:rsidRDefault="00C96C26" w:rsidP="00ED680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Pravděpodobnost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přežití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bez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progrese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(%)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 wp14:anchorId="7D457C04" wp14:editId="1FE2C8AB">
            <wp:extent cx="5342890" cy="3535045"/>
            <wp:effectExtent l="0" t="0" r="0" b="8255"/>
            <wp:docPr id="3" name="obrázek 3" descr="KM curve PFS_G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M curve PFS_GIS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7835" w14:textId="4E1D0FDE" w:rsidR="003F502F" w:rsidRPr="003D520D" w:rsidRDefault="00297C82" w:rsidP="00D707AB">
      <w:pPr>
        <w:spacing w:before="120" w:after="0"/>
        <w:rPr>
          <w:rFonts w:eastAsia="MS Mincho"/>
          <w:noProof/>
          <w:sz w:val="24"/>
          <w:lang w:val="cs-CZ" w:eastAsia="cs-CZ"/>
        </w:rPr>
      </w:pPr>
      <w:r>
        <w:rPr>
          <w:rFonts w:eastAsia="MS Mincho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457C05" wp14:editId="2248637A">
                <wp:simplePos x="0" y="0"/>
                <wp:positionH relativeFrom="column">
                  <wp:posOffset>17780</wp:posOffset>
                </wp:positionH>
                <wp:positionV relativeFrom="paragraph">
                  <wp:posOffset>7130415</wp:posOffset>
                </wp:positionV>
                <wp:extent cx="1130300" cy="387985"/>
                <wp:effectExtent l="0" t="0" r="0" b="0"/>
                <wp:wrapNone/>
                <wp:docPr id="23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7C33" w14:textId="77777777" w:rsidR="00C96C26" w:rsidRDefault="00C96C26" w:rsidP="00ED680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Rizikoví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pacienti</w:t>
                            </w:r>
                            <w:proofErr w:type="spellEnd"/>
                          </w:p>
                          <w:p w14:paraId="7D457C34" w14:textId="77777777" w:rsidR="00C96C26" w:rsidRDefault="00C96C26" w:rsidP="00ED680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Regorafenib 160 mg</w:t>
                            </w:r>
                          </w:p>
                          <w:p w14:paraId="7D457C35" w14:textId="77777777" w:rsidR="00C96C26" w:rsidRPr="002B6694" w:rsidRDefault="00C96C26" w:rsidP="00ED680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Placebo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57C05" id="Textfeld 9" o:spid="_x0000_s1036" type="#_x0000_t202" style="position:absolute;margin-left:1.4pt;margin-top:561.45pt;width:89pt;height:30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" stroked="f">
                <v:textbox inset="0,0,0,0">
                  <w:txbxContent>
                    <w:p w14:paraId="7D457C33" w14:textId="77777777" w:rsidR="00C96C26" w:rsidRDefault="00C96C26" w:rsidP="00ED680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Rizikoví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pacienti</w:t>
                      </w:r>
                      <w:proofErr w:type="spellEnd"/>
                    </w:p>
                    <w:p w14:paraId="7D457C34" w14:textId="77777777" w:rsidR="00C96C26" w:rsidRDefault="00C96C26" w:rsidP="00ED680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Regorafenib 160 mg</w:t>
                      </w:r>
                    </w:p>
                    <w:p w14:paraId="7D457C35" w14:textId="77777777" w:rsidR="00C96C26" w:rsidRPr="002B6694" w:rsidRDefault="00C96C26" w:rsidP="00ED680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Placebo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D457C06" wp14:editId="40DD7783">
                <wp:simplePos x="0" y="0"/>
                <wp:positionH relativeFrom="column">
                  <wp:posOffset>2165985</wp:posOffset>
                </wp:positionH>
                <wp:positionV relativeFrom="paragraph">
                  <wp:posOffset>6880225</wp:posOffset>
                </wp:positionV>
                <wp:extent cx="1595755" cy="267335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7C36" w14:textId="77777777" w:rsidR="00C96C26" w:rsidRPr="002B6694" w:rsidRDefault="00C96C26" w:rsidP="00ED68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Měsíce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randomizace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57C06" id="Text Box 9" o:spid="_x0000_s1037" type="#_x0000_t202" style="position:absolute;margin-left:170.55pt;margin-top:541.75pt;width:125.65pt;height:21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" stroked="f">
                <v:textbox inset="0,0,0,0">
                  <w:txbxContent>
                    <w:p w14:paraId="7D457C36" w14:textId="77777777" w:rsidR="00C96C26" w:rsidRPr="002B6694" w:rsidRDefault="00C96C26" w:rsidP="00ED680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Měsíce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od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randomizace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457C07" wp14:editId="7D6CBE82">
                <wp:simplePos x="0" y="0"/>
                <wp:positionH relativeFrom="column">
                  <wp:posOffset>3761740</wp:posOffset>
                </wp:positionH>
                <wp:positionV relativeFrom="paragraph">
                  <wp:posOffset>6319520</wp:posOffset>
                </wp:positionV>
                <wp:extent cx="1595755" cy="267335"/>
                <wp:effectExtent l="0" t="0" r="0" b="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7C37" w14:textId="77777777" w:rsidR="00C96C26" w:rsidRPr="002B6694" w:rsidRDefault="00C96C26" w:rsidP="00ED680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B66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Regorafenib 160 mg (N=133)</w:t>
                            </w:r>
                          </w:p>
                          <w:p w14:paraId="7D457C38" w14:textId="77777777" w:rsidR="00C96C26" w:rsidRPr="002B6694" w:rsidRDefault="00C96C26" w:rsidP="00ED680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B6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Placebo (N=66)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57C07" id="Textfeld 2" o:spid="_x0000_s1038" type="#_x0000_t202" style="position:absolute;margin-left:296.2pt;margin-top:497.6pt;width:125.65pt;height:21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" stroked="f">
                <v:textbox inset="0,0,0,0">
                  <w:txbxContent>
                    <w:p w14:paraId="7D457C37" w14:textId="77777777" w:rsidR="00C96C26" w:rsidRPr="002B6694" w:rsidRDefault="00C96C26" w:rsidP="00ED680A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B66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Regorafenib 160 mg (N=133)</w:t>
                      </w:r>
                    </w:p>
                    <w:p w14:paraId="7D457C38" w14:textId="77777777" w:rsidR="00C96C26" w:rsidRPr="002B6694" w:rsidRDefault="00C96C26" w:rsidP="00ED680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B6694">
                        <w:rPr>
                          <w:rFonts w:ascii="Arial" w:hAnsi="Arial" w:cs="Arial"/>
                          <w:sz w:val="16"/>
                          <w:szCs w:val="16"/>
                        </w:rPr>
                        <w:t>Placebo (N=66)</w:t>
                      </w:r>
                    </w:p>
                  </w:txbxContent>
                </v:textbox>
              </v:shape>
            </w:pict>
          </mc:Fallback>
        </mc:AlternateContent>
      </w:r>
    </w:p>
    <w:p w14:paraId="7D457836" w14:textId="77777777" w:rsidR="00ED680A" w:rsidRPr="003D520D" w:rsidRDefault="00086EB7" w:rsidP="00D707AB">
      <w:pPr>
        <w:pStyle w:val="Titulek"/>
        <w:keepNext/>
        <w:jc w:val="left"/>
        <w:rPr>
          <w:rFonts w:eastAsia="MS Mincho"/>
          <w:b/>
          <w:i w:val="0"/>
          <w:sz w:val="22"/>
          <w:lang w:val="cs-CZ" w:eastAsia="en-US"/>
        </w:rPr>
      </w:pPr>
      <w:bookmarkStart w:id="3" w:name="figure4"/>
      <w:r w:rsidRPr="003D520D">
        <w:rPr>
          <w:rFonts w:eastAsia="MS Mincho"/>
          <w:b/>
          <w:i w:val="0"/>
          <w:sz w:val="22"/>
          <w:lang w:val="cs-CZ" w:eastAsia="en-US"/>
        </w:rPr>
        <w:t>Obrázek</w:t>
      </w:r>
      <w:bookmarkEnd w:id="3"/>
      <w:r w:rsidR="00B859C0" w:rsidRPr="003D520D">
        <w:rPr>
          <w:rFonts w:eastAsia="MS Mincho"/>
          <w:b/>
          <w:i w:val="0"/>
          <w:sz w:val="22"/>
          <w:lang w:val="cs-CZ" w:eastAsia="en-US"/>
        </w:rPr>
        <w:t> </w:t>
      </w:r>
      <w:r w:rsidR="00ED680A" w:rsidRPr="003D520D">
        <w:rPr>
          <w:rFonts w:eastAsia="MS Mincho"/>
          <w:b/>
          <w:i w:val="0"/>
          <w:sz w:val="22"/>
          <w:lang w:val="cs-CZ" w:eastAsia="en-US"/>
        </w:rPr>
        <w:t>3: Kaplan-</w:t>
      </w:r>
      <w:proofErr w:type="spellStart"/>
      <w:r w:rsidR="00ED680A" w:rsidRPr="003D520D">
        <w:rPr>
          <w:rFonts w:eastAsia="MS Mincho"/>
          <w:b/>
          <w:i w:val="0"/>
          <w:sz w:val="22"/>
          <w:lang w:val="cs-CZ" w:eastAsia="en-US"/>
        </w:rPr>
        <w:t>Meier</w:t>
      </w:r>
      <w:r w:rsidRPr="003D520D">
        <w:rPr>
          <w:rFonts w:eastAsia="MS Mincho"/>
          <w:b/>
          <w:i w:val="0"/>
          <w:sz w:val="22"/>
          <w:lang w:val="cs-CZ" w:eastAsia="en-US"/>
        </w:rPr>
        <w:t>ovy</w:t>
      </w:r>
      <w:proofErr w:type="spellEnd"/>
      <w:r w:rsidRPr="003D520D">
        <w:rPr>
          <w:rFonts w:eastAsia="MS Mincho"/>
          <w:b/>
          <w:i w:val="0"/>
          <w:sz w:val="22"/>
          <w:lang w:val="cs-CZ" w:eastAsia="en-US"/>
        </w:rPr>
        <w:t xml:space="preserve"> křivky celkového přežití</w:t>
      </w:r>
    </w:p>
    <w:p w14:paraId="7D457837" w14:textId="256C1EBA" w:rsidR="008051EA" w:rsidRPr="003D520D" w:rsidRDefault="00297C82" w:rsidP="00D707AB">
      <w:pPr>
        <w:rPr>
          <w:rFonts w:eastAsia="MS Mincho"/>
          <w:lang w:val="cs-CZ" w:eastAsia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457C08" wp14:editId="4DB7F62E">
                <wp:simplePos x="0" y="0"/>
                <wp:positionH relativeFrom="column">
                  <wp:posOffset>3843020</wp:posOffset>
                </wp:positionH>
                <wp:positionV relativeFrom="paragraph">
                  <wp:posOffset>2272030</wp:posOffset>
                </wp:positionV>
                <wp:extent cx="1133475" cy="347980"/>
                <wp:effectExtent l="0" t="0" r="0" b="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57C39" w14:textId="77777777" w:rsidR="00C96C26" w:rsidRPr="002B6694" w:rsidRDefault="00C96C26" w:rsidP="00BA58C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Stivarga</w:t>
                            </w:r>
                            <w:proofErr w:type="spellEnd"/>
                            <w:r w:rsidRPr="002B66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 w:rsidRPr="002B66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=133)</w:t>
                            </w:r>
                          </w:p>
                          <w:p w14:paraId="7D457C3A" w14:textId="77777777" w:rsidR="00C96C26" w:rsidRPr="002B6694" w:rsidRDefault="00C96C26" w:rsidP="00BA58C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B6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Placebo 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r w:rsidRPr="002B6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=66)</w:t>
                            </w:r>
                          </w:p>
                          <w:p w14:paraId="7D457C3B" w14:textId="77777777" w:rsidR="00C96C26" w:rsidRDefault="00C96C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57C08" id="Text Box 33" o:spid="_x0000_s1039" type="#_x0000_t202" style="position:absolute;margin-left:302.6pt;margin-top:178.9pt;width:89.25pt;height:2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" strokecolor="white">
                <v:textbox>
                  <w:txbxContent>
                    <w:p w14:paraId="7D457C39" w14:textId="77777777" w:rsidR="00C96C26" w:rsidRPr="002B6694" w:rsidRDefault="00C96C26" w:rsidP="00BA58C4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Stivarga</w:t>
                      </w:r>
                      <w:proofErr w:type="spellEnd"/>
                      <w:r w:rsidRPr="002B66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</w:t>
                      </w:r>
                      <w:r w:rsidRPr="002B66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=133)</w:t>
                      </w:r>
                    </w:p>
                    <w:p w14:paraId="7D457C3A" w14:textId="77777777" w:rsidR="00C96C26" w:rsidRPr="002B6694" w:rsidRDefault="00C96C26" w:rsidP="00BA58C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B6694">
                        <w:rPr>
                          <w:rFonts w:ascii="Arial" w:hAnsi="Arial" w:cs="Arial"/>
                          <w:sz w:val="16"/>
                          <w:szCs w:val="16"/>
                        </w:rPr>
                        <w:t>Placebo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</w:t>
                      </w:r>
                      <w:r w:rsidRPr="002B6694">
                        <w:rPr>
                          <w:rFonts w:ascii="Arial" w:hAnsi="Arial" w:cs="Arial"/>
                          <w:sz w:val="16"/>
                          <w:szCs w:val="16"/>
                        </w:rPr>
                        <w:t>=66)</w:t>
                      </w:r>
                    </w:p>
                    <w:p w14:paraId="7D457C3B" w14:textId="77777777" w:rsidR="00C96C26" w:rsidRDefault="00C96C26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457C09" wp14:editId="2F2942A4">
                <wp:simplePos x="0" y="0"/>
                <wp:positionH relativeFrom="column">
                  <wp:posOffset>17780</wp:posOffset>
                </wp:positionH>
                <wp:positionV relativeFrom="paragraph">
                  <wp:posOffset>3100070</wp:posOffset>
                </wp:positionV>
                <wp:extent cx="1005840" cy="423545"/>
                <wp:effectExtent l="0" t="0" r="0" b="0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7C3C" w14:textId="77777777" w:rsidR="00C96C26" w:rsidRDefault="00C96C26" w:rsidP="002156E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Rizikoví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pacienti</w:t>
                            </w:r>
                            <w:proofErr w:type="spellEnd"/>
                          </w:p>
                          <w:p w14:paraId="7D457C3D" w14:textId="77777777" w:rsidR="00C96C26" w:rsidRDefault="00C96C26" w:rsidP="002156E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Stivarga</w:t>
                            </w:r>
                            <w:proofErr w:type="spellEnd"/>
                          </w:p>
                          <w:p w14:paraId="7D457C3E" w14:textId="77777777" w:rsidR="00C96C26" w:rsidRDefault="00C96C26" w:rsidP="002156EC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Placebo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7C09" id="Text Box 31" o:spid="_x0000_s1040" type="#_x0000_t202" style="position:absolute;margin-left:1.4pt;margin-top:244.1pt;width:79.2pt;height:33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" stroked="f">
                <v:textbox>
                  <w:txbxContent>
                    <w:p w14:paraId="7D457C3C" w14:textId="77777777" w:rsidR="00C96C26" w:rsidRDefault="00C96C26" w:rsidP="002156E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Rizikoví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pacienti</w:t>
                      </w:r>
                      <w:proofErr w:type="spellEnd"/>
                    </w:p>
                    <w:p w14:paraId="7D457C3D" w14:textId="77777777" w:rsidR="00C96C26" w:rsidRDefault="00C96C26" w:rsidP="002156E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Stivarga</w:t>
                      </w:r>
                      <w:proofErr w:type="spellEnd"/>
                    </w:p>
                    <w:p w14:paraId="7D457C3E" w14:textId="77777777" w:rsidR="00C96C26" w:rsidRDefault="00C96C26" w:rsidP="002156EC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Placebo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457C0A" wp14:editId="10221D35">
                <wp:simplePos x="0" y="0"/>
                <wp:positionH relativeFrom="column">
                  <wp:posOffset>1918970</wp:posOffset>
                </wp:positionH>
                <wp:positionV relativeFrom="paragraph">
                  <wp:posOffset>2880995</wp:posOffset>
                </wp:positionV>
                <wp:extent cx="1873250" cy="295275"/>
                <wp:effectExtent l="0" t="0" r="0" b="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7C3F" w14:textId="77777777" w:rsidR="00C96C26" w:rsidRDefault="00C96C26" w:rsidP="00BA58C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Měsíce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randomizace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7C0A" id="Textové pole 2" o:spid="_x0000_s1041" type="#_x0000_t202" style="position:absolute;margin-left:151.1pt;margin-top:226.85pt;width:147.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" stroked="f">
                <v:textbox>
                  <w:txbxContent>
                    <w:p w14:paraId="7D457C3F" w14:textId="77777777" w:rsidR="00C96C26" w:rsidRDefault="00C96C26" w:rsidP="00BA58C4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Měsíce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od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randomizace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457C0B" wp14:editId="58E52AF5">
                <wp:simplePos x="0" y="0"/>
                <wp:positionH relativeFrom="column">
                  <wp:posOffset>70485</wp:posOffset>
                </wp:positionH>
                <wp:positionV relativeFrom="paragraph">
                  <wp:posOffset>431800</wp:posOffset>
                </wp:positionV>
                <wp:extent cx="267335" cy="1949450"/>
                <wp:effectExtent l="0" t="0" r="0" b="0"/>
                <wp:wrapNone/>
                <wp:docPr id="17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7C40" w14:textId="77777777" w:rsidR="00C96C26" w:rsidRPr="002B6694" w:rsidRDefault="00C96C26" w:rsidP="00ED68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Pravděpodobnost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celkového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přežití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(%)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57C0B" id="Textfeld 10" o:spid="_x0000_s1042" type="#_x0000_t202" style="position:absolute;margin-left:5.55pt;margin-top:34pt;width:21.05pt;height:15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" stroked="f">
                <v:textbox style="layout-flow:vertical;mso-layout-flow-alt:bottom-to-top" inset="0,0,0,0">
                  <w:txbxContent>
                    <w:p w14:paraId="7D457C40" w14:textId="77777777" w:rsidR="00C96C26" w:rsidRPr="002B6694" w:rsidRDefault="00C96C26" w:rsidP="00ED680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Pravděpodobnost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celkového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přežití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 wp14:anchorId="7D457C0C" wp14:editId="644B9904">
            <wp:extent cx="5575300" cy="3548380"/>
            <wp:effectExtent l="0" t="0" r="6350" b="0"/>
            <wp:docPr id="4" name="obrázek 4" descr="GIST OS Redraw 10-0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ST OS Redraw 10-02-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7838" w14:textId="341F162A" w:rsidR="00ED680A" w:rsidRPr="003D520D" w:rsidRDefault="00297C82" w:rsidP="00D707AB">
      <w:pPr>
        <w:spacing w:before="120" w:after="0"/>
        <w:rPr>
          <w:lang w:val="cs-CZ"/>
        </w:rPr>
      </w:pPr>
      <w:r>
        <w:rPr>
          <w:rFonts w:eastAsia="MS Mincho"/>
          <w:i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D457C0D" wp14:editId="4AD6F919">
                <wp:simplePos x="0" y="0"/>
                <wp:positionH relativeFrom="column">
                  <wp:posOffset>-195580</wp:posOffset>
                </wp:positionH>
                <wp:positionV relativeFrom="paragraph">
                  <wp:posOffset>-125730</wp:posOffset>
                </wp:positionV>
                <wp:extent cx="6448425" cy="933450"/>
                <wp:effectExtent l="0" t="0" r="0" b="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93345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31A74" id="AutoShape 6" o:spid="_x0000_s1026" type="#_x0000_t109" style="position:absolute;margin-left:-15.4pt;margin-top:-9.9pt;width:507.75pt;height:73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" o:allowincell="f" filled="f" fillcolor="yellow" stroked="f"/>
            </w:pict>
          </mc:Fallback>
        </mc:AlternateContent>
      </w:r>
    </w:p>
    <w:p w14:paraId="7D457839" w14:textId="77777777" w:rsidR="005A5139" w:rsidRDefault="00F52AF0" w:rsidP="005A5139">
      <w:pPr>
        <w:rPr>
          <w:rFonts w:eastAsia="MS Mincho"/>
          <w:szCs w:val="22"/>
          <w:lang w:val="cs-CZ" w:eastAsia="en-US"/>
        </w:rPr>
      </w:pPr>
      <w:r w:rsidRPr="003D520D">
        <w:rPr>
          <w:rFonts w:eastAsia="MS Mincho"/>
          <w:szCs w:val="22"/>
          <w:lang w:val="cs-CZ" w:eastAsia="en-US"/>
        </w:rPr>
        <w:t>Kromě toho dostalo 56 pacientů na plac</w:t>
      </w:r>
      <w:r w:rsidR="00440981" w:rsidRPr="003D520D">
        <w:rPr>
          <w:rFonts w:eastAsia="MS Mincho"/>
          <w:szCs w:val="22"/>
          <w:lang w:val="cs-CZ" w:eastAsia="en-US"/>
        </w:rPr>
        <w:t>e</w:t>
      </w:r>
      <w:r w:rsidRPr="003D520D">
        <w:rPr>
          <w:rFonts w:eastAsia="MS Mincho"/>
          <w:szCs w:val="22"/>
          <w:lang w:val="cs-CZ" w:eastAsia="en-US"/>
        </w:rPr>
        <w:t xml:space="preserve">bu plus BSC </w:t>
      </w:r>
      <w:proofErr w:type="spellStart"/>
      <w:r w:rsidRPr="003D520D">
        <w:rPr>
          <w:rFonts w:eastAsia="MS Mincho"/>
          <w:szCs w:val="22"/>
          <w:lang w:val="cs-CZ" w:eastAsia="en-US"/>
        </w:rPr>
        <w:t>odslepený</w:t>
      </w:r>
      <w:proofErr w:type="spellEnd"/>
      <w:r w:rsidRPr="003D520D">
        <w:rPr>
          <w:rFonts w:eastAsia="MS Mincho"/>
          <w:szCs w:val="22"/>
          <w:lang w:val="cs-CZ" w:eastAsia="en-US"/>
        </w:rPr>
        <w:t xml:space="preserve"> </w:t>
      </w:r>
      <w:r w:rsidR="00B17ED7" w:rsidRPr="003D520D">
        <w:rPr>
          <w:rFonts w:eastAsia="MS Mincho"/>
          <w:szCs w:val="22"/>
          <w:lang w:val="cs-CZ" w:eastAsia="en-US"/>
        </w:rPr>
        <w:t xml:space="preserve">přípravek </w:t>
      </w:r>
      <w:proofErr w:type="spellStart"/>
      <w:r w:rsidR="00B17ED7" w:rsidRPr="003D520D">
        <w:rPr>
          <w:rFonts w:eastAsia="MS Mincho"/>
          <w:szCs w:val="22"/>
          <w:lang w:val="cs-CZ" w:eastAsia="en-US"/>
        </w:rPr>
        <w:t>Stivarga</w:t>
      </w:r>
      <w:proofErr w:type="spellEnd"/>
      <w:r w:rsidR="00B17ED7" w:rsidRPr="003D520D">
        <w:rPr>
          <w:rFonts w:eastAsia="MS Mincho"/>
          <w:szCs w:val="22"/>
          <w:lang w:val="cs-CZ" w:eastAsia="en-US"/>
        </w:rPr>
        <w:t xml:space="preserve"> </w:t>
      </w:r>
      <w:r w:rsidRPr="003D520D">
        <w:rPr>
          <w:rFonts w:eastAsia="MS Mincho"/>
          <w:szCs w:val="22"/>
          <w:lang w:val="cs-CZ" w:eastAsia="en-US"/>
        </w:rPr>
        <w:t>po překřížení po progresi onemo</w:t>
      </w:r>
      <w:r w:rsidR="000F7008" w:rsidRPr="003D520D">
        <w:rPr>
          <w:rFonts w:eastAsia="MS Mincho"/>
          <w:szCs w:val="22"/>
          <w:lang w:val="cs-CZ" w:eastAsia="en-US"/>
        </w:rPr>
        <w:t xml:space="preserve">cnění a celkem 41 pacientů na </w:t>
      </w:r>
      <w:r w:rsidR="00B17ED7" w:rsidRPr="003D520D">
        <w:rPr>
          <w:rFonts w:eastAsia="MS Mincho"/>
          <w:szCs w:val="22"/>
          <w:lang w:val="cs-CZ" w:eastAsia="en-US"/>
        </w:rPr>
        <w:t xml:space="preserve">přípravku </w:t>
      </w:r>
      <w:proofErr w:type="spellStart"/>
      <w:r w:rsidR="00B17ED7" w:rsidRPr="003D520D">
        <w:rPr>
          <w:rFonts w:eastAsia="MS Mincho"/>
          <w:szCs w:val="22"/>
          <w:lang w:val="cs-CZ" w:eastAsia="en-US"/>
        </w:rPr>
        <w:t>Stivarga</w:t>
      </w:r>
      <w:proofErr w:type="spellEnd"/>
      <w:r w:rsidR="00B17ED7" w:rsidRPr="003D520D">
        <w:rPr>
          <w:rFonts w:eastAsia="MS Mincho"/>
          <w:szCs w:val="22"/>
          <w:lang w:val="cs-CZ" w:eastAsia="en-US"/>
        </w:rPr>
        <w:t xml:space="preserve"> </w:t>
      </w:r>
      <w:r w:rsidR="00B273EB" w:rsidRPr="003D520D">
        <w:rPr>
          <w:rFonts w:eastAsia="MS Mincho"/>
          <w:szCs w:val="22"/>
          <w:lang w:val="cs-CZ" w:eastAsia="en-US"/>
        </w:rPr>
        <w:t xml:space="preserve">plus BSC pokračovalo v léčbě </w:t>
      </w:r>
      <w:r w:rsidR="00B17ED7" w:rsidRPr="003D520D">
        <w:rPr>
          <w:rFonts w:eastAsia="MS Mincho"/>
          <w:szCs w:val="22"/>
          <w:lang w:val="cs-CZ" w:eastAsia="en-US"/>
        </w:rPr>
        <w:t xml:space="preserve">přípravkem </w:t>
      </w:r>
      <w:proofErr w:type="spellStart"/>
      <w:r w:rsidR="00B17ED7" w:rsidRPr="003D520D">
        <w:rPr>
          <w:rFonts w:eastAsia="MS Mincho"/>
          <w:szCs w:val="22"/>
          <w:lang w:val="cs-CZ" w:eastAsia="en-US"/>
        </w:rPr>
        <w:t>Stivarga</w:t>
      </w:r>
      <w:proofErr w:type="spellEnd"/>
      <w:r w:rsidR="00B17ED7" w:rsidRPr="003D520D">
        <w:rPr>
          <w:rFonts w:eastAsia="MS Mincho"/>
          <w:szCs w:val="22"/>
          <w:lang w:val="cs-CZ" w:eastAsia="en-US"/>
        </w:rPr>
        <w:t xml:space="preserve"> </w:t>
      </w:r>
      <w:r w:rsidRPr="003D520D">
        <w:rPr>
          <w:rFonts w:eastAsia="MS Mincho"/>
          <w:szCs w:val="22"/>
          <w:lang w:val="cs-CZ" w:eastAsia="en-US"/>
        </w:rPr>
        <w:t>po progresi onemocnění</w:t>
      </w:r>
      <w:r w:rsidR="00ED680A" w:rsidRPr="003D520D">
        <w:rPr>
          <w:rFonts w:eastAsia="MS Mincho"/>
          <w:szCs w:val="22"/>
          <w:lang w:val="cs-CZ" w:eastAsia="en-US"/>
        </w:rPr>
        <w:t xml:space="preserve">. </w:t>
      </w:r>
      <w:r w:rsidRPr="003D520D">
        <w:rPr>
          <w:rFonts w:eastAsia="MS Mincho"/>
          <w:szCs w:val="22"/>
          <w:lang w:val="cs-CZ" w:eastAsia="en-US"/>
        </w:rPr>
        <w:t>Střední sekundární PFS (měřeno podle hodnocení zkoušejícím) byl</w:t>
      </w:r>
      <w:r w:rsidR="00227381" w:rsidRPr="003D520D">
        <w:rPr>
          <w:rFonts w:eastAsia="MS Mincho"/>
          <w:szCs w:val="22"/>
          <w:lang w:val="cs-CZ" w:eastAsia="en-US"/>
        </w:rPr>
        <w:t>o</w:t>
      </w:r>
      <w:r w:rsidRPr="003D520D">
        <w:rPr>
          <w:rFonts w:eastAsia="MS Mincho"/>
          <w:szCs w:val="22"/>
          <w:lang w:val="cs-CZ" w:eastAsia="en-US"/>
        </w:rPr>
        <w:t xml:space="preserve"> </w:t>
      </w:r>
      <w:r w:rsidR="00ED680A" w:rsidRPr="003D520D">
        <w:rPr>
          <w:rFonts w:eastAsia="MS Mincho"/>
          <w:szCs w:val="22"/>
          <w:lang w:val="cs-CZ" w:eastAsia="en-US"/>
        </w:rPr>
        <w:t>5</w:t>
      </w:r>
      <w:r w:rsidRPr="003D520D">
        <w:rPr>
          <w:rFonts w:eastAsia="MS Mincho"/>
          <w:szCs w:val="22"/>
          <w:lang w:val="cs-CZ" w:eastAsia="en-US"/>
        </w:rPr>
        <w:t>,</w:t>
      </w:r>
      <w:r w:rsidR="00ED680A" w:rsidRPr="003D520D">
        <w:rPr>
          <w:rFonts w:eastAsia="MS Mincho"/>
          <w:szCs w:val="22"/>
          <w:lang w:val="cs-CZ" w:eastAsia="en-US"/>
        </w:rPr>
        <w:t>0 a 4</w:t>
      </w:r>
      <w:r w:rsidRPr="003D520D">
        <w:rPr>
          <w:rFonts w:eastAsia="MS Mincho"/>
          <w:szCs w:val="22"/>
          <w:lang w:val="cs-CZ" w:eastAsia="en-US"/>
        </w:rPr>
        <w:t>,</w:t>
      </w:r>
      <w:r w:rsidR="00ED680A" w:rsidRPr="003D520D">
        <w:rPr>
          <w:rFonts w:eastAsia="MS Mincho"/>
          <w:szCs w:val="22"/>
          <w:lang w:val="cs-CZ" w:eastAsia="en-US"/>
        </w:rPr>
        <w:t>5</w:t>
      </w:r>
      <w:r w:rsidRPr="003D520D">
        <w:rPr>
          <w:rFonts w:eastAsia="MS Mincho"/>
          <w:szCs w:val="22"/>
          <w:lang w:val="cs-CZ" w:eastAsia="en-US"/>
        </w:rPr>
        <w:t> měsíců, v uvedeném pořadí.</w:t>
      </w:r>
    </w:p>
    <w:p w14:paraId="7D45783A" w14:textId="77777777" w:rsidR="005A5139" w:rsidRDefault="005A5139" w:rsidP="005A5139">
      <w:pPr>
        <w:rPr>
          <w:rFonts w:eastAsia="MS Mincho"/>
          <w:szCs w:val="22"/>
          <w:lang w:val="cs-CZ" w:eastAsia="en-US"/>
        </w:rPr>
      </w:pPr>
    </w:p>
    <w:p w14:paraId="7D45783B" w14:textId="77777777" w:rsidR="005D76B2" w:rsidRPr="00D9461D" w:rsidRDefault="005D76B2" w:rsidP="005A5139">
      <w:pPr>
        <w:spacing w:after="0"/>
        <w:rPr>
          <w:rFonts w:eastAsia="MS Mincho"/>
          <w:i/>
          <w:szCs w:val="22"/>
          <w:lang w:val="cs-CZ" w:eastAsia="en-US"/>
        </w:rPr>
      </w:pPr>
      <w:r w:rsidRPr="00955F06">
        <w:rPr>
          <w:i/>
          <w:szCs w:val="22"/>
          <w:bdr w:val="nil"/>
          <w:lang w:val="cs-CZ"/>
        </w:rPr>
        <w:t>Hepatocelulární karcinom (HCC)</w:t>
      </w:r>
    </w:p>
    <w:p w14:paraId="7D45783C" w14:textId="77777777" w:rsidR="005D76B2" w:rsidRPr="0026000A" w:rsidRDefault="005D76B2" w:rsidP="00D707AB">
      <w:pPr>
        <w:spacing w:after="0"/>
        <w:rPr>
          <w:lang w:val="cs-CZ"/>
        </w:rPr>
      </w:pPr>
    </w:p>
    <w:p w14:paraId="7D45783D" w14:textId="77777777" w:rsidR="005A5139" w:rsidRDefault="005D76B2" w:rsidP="005A5139">
      <w:pPr>
        <w:rPr>
          <w:szCs w:val="22"/>
          <w:bdr w:val="nil"/>
          <w:lang w:val="cs-CZ"/>
        </w:rPr>
      </w:pPr>
      <w:r w:rsidRPr="0026000A">
        <w:rPr>
          <w:szCs w:val="22"/>
          <w:bdr w:val="nil"/>
          <w:lang w:val="cs-CZ"/>
        </w:rPr>
        <w:t xml:space="preserve">Klinická účinnost a bezpečnost přípravku </w:t>
      </w:r>
      <w:proofErr w:type="spellStart"/>
      <w:r w:rsidRPr="0026000A">
        <w:rPr>
          <w:szCs w:val="22"/>
          <w:bdr w:val="nil"/>
          <w:lang w:val="cs-CZ"/>
        </w:rPr>
        <w:t>Stivarga</w:t>
      </w:r>
      <w:proofErr w:type="spellEnd"/>
      <w:r w:rsidRPr="0026000A">
        <w:rPr>
          <w:szCs w:val="22"/>
          <w:bdr w:val="nil"/>
          <w:lang w:val="cs-CZ"/>
        </w:rPr>
        <w:t xml:space="preserve"> byla hodnocena v mezinárodní, multicentrické, randomizované, dvojitě zaslepené, placebem kontrolované studii fáze III (RESORCE) u pacientů s hepatocelulárním karcinomem, kteří byli dříve léčeni </w:t>
      </w:r>
      <w:proofErr w:type="spellStart"/>
      <w:r w:rsidRPr="0026000A">
        <w:rPr>
          <w:szCs w:val="22"/>
          <w:bdr w:val="nil"/>
          <w:lang w:val="cs-CZ"/>
        </w:rPr>
        <w:t>sorafenibem</w:t>
      </w:r>
      <w:proofErr w:type="spellEnd"/>
      <w:r w:rsidRPr="0026000A">
        <w:rPr>
          <w:szCs w:val="22"/>
          <w:bdr w:val="nil"/>
          <w:lang w:val="cs-CZ"/>
        </w:rPr>
        <w:t>.</w:t>
      </w:r>
    </w:p>
    <w:p w14:paraId="7D45783E" w14:textId="77777777" w:rsidR="005A5139" w:rsidRDefault="005A5139" w:rsidP="005A5139">
      <w:pPr>
        <w:spacing w:after="0"/>
        <w:rPr>
          <w:szCs w:val="22"/>
          <w:bdr w:val="nil"/>
          <w:lang w:val="cs-CZ"/>
        </w:rPr>
      </w:pPr>
    </w:p>
    <w:p w14:paraId="7D45783F" w14:textId="77777777" w:rsidR="005A5139" w:rsidRDefault="005D76B2" w:rsidP="005A5139">
      <w:pPr>
        <w:rPr>
          <w:szCs w:val="22"/>
          <w:bdr w:val="nil"/>
          <w:lang w:val="cs-CZ"/>
        </w:rPr>
      </w:pPr>
      <w:r w:rsidRPr="0026000A">
        <w:rPr>
          <w:szCs w:val="22"/>
          <w:bdr w:val="nil"/>
          <w:lang w:val="cs-CZ"/>
        </w:rPr>
        <w:t xml:space="preserve">Primárním cílovým </w:t>
      </w:r>
      <w:r w:rsidR="00203B5D">
        <w:rPr>
          <w:szCs w:val="22"/>
          <w:bdr w:val="nil"/>
          <w:lang w:val="cs-CZ"/>
        </w:rPr>
        <w:t>parametrem</w:t>
      </w:r>
      <w:r w:rsidRPr="0026000A">
        <w:rPr>
          <w:szCs w:val="22"/>
          <w:bdr w:val="nil"/>
          <w:lang w:val="cs-CZ"/>
        </w:rPr>
        <w:t xml:space="preserve"> bylo celkové přežití (OS). Seku</w:t>
      </w:r>
      <w:r w:rsidR="009E4F8D">
        <w:rPr>
          <w:szCs w:val="22"/>
          <w:bdr w:val="nil"/>
          <w:lang w:val="cs-CZ"/>
        </w:rPr>
        <w:t xml:space="preserve">ndární cílové </w:t>
      </w:r>
      <w:r w:rsidR="00203B5D">
        <w:rPr>
          <w:szCs w:val="22"/>
          <w:bdr w:val="nil"/>
          <w:lang w:val="cs-CZ"/>
        </w:rPr>
        <w:t>parametry</w:t>
      </w:r>
      <w:r w:rsidR="009E4F8D">
        <w:rPr>
          <w:szCs w:val="22"/>
          <w:bdr w:val="nil"/>
          <w:lang w:val="cs-CZ"/>
        </w:rPr>
        <w:t xml:space="preserve"> </w:t>
      </w:r>
      <w:r w:rsidR="00E571E5">
        <w:rPr>
          <w:szCs w:val="22"/>
          <w:bdr w:val="nil"/>
          <w:lang w:val="cs-CZ"/>
        </w:rPr>
        <w:t xml:space="preserve">zahrnovaly </w:t>
      </w:r>
      <w:r w:rsidR="00E571E5" w:rsidRPr="0026000A">
        <w:rPr>
          <w:szCs w:val="22"/>
          <w:bdr w:val="nil"/>
          <w:lang w:val="cs-CZ"/>
        </w:rPr>
        <w:t>přežití</w:t>
      </w:r>
      <w:r w:rsidRPr="0026000A">
        <w:rPr>
          <w:szCs w:val="22"/>
          <w:bdr w:val="nil"/>
          <w:lang w:val="cs-CZ"/>
        </w:rPr>
        <w:t xml:space="preserve"> bez progrese (PFS), dob</w:t>
      </w:r>
      <w:r w:rsidR="00203B5D">
        <w:rPr>
          <w:szCs w:val="22"/>
          <w:bdr w:val="nil"/>
          <w:lang w:val="cs-CZ"/>
        </w:rPr>
        <w:t>u</w:t>
      </w:r>
      <w:r w:rsidRPr="0026000A">
        <w:rPr>
          <w:szCs w:val="22"/>
          <w:bdr w:val="nil"/>
          <w:lang w:val="cs-CZ"/>
        </w:rPr>
        <w:t xml:space="preserve"> do progrese (TTP), </w:t>
      </w:r>
      <w:r w:rsidR="00A734B9">
        <w:rPr>
          <w:szCs w:val="22"/>
          <w:bdr w:val="nil"/>
          <w:lang w:val="cs-CZ"/>
        </w:rPr>
        <w:t xml:space="preserve">míru </w:t>
      </w:r>
      <w:r w:rsidRPr="0026000A">
        <w:rPr>
          <w:szCs w:val="22"/>
          <w:bdr w:val="nil"/>
          <w:lang w:val="cs-CZ"/>
        </w:rPr>
        <w:t xml:space="preserve">objektivní odpovědi (ORR) a </w:t>
      </w:r>
      <w:r w:rsidR="007D4208" w:rsidRPr="00C87CCD">
        <w:rPr>
          <w:szCs w:val="22"/>
          <w:bdr w:val="nil"/>
          <w:lang w:val="cs-CZ"/>
        </w:rPr>
        <w:t>míru</w:t>
      </w:r>
      <w:r w:rsidRPr="0026000A">
        <w:rPr>
          <w:szCs w:val="22"/>
          <w:bdr w:val="nil"/>
          <w:lang w:val="cs-CZ"/>
        </w:rPr>
        <w:t xml:space="preserve"> kontroly onemocnění (DCR). </w:t>
      </w:r>
    </w:p>
    <w:p w14:paraId="7D457840" w14:textId="77777777" w:rsidR="005A5139" w:rsidRDefault="005A5139" w:rsidP="005A5139">
      <w:pPr>
        <w:spacing w:after="0"/>
        <w:rPr>
          <w:szCs w:val="22"/>
          <w:bdr w:val="nil"/>
          <w:lang w:val="cs-CZ"/>
        </w:rPr>
      </w:pPr>
    </w:p>
    <w:p w14:paraId="7D457841" w14:textId="77777777" w:rsidR="005D76B2" w:rsidRPr="0026000A" w:rsidRDefault="005D76B2" w:rsidP="005A5139">
      <w:pPr>
        <w:rPr>
          <w:lang w:val="cs-CZ"/>
        </w:rPr>
      </w:pPr>
      <w:r w:rsidRPr="0026000A">
        <w:rPr>
          <w:szCs w:val="22"/>
          <w:bdr w:val="nil"/>
          <w:lang w:val="cs-CZ"/>
        </w:rPr>
        <w:t>Bylo randomizováno celkem 573 pacientů s HCC v poměru 2:1</w:t>
      </w:r>
      <w:r w:rsidR="00614179">
        <w:rPr>
          <w:szCs w:val="22"/>
          <w:bdr w:val="nil"/>
          <w:lang w:val="cs-CZ"/>
        </w:rPr>
        <w:t>,</w:t>
      </w:r>
      <w:r w:rsidRPr="0026000A">
        <w:rPr>
          <w:szCs w:val="22"/>
          <w:bdr w:val="nil"/>
          <w:lang w:val="cs-CZ"/>
        </w:rPr>
        <w:t xml:space="preserve"> buď do</w:t>
      </w:r>
      <w:r w:rsidR="00614179">
        <w:rPr>
          <w:szCs w:val="22"/>
          <w:bdr w:val="nil"/>
          <w:lang w:val="cs-CZ"/>
        </w:rPr>
        <w:t>stali</w:t>
      </w:r>
      <w:r w:rsidRPr="0026000A">
        <w:rPr>
          <w:szCs w:val="22"/>
          <w:bdr w:val="nil"/>
          <w:lang w:val="cs-CZ"/>
        </w:rPr>
        <w:t xml:space="preserve"> </w:t>
      </w:r>
      <w:proofErr w:type="spellStart"/>
      <w:r w:rsidRPr="0026000A">
        <w:rPr>
          <w:szCs w:val="22"/>
          <w:bdr w:val="nil"/>
          <w:lang w:val="cs-CZ"/>
        </w:rPr>
        <w:t>regorafenib</w:t>
      </w:r>
      <w:proofErr w:type="spellEnd"/>
      <w:r w:rsidRPr="0026000A">
        <w:rPr>
          <w:szCs w:val="22"/>
          <w:bdr w:val="nil"/>
          <w:lang w:val="cs-CZ"/>
        </w:rPr>
        <w:t xml:space="preserve"> 160 mg perorálně jednou denně (n=397) plus nejlepší podpůrn</w:t>
      </w:r>
      <w:r w:rsidR="00614179">
        <w:rPr>
          <w:szCs w:val="22"/>
          <w:bdr w:val="nil"/>
          <w:lang w:val="cs-CZ"/>
        </w:rPr>
        <w:t>ou</w:t>
      </w:r>
      <w:r w:rsidRPr="0026000A">
        <w:rPr>
          <w:szCs w:val="22"/>
          <w:bdr w:val="nil"/>
          <w:lang w:val="cs-CZ"/>
        </w:rPr>
        <w:t xml:space="preserve"> péč</w:t>
      </w:r>
      <w:r w:rsidR="00614179">
        <w:rPr>
          <w:szCs w:val="22"/>
          <w:bdr w:val="nil"/>
          <w:lang w:val="cs-CZ"/>
        </w:rPr>
        <w:t>i</w:t>
      </w:r>
      <w:r w:rsidRPr="0026000A">
        <w:rPr>
          <w:szCs w:val="22"/>
          <w:bdr w:val="nil"/>
          <w:lang w:val="cs-CZ"/>
        </w:rPr>
        <w:t xml:space="preserve"> (BSC) nebo odpovídající placeb</w:t>
      </w:r>
      <w:r w:rsidR="00614179">
        <w:rPr>
          <w:szCs w:val="22"/>
          <w:bdr w:val="nil"/>
          <w:lang w:val="cs-CZ"/>
        </w:rPr>
        <w:t>o</w:t>
      </w:r>
      <w:r w:rsidRPr="0026000A">
        <w:rPr>
          <w:szCs w:val="22"/>
          <w:bdr w:val="nil"/>
          <w:lang w:val="cs-CZ"/>
        </w:rPr>
        <w:t xml:space="preserve"> (n=194) plus BSC po dobu 3 týdnů léčby s následným obdobím 1 týdne bez léčby. Průměrná denní dávka </w:t>
      </w:r>
      <w:proofErr w:type="spellStart"/>
      <w:r w:rsidR="00902AC5">
        <w:rPr>
          <w:szCs w:val="22"/>
          <w:bdr w:val="nil"/>
          <w:lang w:val="cs-CZ"/>
        </w:rPr>
        <w:t>regorafenibu</w:t>
      </w:r>
      <w:proofErr w:type="spellEnd"/>
      <w:r w:rsidRPr="0026000A">
        <w:rPr>
          <w:szCs w:val="22"/>
          <w:bdr w:val="nil"/>
          <w:lang w:val="cs-CZ"/>
        </w:rPr>
        <w:t xml:space="preserve"> byla 144 mg. Pacienti byli způsobilí pro účast ve studii, pokud měli radiologickou progresi onemocnění během léčby </w:t>
      </w:r>
      <w:proofErr w:type="spellStart"/>
      <w:r w:rsidRPr="0026000A">
        <w:rPr>
          <w:szCs w:val="22"/>
          <w:bdr w:val="nil"/>
          <w:lang w:val="cs-CZ"/>
        </w:rPr>
        <w:t>sorafenibem</w:t>
      </w:r>
      <w:proofErr w:type="spellEnd"/>
      <w:r w:rsidRPr="0026000A">
        <w:rPr>
          <w:szCs w:val="22"/>
          <w:bdr w:val="nil"/>
          <w:lang w:val="cs-CZ"/>
        </w:rPr>
        <w:t xml:space="preserve"> a pokud měli stav funkce jater třídy </w:t>
      </w:r>
      <w:r w:rsidR="00614179">
        <w:rPr>
          <w:szCs w:val="22"/>
          <w:bdr w:val="nil"/>
          <w:lang w:val="cs-CZ"/>
        </w:rPr>
        <w:t>A</w:t>
      </w:r>
      <w:r w:rsidRPr="0026000A">
        <w:rPr>
          <w:szCs w:val="22"/>
          <w:bdr w:val="nil"/>
          <w:lang w:val="cs-CZ"/>
        </w:rPr>
        <w:t xml:space="preserve"> dle </w:t>
      </w:r>
      <w:proofErr w:type="spellStart"/>
      <w:r w:rsidRPr="0026000A">
        <w:rPr>
          <w:szCs w:val="22"/>
          <w:bdr w:val="nil"/>
          <w:lang w:val="cs-CZ"/>
        </w:rPr>
        <w:t>Child-Pugha</w:t>
      </w:r>
      <w:proofErr w:type="spellEnd"/>
      <w:r w:rsidRPr="0026000A">
        <w:rPr>
          <w:szCs w:val="22"/>
          <w:bdr w:val="nil"/>
          <w:lang w:val="cs-CZ"/>
        </w:rPr>
        <w:t xml:space="preserve">. Pacienti, kteří trvale ukončili léčbu </w:t>
      </w:r>
      <w:proofErr w:type="spellStart"/>
      <w:r w:rsidRPr="0026000A">
        <w:rPr>
          <w:szCs w:val="22"/>
          <w:bdr w:val="nil"/>
          <w:lang w:val="cs-CZ"/>
        </w:rPr>
        <w:t>sorafenibem</w:t>
      </w:r>
      <w:proofErr w:type="spellEnd"/>
      <w:r w:rsidRPr="0026000A">
        <w:rPr>
          <w:szCs w:val="22"/>
          <w:bdr w:val="nil"/>
          <w:lang w:val="cs-CZ"/>
        </w:rPr>
        <w:t xml:space="preserve"> v důsledku toxicity související se </w:t>
      </w:r>
      <w:proofErr w:type="spellStart"/>
      <w:r w:rsidRPr="0026000A">
        <w:rPr>
          <w:szCs w:val="22"/>
          <w:bdr w:val="nil"/>
          <w:lang w:val="cs-CZ"/>
        </w:rPr>
        <w:t>sorafenibem</w:t>
      </w:r>
      <w:proofErr w:type="spellEnd"/>
      <w:r w:rsidRPr="0026000A">
        <w:rPr>
          <w:szCs w:val="22"/>
          <w:bdr w:val="nil"/>
          <w:lang w:val="cs-CZ"/>
        </w:rPr>
        <w:t xml:space="preserve"> nebo kteří tolerovali méně než 400 mg </w:t>
      </w:r>
      <w:proofErr w:type="spellStart"/>
      <w:r w:rsidRPr="0026000A">
        <w:rPr>
          <w:szCs w:val="22"/>
          <w:bdr w:val="nil"/>
          <w:lang w:val="cs-CZ"/>
        </w:rPr>
        <w:t>sorafenibu</w:t>
      </w:r>
      <w:proofErr w:type="spellEnd"/>
      <w:r w:rsidRPr="0026000A">
        <w:rPr>
          <w:szCs w:val="22"/>
          <w:bdr w:val="nil"/>
          <w:lang w:val="cs-CZ"/>
        </w:rPr>
        <w:t xml:space="preserve"> jednou denně před odstoupením, byli ze studie vyřazeni. Randomizace byla provedena během 10 týdnů po poslední léčbě </w:t>
      </w:r>
      <w:proofErr w:type="spellStart"/>
      <w:r w:rsidRPr="0026000A">
        <w:rPr>
          <w:szCs w:val="22"/>
          <w:bdr w:val="nil"/>
          <w:lang w:val="cs-CZ"/>
        </w:rPr>
        <w:t>sorafenibem</w:t>
      </w:r>
      <w:proofErr w:type="spellEnd"/>
      <w:r w:rsidRPr="0026000A">
        <w:rPr>
          <w:szCs w:val="22"/>
          <w:bdr w:val="nil"/>
          <w:lang w:val="cs-CZ"/>
        </w:rPr>
        <w:t xml:space="preserve">. Pacienti pokračovali v léčbě přípravkem </w:t>
      </w:r>
      <w:proofErr w:type="spellStart"/>
      <w:r>
        <w:rPr>
          <w:szCs w:val="22"/>
          <w:bdr w:val="nil"/>
          <w:lang w:val="cs-CZ"/>
        </w:rPr>
        <w:t>Stivarga</w:t>
      </w:r>
      <w:proofErr w:type="spellEnd"/>
      <w:r w:rsidRPr="0026000A">
        <w:rPr>
          <w:szCs w:val="22"/>
          <w:bdr w:val="nil"/>
          <w:lang w:val="cs-CZ"/>
        </w:rPr>
        <w:t xml:space="preserve"> do klinické nebo radiologické progrese onemocnění nebo do nepřijatelné toxicity. Pacienti však mohli pokračovat v léčbě přípravkem </w:t>
      </w:r>
      <w:proofErr w:type="spellStart"/>
      <w:r w:rsidRPr="0026000A">
        <w:rPr>
          <w:szCs w:val="22"/>
          <w:bdr w:val="nil"/>
          <w:lang w:val="cs-CZ"/>
        </w:rPr>
        <w:t>Stivarga</w:t>
      </w:r>
      <w:proofErr w:type="spellEnd"/>
      <w:r w:rsidRPr="0026000A">
        <w:rPr>
          <w:szCs w:val="22"/>
          <w:bdr w:val="nil"/>
          <w:lang w:val="cs-CZ"/>
        </w:rPr>
        <w:t xml:space="preserve"> po progresi podle rozhodnutí zkoušejícího.</w:t>
      </w:r>
    </w:p>
    <w:p w14:paraId="7D457842" w14:textId="77777777" w:rsidR="005D76B2" w:rsidRPr="0026000A" w:rsidRDefault="005D76B2" w:rsidP="00D707AB">
      <w:pPr>
        <w:spacing w:after="0"/>
        <w:rPr>
          <w:lang w:val="cs-CZ"/>
        </w:rPr>
      </w:pPr>
    </w:p>
    <w:p w14:paraId="7D457843" w14:textId="77777777" w:rsidR="005D76B2" w:rsidRPr="0026000A" w:rsidRDefault="005D76B2" w:rsidP="00D707AB">
      <w:pPr>
        <w:spacing w:after="0"/>
        <w:rPr>
          <w:lang w:val="cs-CZ"/>
        </w:rPr>
      </w:pPr>
      <w:r w:rsidRPr="0026000A">
        <w:rPr>
          <w:szCs w:val="22"/>
          <w:bdr w:val="nil"/>
          <w:lang w:val="cs-CZ"/>
        </w:rPr>
        <w:t xml:space="preserve">Demografické parametry a výchozí parametry onemocnění byly srovnatelné mezi skupinami přípravku </w:t>
      </w:r>
      <w:proofErr w:type="spellStart"/>
      <w:r w:rsidRPr="0026000A">
        <w:rPr>
          <w:szCs w:val="22"/>
          <w:bdr w:val="nil"/>
          <w:lang w:val="cs-CZ"/>
        </w:rPr>
        <w:t>Stivarga</w:t>
      </w:r>
      <w:proofErr w:type="spellEnd"/>
      <w:r w:rsidRPr="0026000A">
        <w:rPr>
          <w:szCs w:val="22"/>
          <w:bdr w:val="nil"/>
          <w:lang w:val="cs-CZ"/>
        </w:rPr>
        <w:t xml:space="preserve"> a placeba a jsou uvedeny níže pro všech 573 randomizovaných pacientů:</w:t>
      </w:r>
    </w:p>
    <w:p w14:paraId="7D457844" w14:textId="77777777" w:rsidR="005D76B2" w:rsidRPr="002B3DDC" w:rsidRDefault="00203B5D" w:rsidP="00D707AB">
      <w:pPr>
        <w:numPr>
          <w:ilvl w:val="0"/>
          <w:numId w:val="53"/>
        </w:numPr>
        <w:spacing w:after="0"/>
        <w:rPr>
          <w:lang w:val="cs-CZ"/>
        </w:rPr>
      </w:pPr>
      <w:r>
        <w:rPr>
          <w:szCs w:val="22"/>
          <w:bdr w:val="nil"/>
          <w:lang w:val="cs-CZ"/>
        </w:rPr>
        <w:t>Medián</w:t>
      </w:r>
      <w:r w:rsidR="005D76B2" w:rsidRPr="0026000A">
        <w:rPr>
          <w:szCs w:val="22"/>
          <w:bdr w:val="nil"/>
          <w:lang w:val="cs-CZ"/>
        </w:rPr>
        <w:t xml:space="preserve"> věk</w:t>
      </w:r>
      <w:r>
        <w:rPr>
          <w:szCs w:val="22"/>
          <w:bdr w:val="nil"/>
          <w:lang w:val="cs-CZ"/>
        </w:rPr>
        <w:t>u</w:t>
      </w:r>
      <w:r w:rsidR="005D76B2" w:rsidRPr="0026000A">
        <w:rPr>
          <w:szCs w:val="22"/>
          <w:bdr w:val="nil"/>
          <w:lang w:val="cs-CZ"/>
        </w:rPr>
        <w:t>: 63 let</w:t>
      </w:r>
    </w:p>
    <w:p w14:paraId="7D457845" w14:textId="77777777" w:rsidR="005D76B2" w:rsidRPr="002B3DDC" w:rsidRDefault="005D76B2" w:rsidP="00D707AB">
      <w:pPr>
        <w:numPr>
          <w:ilvl w:val="0"/>
          <w:numId w:val="53"/>
        </w:numPr>
        <w:spacing w:after="0"/>
        <w:rPr>
          <w:lang w:val="cs-CZ"/>
        </w:rPr>
      </w:pPr>
      <w:r w:rsidRPr="00902AC5">
        <w:rPr>
          <w:szCs w:val="22"/>
          <w:bdr w:val="nil"/>
          <w:lang w:val="cs-CZ"/>
        </w:rPr>
        <w:t>Muži: 88 %</w:t>
      </w:r>
    </w:p>
    <w:p w14:paraId="7D457846" w14:textId="77777777" w:rsidR="005D76B2" w:rsidRPr="002B3DDC" w:rsidRDefault="005D76B2" w:rsidP="00D707AB">
      <w:pPr>
        <w:numPr>
          <w:ilvl w:val="0"/>
          <w:numId w:val="53"/>
        </w:numPr>
        <w:spacing w:after="0"/>
        <w:rPr>
          <w:lang w:val="cs-CZ"/>
        </w:rPr>
      </w:pPr>
      <w:r w:rsidRPr="00902AC5">
        <w:rPr>
          <w:szCs w:val="22"/>
          <w:bdr w:val="nil"/>
          <w:lang w:val="cs-CZ"/>
        </w:rPr>
        <w:t>Běloši 36 %, Asiaté: 41 %</w:t>
      </w:r>
    </w:p>
    <w:p w14:paraId="7D457847" w14:textId="77777777" w:rsidR="005D76B2" w:rsidRPr="002B3DDC" w:rsidRDefault="005D76B2" w:rsidP="00D707AB">
      <w:pPr>
        <w:numPr>
          <w:ilvl w:val="0"/>
          <w:numId w:val="53"/>
        </w:numPr>
        <w:spacing w:after="0"/>
        <w:rPr>
          <w:lang w:val="cs-CZ"/>
        </w:rPr>
      </w:pPr>
      <w:r w:rsidRPr="00902AC5">
        <w:rPr>
          <w:szCs w:val="22"/>
          <w:bdr w:val="nil"/>
          <w:lang w:val="cs-CZ"/>
        </w:rPr>
        <w:t xml:space="preserve">Výkonnostní stav ECOG 0: 66 % nebo </w:t>
      </w:r>
      <w:r w:rsidR="00A734B9">
        <w:rPr>
          <w:szCs w:val="22"/>
          <w:bdr w:val="nil"/>
          <w:lang w:val="cs-CZ"/>
        </w:rPr>
        <w:t>v</w:t>
      </w:r>
      <w:r w:rsidRPr="00902AC5">
        <w:rPr>
          <w:szCs w:val="22"/>
          <w:bdr w:val="nil"/>
          <w:lang w:val="cs-CZ"/>
        </w:rPr>
        <w:t>ýkonnostní stav ECOG 1: 34 %</w:t>
      </w:r>
    </w:p>
    <w:p w14:paraId="7D457848" w14:textId="77777777" w:rsidR="005D76B2" w:rsidRPr="002B3DDC" w:rsidRDefault="005D76B2" w:rsidP="00D707AB">
      <w:pPr>
        <w:numPr>
          <w:ilvl w:val="0"/>
          <w:numId w:val="53"/>
        </w:numPr>
        <w:spacing w:after="0"/>
        <w:rPr>
          <w:lang w:val="cs-CZ"/>
        </w:rPr>
      </w:pPr>
      <w:proofErr w:type="spellStart"/>
      <w:r w:rsidRPr="00902AC5">
        <w:rPr>
          <w:szCs w:val="22"/>
          <w:bdr w:val="nil"/>
          <w:lang w:val="cs-CZ"/>
        </w:rPr>
        <w:t>Child-Pugh</w:t>
      </w:r>
      <w:proofErr w:type="spellEnd"/>
      <w:r w:rsidRPr="00902AC5">
        <w:rPr>
          <w:szCs w:val="22"/>
          <w:bdr w:val="nil"/>
          <w:lang w:val="cs-CZ"/>
        </w:rPr>
        <w:t xml:space="preserve"> A: 98 %, </w:t>
      </w:r>
      <w:proofErr w:type="spellStart"/>
      <w:r w:rsidRPr="00902AC5">
        <w:rPr>
          <w:szCs w:val="22"/>
          <w:bdr w:val="nil"/>
          <w:lang w:val="cs-CZ"/>
        </w:rPr>
        <w:t>Child-Pugh</w:t>
      </w:r>
      <w:proofErr w:type="spellEnd"/>
      <w:r w:rsidRPr="00902AC5">
        <w:rPr>
          <w:szCs w:val="22"/>
          <w:bdr w:val="nil"/>
          <w:lang w:val="cs-CZ"/>
        </w:rPr>
        <w:t xml:space="preserve"> B: 2 %</w:t>
      </w:r>
    </w:p>
    <w:p w14:paraId="7D457849" w14:textId="77777777" w:rsidR="005D76B2" w:rsidRPr="002B3DDC" w:rsidRDefault="005D76B2" w:rsidP="00D707AB">
      <w:pPr>
        <w:numPr>
          <w:ilvl w:val="0"/>
          <w:numId w:val="53"/>
        </w:numPr>
        <w:spacing w:after="0"/>
        <w:rPr>
          <w:lang w:val="cs-CZ"/>
        </w:rPr>
      </w:pPr>
      <w:r w:rsidRPr="00902AC5">
        <w:rPr>
          <w:szCs w:val="22"/>
          <w:bdr w:val="nil"/>
          <w:lang w:val="cs-CZ"/>
        </w:rPr>
        <w:t>Etiologie zahrnovala hepatitidu B (38 %), hepatitidu C (21 %)</w:t>
      </w:r>
      <w:r w:rsidR="00902AC5">
        <w:rPr>
          <w:szCs w:val="22"/>
          <w:bdr w:val="nil"/>
          <w:lang w:val="cs-CZ"/>
        </w:rPr>
        <w:t>,</w:t>
      </w:r>
      <w:r w:rsidRPr="00902AC5">
        <w:rPr>
          <w:szCs w:val="22"/>
          <w:bdr w:val="nil"/>
          <w:lang w:val="cs-CZ"/>
        </w:rPr>
        <w:t xml:space="preserve"> nealkoholickou </w:t>
      </w:r>
      <w:proofErr w:type="spellStart"/>
      <w:r w:rsidRPr="00902AC5">
        <w:rPr>
          <w:szCs w:val="22"/>
          <w:bdr w:val="nil"/>
          <w:lang w:val="cs-CZ"/>
        </w:rPr>
        <w:t>steatohepatitidu</w:t>
      </w:r>
      <w:proofErr w:type="spellEnd"/>
      <w:r w:rsidRPr="00902AC5">
        <w:rPr>
          <w:szCs w:val="22"/>
          <w:bdr w:val="nil"/>
          <w:lang w:val="cs-CZ"/>
        </w:rPr>
        <w:t xml:space="preserve"> (NASH, 7 %)</w:t>
      </w:r>
    </w:p>
    <w:p w14:paraId="7D45784A" w14:textId="77777777" w:rsidR="00902AC5" w:rsidRPr="002B3DDC" w:rsidRDefault="005D76B2" w:rsidP="00D707AB">
      <w:pPr>
        <w:numPr>
          <w:ilvl w:val="0"/>
          <w:numId w:val="53"/>
        </w:numPr>
        <w:spacing w:after="0"/>
        <w:rPr>
          <w:lang w:val="cs-CZ"/>
        </w:rPr>
      </w:pPr>
      <w:r w:rsidRPr="00902AC5">
        <w:rPr>
          <w:szCs w:val="22"/>
          <w:bdr w:val="nil"/>
          <w:lang w:val="cs-CZ"/>
        </w:rPr>
        <w:t xml:space="preserve">Nepřítomnost makroskopické vaskulární invaze a </w:t>
      </w:r>
      <w:proofErr w:type="spellStart"/>
      <w:r w:rsidRPr="00902AC5">
        <w:rPr>
          <w:szCs w:val="22"/>
          <w:bdr w:val="nil"/>
          <w:lang w:val="cs-CZ"/>
        </w:rPr>
        <w:t>extrahepatálního</w:t>
      </w:r>
      <w:proofErr w:type="spellEnd"/>
      <w:r w:rsidRPr="00902AC5">
        <w:rPr>
          <w:szCs w:val="22"/>
          <w:bdr w:val="nil"/>
          <w:lang w:val="cs-CZ"/>
        </w:rPr>
        <w:t xml:space="preserve"> šíření nádoru: 19 %</w:t>
      </w:r>
    </w:p>
    <w:p w14:paraId="7D45784B" w14:textId="77777777" w:rsidR="005D76B2" w:rsidRPr="002B3DDC" w:rsidRDefault="005D76B2" w:rsidP="00D707AB">
      <w:pPr>
        <w:numPr>
          <w:ilvl w:val="0"/>
          <w:numId w:val="53"/>
        </w:numPr>
        <w:spacing w:after="0"/>
        <w:rPr>
          <w:lang w:val="cs-CZ"/>
        </w:rPr>
      </w:pPr>
      <w:r w:rsidRPr="00902AC5">
        <w:rPr>
          <w:szCs w:val="22"/>
          <w:bdr w:val="nil"/>
          <w:lang w:val="cs-CZ"/>
        </w:rPr>
        <w:t>Stadi</w:t>
      </w:r>
      <w:r w:rsidR="00614179">
        <w:rPr>
          <w:szCs w:val="22"/>
          <w:bdr w:val="nil"/>
          <w:lang w:val="cs-CZ"/>
        </w:rPr>
        <w:t>u</w:t>
      </w:r>
      <w:r w:rsidRPr="00902AC5">
        <w:rPr>
          <w:szCs w:val="22"/>
          <w:bdr w:val="nil"/>
          <w:lang w:val="cs-CZ"/>
        </w:rPr>
        <w:t xml:space="preserve">m B dle Barcelonské klasifikace (Barcelona </w:t>
      </w:r>
      <w:proofErr w:type="spellStart"/>
      <w:r w:rsidRPr="00902AC5">
        <w:rPr>
          <w:szCs w:val="22"/>
          <w:bdr w:val="nil"/>
          <w:lang w:val="cs-CZ"/>
        </w:rPr>
        <w:t>Clinic</w:t>
      </w:r>
      <w:proofErr w:type="spellEnd"/>
      <w:r w:rsidRPr="00902AC5">
        <w:rPr>
          <w:szCs w:val="22"/>
          <w:bdr w:val="nil"/>
          <w:lang w:val="cs-CZ"/>
        </w:rPr>
        <w:t xml:space="preserve"> Liver </w:t>
      </w:r>
      <w:proofErr w:type="spellStart"/>
      <w:r w:rsidRPr="00902AC5">
        <w:rPr>
          <w:szCs w:val="22"/>
          <w:bdr w:val="nil"/>
          <w:lang w:val="cs-CZ"/>
        </w:rPr>
        <w:t>Cancer</w:t>
      </w:r>
      <w:proofErr w:type="spellEnd"/>
      <w:r w:rsidRPr="00902AC5">
        <w:rPr>
          <w:szCs w:val="22"/>
          <w:bdr w:val="nil"/>
          <w:lang w:val="cs-CZ"/>
        </w:rPr>
        <w:t>, BCLC): 13 %; BCLC stadium C: 87 %</w:t>
      </w:r>
    </w:p>
    <w:p w14:paraId="7D45784C" w14:textId="77777777" w:rsidR="005D76B2" w:rsidRPr="002B3DDC" w:rsidRDefault="005D76B2" w:rsidP="00D707AB">
      <w:pPr>
        <w:numPr>
          <w:ilvl w:val="0"/>
          <w:numId w:val="53"/>
        </w:numPr>
        <w:spacing w:after="0"/>
        <w:rPr>
          <w:lang w:val="cs-CZ"/>
        </w:rPr>
      </w:pPr>
      <w:proofErr w:type="spellStart"/>
      <w:r w:rsidRPr="00902AC5">
        <w:rPr>
          <w:szCs w:val="22"/>
          <w:bdr w:val="nil"/>
          <w:lang w:val="cs-CZ"/>
        </w:rPr>
        <w:t>Lokoregionální</w:t>
      </w:r>
      <w:proofErr w:type="spellEnd"/>
      <w:r w:rsidRPr="00902AC5">
        <w:rPr>
          <w:szCs w:val="22"/>
          <w:bdr w:val="nil"/>
          <w:lang w:val="cs-CZ"/>
        </w:rPr>
        <w:t xml:space="preserve"> </w:t>
      </w:r>
      <w:proofErr w:type="spellStart"/>
      <w:r w:rsidRPr="00902AC5">
        <w:rPr>
          <w:szCs w:val="22"/>
          <w:bdr w:val="nil"/>
          <w:lang w:val="cs-CZ"/>
        </w:rPr>
        <w:t>transarteriální</w:t>
      </w:r>
      <w:proofErr w:type="spellEnd"/>
      <w:r w:rsidRPr="00902AC5">
        <w:rPr>
          <w:szCs w:val="22"/>
          <w:bdr w:val="nil"/>
          <w:lang w:val="cs-CZ"/>
        </w:rPr>
        <w:t xml:space="preserve"> embolizace nebo </w:t>
      </w:r>
      <w:proofErr w:type="spellStart"/>
      <w:r w:rsidRPr="00902AC5">
        <w:rPr>
          <w:szCs w:val="22"/>
          <w:bdr w:val="nil"/>
          <w:lang w:val="cs-CZ"/>
        </w:rPr>
        <w:t>chemoinfuzní</w:t>
      </w:r>
      <w:proofErr w:type="spellEnd"/>
      <w:r w:rsidRPr="00902AC5">
        <w:rPr>
          <w:szCs w:val="22"/>
          <w:bdr w:val="nil"/>
          <w:lang w:val="cs-CZ"/>
        </w:rPr>
        <w:t xml:space="preserve"> procedury: 61 %</w:t>
      </w:r>
    </w:p>
    <w:p w14:paraId="7D45784D" w14:textId="77777777" w:rsidR="005D76B2" w:rsidRPr="002B3DDC" w:rsidRDefault="005D76B2" w:rsidP="00D707AB">
      <w:pPr>
        <w:numPr>
          <w:ilvl w:val="0"/>
          <w:numId w:val="53"/>
        </w:numPr>
        <w:spacing w:after="0"/>
        <w:rPr>
          <w:lang w:val="cs-CZ"/>
        </w:rPr>
      </w:pPr>
      <w:r w:rsidRPr="00902AC5">
        <w:rPr>
          <w:szCs w:val="22"/>
          <w:bdr w:val="nil"/>
          <w:lang w:val="cs-CZ"/>
        </w:rPr>
        <w:t xml:space="preserve">Radioterapie před léčbou </w:t>
      </w:r>
      <w:proofErr w:type="spellStart"/>
      <w:r w:rsidRPr="00902AC5">
        <w:rPr>
          <w:szCs w:val="22"/>
          <w:bdr w:val="nil"/>
          <w:lang w:val="cs-CZ"/>
        </w:rPr>
        <w:t>regorafenibem</w:t>
      </w:r>
      <w:proofErr w:type="spellEnd"/>
      <w:r w:rsidRPr="00902AC5">
        <w:rPr>
          <w:szCs w:val="22"/>
          <w:bdr w:val="nil"/>
          <w:lang w:val="cs-CZ"/>
        </w:rPr>
        <w:t>: 15 %</w:t>
      </w:r>
    </w:p>
    <w:p w14:paraId="7D45784E" w14:textId="77777777" w:rsidR="005D76B2" w:rsidRPr="00902AC5" w:rsidRDefault="007A4ADD" w:rsidP="00D707AB">
      <w:pPr>
        <w:numPr>
          <w:ilvl w:val="0"/>
          <w:numId w:val="53"/>
        </w:numPr>
        <w:spacing w:after="0"/>
        <w:rPr>
          <w:lang w:val="cs-CZ"/>
        </w:rPr>
      </w:pPr>
      <w:r>
        <w:rPr>
          <w:szCs w:val="22"/>
          <w:bdr w:val="nil"/>
          <w:lang w:val="cs-CZ"/>
        </w:rPr>
        <w:t>Medián</w:t>
      </w:r>
      <w:r w:rsidR="005D76B2" w:rsidRPr="00902AC5">
        <w:rPr>
          <w:szCs w:val="22"/>
          <w:bdr w:val="nil"/>
          <w:lang w:val="cs-CZ"/>
        </w:rPr>
        <w:t xml:space="preserve"> dob</w:t>
      </w:r>
      <w:r>
        <w:rPr>
          <w:szCs w:val="22"/>
          <w:bdr w:val="nil"/>
          <w:lang w:val="cs-CZ"/>
        </w:rPr>
        <w:t>y</w:t>
      </w:r>
      <w:r w:rsidR="005D76B2" w:rsidRPr="00902AC5">
        <w:rPr>
          <w:szCs w:val="22"/>
          <w:bdr w:val="nil"/>
          <w:lang w:val="cs-CZ"/>
        </w:rPr>
        <w:t xml:space="preserve"> trvání léčby </w:t>
      </w:r>
      <w:proofErr w:type="spellStart"/>
      <w:r w:rsidR="005D76B2" w:rsidRPr="00902AC5">
        <w:rPr>
          <w:szCs w:val="22"/>
          <w:bdr w:val="nil"/>
          <w:lang w:val="cs-CZ"/>
        </w:rPr>
        <w:t>sorafenibem</w:t>
      </w:r>
      <w:proofErr w:type="spellEnd"/>
      <w:r w:rsidR="005D76B2" w:rsidRPr="00902AC5">
        <w:rPr>
          <w:szCs w:val="22"/>
          <w:bdr w:val="nil"/>
          <w:lang w:val="cs-CZ"/>
        </w:rPr>
        <w:t xml:space="preserve">: 7,8 měsíce </w:t>
      </w:r>
    </w:p>
    <w:p w14:paraId="7D45784F" w14:textId="77777777" w:rsidR="005D76B2" w:rsidRPr="0026000A" w:rsidRDefault="005D76B2" w:rsidP="00D707AB">
      <w:pPr>
        <w:spacing w:after="0"/>
        <w:rPr>
          <w:lang w:val="cs-CZ"/>
        </w:rPr>
      </w:pPr>
    </w:p>
    <w:p w14:paraId="7D457850" w14:textId="77777777" w:rsidR="005D76B2" w:rsidRPr="0026000A" w:rsidRDefault="005D76B2" w:rsidP="00D707AB">
      <w:pPr>
        <w:spacing w:after="0"/>
        <w:rPr>
          <w:lang w:val="cs-CZ"/>
        </w:rPr>
      </w:pPr>
      <w:r w:rsidRPr="00B37DA6">
        <w:rPr>
          <w:szCs w:val="22"/>
          <w:bdr w:val="nil"/>
          <w:lang w:val="cs-CZ"/>
        </w:rPr>
        <w:t xml:space="preserve">Přidání přípravku </w:t>
      </w:r>
      <w:proofErr w:type="spellStart"/>
      <w:r w:rsidRPr="00B37DA6">
        <w:rPr>
          <w:szCs w:val="22"/>
          <w:bdr w:val="nil"/>
          <w:lang w:val="cs-CZ"/>
        </w:rPr>
        <w:t>Stivarga</w:t>
      </w:r>
      <w:proofErr w:type="spellEnd"/>
      <w:r w:rsidRPr="00B37DA6">
        <w:rPr>
          <w:szCs w:val="22"/>
          <w:bdr w:val="nil"/>
          <w:lang w:val="cs-CZ"/>
        </w:rPr>
        <w:t xml:space="preserve"> vedlo k statisticky významnému zlepšení OS v porovnání s placebem plus</w:t>
      </w:r>
      <w:r w:rsidRPr="0026000A">
        <w:rPr>
          <w:szCs w:val="22"/>
          <w:bdr w:val="nil"/>
          <w:lang w:val="cs-CZ"/>
        </w:rPr>
        <w:t xml:space="preserve"> BSC s poměrem rizik 0,624 [</w:t>
      </w:r>
      <w:proofErr w:type="gramStart"/>
      <w:r w:rsidRPr="0026000A">
        <w:rPr>
          <w:szCs w:val="22"/>
          <w:bdr w:val="nil"/>
          <w:lang w:val="cs-CZ"/>
        </w:rPr>
        <w:t>95%</w:t>
      </w:r>
      <w:proofErr w:type="gramEnd"/>
      <w:r w:rsidRPr="0026000A">
        <w:rPr>
          <w:szCs w:val="22"/>
          <w:bdr w:val="nil"/>
          <w:lang w:val="cs-CZ"/>
        </w:rPr>
        <w:t xml:space="preserve"> CI 0,498; 0,782], p=0,000017 stratifikovaný log rank test a mediánem OS 10,6 měsíce vs. 7,8 měsíce (viz tabulka 7 a obrázek 4).</w:t>
      </w:r>
    </w:p>
    <w:p w14:paraId="7D457851" w14:textId="77777777" w:rsidR="005D76B2" w:rsidRPr="0026000A" w:rsidRDefault="005D76B2" w:rsidP="00D707AB">
      <w:pPr>
        <w:spacing w:after="0"/>
        <w:rPr>
          <w:lang w:val="cs-CZ"/>
        </w:rPr>
      </w:pPr>
    </w:p>
    <w:p w14:paraId="7D457852" w14:textId="77777777" w:rsidR="005D76B2" w:rsidRPr="0026000A" w:rsidRDefault="005D76B2" w:rsidP="00D707AB">
      <w:pPr>
        <w:keepNext/>
        <w:spacing w:after="0"/>
        <w:rPr>
          <w:b/>
          <w:lang w:val="cs-CZ"/>
        </w:rPr>
      </w:pPr>
      <w:r w:rsidRPr="0026000A">
        <w:rPr>
          <w:b/>
          <w:bCs/>
          <w:szCs w:val="22"/>
          <w:bdr w:val="nil"/>
          <w:lang w:val="cs-CZ"/>
        </w:rPr>
        <w:lastRenderedPageBreak/>
        <w:t xml:space="preserve">Tabulka 7: Výsledky účinnosti ze studie RESORCE </w:t>
      </w:r>
    </w:p>
    <w:p w14:paraId="7D457853" w14:textId="77777777" w:rsidR="005D76B2" w:rsidRPr="0026000A" w:rsidRDefault="005D76B2" w:rsidP="00D707AB">
      <w:pPr>
        <w:keepNext/>
        <w:spacing w:after="0"/>
        <w:rPr>
          <w:b/>
          <w:lang w:val="cs-CZ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08"/>
        <w:gridCol w:w="1807"/>
        <w:gridCol w:w="2126"/>
        <w:gridCol w:w="1985"/>
      </w:tblGrid>
      <w:tr w:rsidR="005D76B2" w:rsidRPr="0026000A" w14:paraId="7D457858" w14:textId="77777777" w:rsidTr="00E83223">
        <w:trPr>
          <w:trHeight w:val="468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7D457854" w14:textId="77777777" w:rsidR="005D76B2" w:rsidRPr="0026000A" w:rsidRDefault="005D76B2" w:rsidP="00D707AB">
            <w:pPr>
              <w:keepNext/>
              <w:spacing w:after="0"/>
              <w:rPr>
                <w:rFonts w:eastAsia="Calibri"/>
                <w:b/>
                <w:sz w:val="20"/>
                <w:lang w:val="cs-CZ" w:eastAsia="en-US"/>
              </w:rPr>
            </w:pPr>
            <w:r w:rsidRPr="0026000A">
              <w:rPr>
                <w:b/>
                <w:bCs/>
                <w:sz w:val="20"/>
                <w:bdr w:val="nil"/>
                <w:lang w:val="cs-CZ" w:eastAsia="en-US"/>
              </w:rPr>
              <w:t>Parametr účinnosti</w:t>
            </w:r>
          </w:p>
        </w:tc>
        <w:tc>
          <w:tcPr>
            <w:tcW w:w="1908" w:type="dxa"/>
            <w:vMerge w:val="restart"/>
            <w:shd w:val="clear" w:color="auto" w:fill="auto"/>
            <w:vAlign w:val="center"/>
          </w:tcPr>
          <w:p w14:paraId="7D457855" w14:textId="77777777" w:rsidR="005D76B2" w:rsidRPr="0026000A" w:rsidRDefault="005D76B2" w:rsidP="00D707AB">
            <w:pPr>
              <w:keepNext/>
              <w:spacing w:after="0"/>
              <w:rPr>
                <w:rFonts w:eastAsia="Calibri"/>
                <w:b/>
                <w:sz w:val="20"/>
                <w:lang w:val="cs-CZ" w:eastAsia="en-US"/>
              </w:rPr>
            </w:pPr>
            <w:r w:rsidRPr="0026000A">
              <w:rPr>
                <w:b/>
                <w:bCs/>
                <w:sz w:val="20"/>
                <w:bdr w:val="nil"/>
                <w:lang w:val="cs-CZ" w:eastAsia="en-US"/>
              </w:rPr>
              <w:t>Poměr rizik* (</w:t>
            </w:r>
            <w:proofErr w:type="gramStart"/>
            <w:r w:rsidRPr="0026000A">
              <w:rPr>
                <w:b/>
                <w:bCs/>
                <w:sz w:val="20"/>
                <w:bdr w:val="nil"/>
                <w:lang w:val="cs-CZ" w:eastAsia="en-US"/>
              </w:rPr>
              <w:t>95%</w:t>
            </w:r>
            <w:proofErr w:type="gramEnd"/>
            <w:r w:rsidRPr="0026000A">
              <w:rPr>
                <w:b/>
                <w:bCs/>
                <w:sz w:val="20"/>
                <w:bdr w:val="nil"/>
                <w:lang w:val="cs-CZ" w:eastAsia="en-US"/>
              </w:rPr>
              <w:t> CI)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7D457856" w14:textId="77777777" w:rsidR="005D76B2" w:rsidRPr="0026000A" w:rsidRDefault="005D76B2" w:rsidP="00D707AB">
            <w:pPr>
              <w:keepNext/>
              <w:spacing w:after="0"/>
              <w:rPr>
                <w:rFonts w:eastAsia="Calibri"/>
                <w:b/>
                <w:sz w:val="20"/>
                <w:lang w:val="cs-CZ" w:eastAsia="en-US"/>
              </w:rPr>
            </w:pPr>
            <w:r w:rsidRPr="0026000A">
              <w:rPr>
                <w:b/>
                <w:bCs/>
                <w:sz w:val="20"/>
                <w:bdr w:val="nil"/>
                <w:lang w:val="cs-CZ" w:eastAsia="en-US"/>
              </w:rPr>
              <w:t>p-hodnota (jednostranný)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D457857" w14:textId="77777777" w:rsidR="005D76B2" w:rsidRPr="0026000A" w:rsidRDefault="005D76B2" w:rsidP="00D707AB">
            <w:pPr>
              <w:keepNext/>
              <w:spacing w:after="0"/>
              <w:rPr>
                <w:rFonts w:eastAsia="Calibri"/>
                <w:b/>
                <w:sz w:val="20"/>
                <w:lang w:val="cs-CZ" w:eastAsia="en-US"/>
              </w:rPr>
            </w:pPr>
            <w:r w:rsidRPr="0026000A">
              <w:rPr>
                <w:b/>
                <w:bCs/>
                <w:sz w:val="20"/>
                <w:bdr w:val="nil"/>
                <w:lang w:val="cs-CZ" w:eastAsia="en-US"/>
              </w:rPr>
              <w:t>Medián (</w:t>
            </w:r>
            <w:proofErr w:type="gramStart"/>
            <w:r w:rsidRPr="0026000A">
              <w:rPr>
                <w:b/>
                <w:bCs/>
                <w:sz w:val="20"/>
                <w:bdr w:val="nil"/>
                <w:lang w:val="cs-CZ" w:eastAsia="en-US"/>
              </w:rPr>
              <w:t>95%</w:t>
            </w:r>
            <w:proofErr w:type="gramEnd"/>
            <w:r w:rsidRPr="0026000A">
              <w:rPr>
                <w:b/>
                <w:bCs/>
                <w:sz w:val="20"/>
                <w:bdr w:val="nil"/>
                <w:lang w:val="cs-CZ" w:eastAsia="en-US"/>
              </w:rPr>
              <w:t> CI)</w:t>
            </w:r>
          </w:p>
        </w:tc>
      </w:tr>
      <w:tr w:rsidR="005D76B2" w:rsidRPr="0026000A" w14:paraId="7D457860" w14:textId="77777777" w:rsidTr="00E83223">
        <w:tc>
          <w:tcPr>
            <w:tcW w:w="1922" w:type="dxa"/>
            <w:vMerge/>
            <w:shd w:val="clear" w:color="auto" w:fill="auto"/>
          </w:tcPr>
          <w:p w14:paraId="7D457859" w14:textId="77777777" w:rsidR="005D76B2" w:rsidRPr="0026000A" w:rsidRDefault="005D76B2" w:rsidP="00D707AB">
            <w:pPr>
              <w:keepNext/>
              <w:spacing w:after="0"/>
              <w:rPr>
                <w:rFonts w:eastAsia="Calibri"/>
                <w:b/>
                <w:sz w:val="20"/>
                <w:lang w:val="cs-CZ" w:eastAsia="en-US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7D45785A" w14:textId="77777777" w:rsidR="005D76B2" w:rsidRPr="0026000A" w:rsidRDefault="005D76B2" w:rsidP="00D707AB">
            <w:pPr>
              <w:keepNext/>
              <w:spacing w:after="0"/>
              <w:rPr>
                <w:rFonts w:eastAsia="Calibri"/>
                <w:b/>
                <w:sz w:val="20"/>
                <w:lang w:val="cs-CZ" w:eastAsia="en-US"/>
              </w:rPr>
            </w:pPr>
          </w:p>
        </w:tc>
        <w:tc>
          <w:tcPr>
            <w:tcW w:w="1807" w:type="dxa"/>
            <w:vMerge/>
          </w:tcPr>
          <w:p w14:paraId="7D45785B" w14:textId="77777777" w:rsidR="005D76B2" w:rsidRPr="0026000A" w:rsidRDefault="005D76B2" w:rsidP="00D707AB">
            <w:pPr>
              <w:keepNext/>
              <w:spacing w:after="0"/>
              <w:rPr>
                <w:rFonts w:eastAsia="Calibri"/>
                <w:b/>
                <w:sz w:val="20"/>
                <w:lang w:val="cs-CZ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D45785C" w14:textId="77777777" w:rsidR="005D76B2" w:rsidRPr="0026000A" w:rsidRDefault="005D76B2" w:rsidP="00D707AB">
            <w:pPr>
              <w:keepNext/>
              <w:spacing w:after="0"/>
              <w:rPr>
                <w:rFonts w:eastAsia="Calibri"/>
                <w:b/>
                <w:sz w:val="20"/>
                <w:lang w:val="cs-CZ" w:eastAsia="en-US"/>
              </w:rPr>
            </w:pPr>
            <w:proofErr w:type="spellStart"/>
            <w:r w:rsidRPr="0026000A">
              <w:rPr>
                <w:b/>
                <w:bCs/>
                <w:sz w:val="20"/>
                <w:bdr w:val="nil"/>
                <w:lang w:val="cs-CZ" w:eastAsia="en-US"/>
              </w:rPr>
              <w:t>Stivarga</w:t>
            </w:r>
            <w:proofErr w:type="spellEnd"/>
            <w:r w:rsidRPr="0026000A">
              <w:rPr>
                <w:b/>
                <w:bCs/>
                <w:sz w:val="20"/>
                <w:bdr w:val="nil"/>
                <w:lang w:val="cs-CZ" w:eastAsia="en-US"/>
              </w:rPr>
              <w:t xml:space="preserve"> plus BSC</w:t>
            </w:r>
            <w:r w:rsidRPr="0026000A">
              <w:rPr>
                <w:b/>
                <w:bCs/>
                <w:sz w:val="20"/>
                <w:bdr w:val="nil"/>
                <w:vertAlign w:val="superscript"/>
                <w:lang w:val="cs-CZ" w:eastAsia="en-US"/>
              </w:rPr>
              <w:t>§</w:t>
            </w:r>
          </w:p>
          <w:p w14:paraId="7D45785D" w14:textId="77777777" w:rsidR="005D76B2" w:rsidRPr="0026000A" w:rsidRDefault="005D76B2" w:rsidP="00D707AB">
            <w:pPr>
              <w:keepNext/>
              <w:spacing w:after="0"/>
              <w:rPr>
                <w:rFonts w:eastAsia="Calibri"/>
                <w:b/>
                <w:sz w:val="20"/>
                <w:lang w:val="cs-CZ" w:eastAsia="en-US"/>
              </w:rPr>
            </w:pPr>
            <w:r w:rsidRPr="0026000A">
              <w:rPr>
                <w:b/>
                <w:bCs/>
                <w:sz w:val="20"/>
                <w:bdr w:val="nil"/>
                <w:lang w:val="cs-CZ" w:eastAsia="en-US"/>
              </w:rPr>
              <w:t>(</w:t>
            </w:r>
            <w:r w:rsidR="00FC42F4">
              <w:rPr>
                <w:b/>
                <w:bCs/>
                <w:sz w:val="20"/>
                <w:bdr w:val="nil"/>
                <w:lang w:val="cs-CZ" w:eastAsia="en-US"/>
              </w:rPr>
              <w:t>n</w:t>
            </w:r>
            <w:r w:rsidRPr="0026000A">
              <w:rPr>
                <w:b/>
                <w:bCs/>
                <w:sz w:val="20"/>
                <w:bdr w:val="nil"/>
                <w:lang w:val="cs-CZ" w:eastAsia="en-US"/>
              </w:rPr>
              <w:t>=379)</w:t>
            </w:r>
          </w:p>
        </w:tc>
        <w:tc>
          <w:tcPr>
            <w:tcW w:w="1985" w:type="dxa"/>
            <w:shd w:val="clear" w:color="auto" w:fill="auto"/>
          </w:tcPr>
          <w:p w14:paraId="7D45785E" w14:textId="77777777" w:rsidR="005D76B2" w:rsidRPr="0026000A" w:rsidRDefault="005D76B2" w:rsidP="00D707AB">
            <w:pPr>
              <w:keepNext/>
              <w:spacing w:after="0"/>
              <w:rPr>
                <w:rFonts w:eastAsia="Calibri"/>
                <w:b/>
                <w:sz w:val="20"/>
                <w:lang w:val="cs-CZ" w:eastAsia="en-US"/>
              </w:rPr>
            </w:pPr>
            <w:r w:rsidRPr="0026000A">
              <w:rPr>
                <w:b/>
                <w:bCs/>
                <w:sz w:val="20"/>
                <w:bdr w:val="nil"/>
                <w:lang w:val="cs-CZ" w:eastAsia="en-US"/>
              </w:rPr>
              <w:t>Placebo plus BSC</w:t>
            </w:r>
            <w:r w:rsidRPr="0026000A">
              <w:rPr>
                <w:b/>
                <w:bCs/>
                <w:sz w:val="20"/>
                <w:bdr w:val="nil"/>
                <w:vertAlign w:val="superscript"/>
                <w:lang w:val="cs-CZ" w:eastAsia="en-US"/>
              </w:rPr>
              <w:t>§</w:t>
            </w:r>
          </w:p>
          <w:p w14:paraId="7D45785F" w14:textId="77777777" w:rsidR="005D76B2" w:rsidRPr="0026000A" w:rsidRDefault="005D76B2" w:rsidP="00D707AB">
            <w:pPr>
              <w:keepNext/>
              <w:spacing w:after="0"/>
              <w:rPr>
                <w:rFonts w:eastAsia="Calibri"/>
                <w:b/>
                <w:sz w:val="20"/>
                <w:lang w:val="cs-CZ" w:eastAsia="en-US"/>
              </w:rPr>
            </w:pPr>
            <w:r w:rsidRPr="0026000A">
              <w:rPr>
                <w:b/>
                <w:bCs/>
                <w:sz w:val="20"/>
                <w:bdr w:val="nil"/>
                <w:lang w:val="cs-CZ" w:eastAsia="en-US"/>
              </w:rPr>
              <w:t>(</w:t>
            </w:r>
            <w:r w:rsidR="00FC42F4">
              <w:rPr>
                <w:b/>
                <w:bCs/>
                <w:sz w:val="20"/>
                <w:bdr w:val="nil"/>
                <w:lang w:val="cs-CZ" w:eastAsia="en-US"/>
              </w:rPr>
              <w:t>n</w:t>
            </w:r>
            <w:r w:rsidRPr="0026000A">
              <w:rPr>
                <w:b/>
                <w:bCs/>
                <w:sz w:val="20"/>
                <w:bdr w:val="nil"/>
                <w:lang w:val="cs-CZ" w:eastAsia="en-US"/>
              </w:rPr>
              <w:t>=194)</w:t>
            </w:r>
          </w:p>
        </w:tc>
      </w:tr>
      <w:tr w:rsidR="005D76B2" w:rsidRPr="0026000A" w14:paraId="7D45786A" w14:textId="77777777" w:rsidTr="00E83223">
        <w:tc>
          <w:tcPr>
            <w:tcW w:w="1922" w:type="dxa"/>
            <w:shd w:val="clear" w:color="auto" w:fill="auto"/>
          </w:tcPr>
          <w:p w14:paraId="7D457861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 xml:space="preserve">Celkové přežití </w:t>
            </w:r>
          </w:p>
          <w:p w14:paraId="7D457862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</w:p>
        </w:tc>
        <w:tc>
          <w:tcPr>
            <w:tcW w:w="1908" w:type="dxa"/>
            <w:shd w:val="clear" w:color="auto" w:fill="auto"/>
          </w:tcPr>
          <w:p w14:paraId="7D457863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lang w:val="cs-CZ" w:eastAsia="en-US"/>
              </w:rPr>
              <w:t>0,624</w:t>
            </w:r>
          </w:p>
          <w:p w14:paraId="7D457864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(0,498</w:t>
            </w:r>
            <w:r w:rsidR="009717EA">
              <w:rPr>
                <w:szCs w:val="22"/>
                <w:bdr w:val="nil"/>
                <w:lang w:val="cs-CZ" w:eastAsia="en-US"/>
              </w:rPr>
              <w:t>;</w:t>
            </w:r>
            <w:r w:rsidRPr="0026000A">
              <w:rPr>
                <w:szCs w:val="22"/>
                <w:bdr w:val="nil"/>
                <w:lang w:val="cs-CZ" w:eastAsia="en-US"/>
              </w:rPr>
              <w:t xml:space="preserve"> 0,782)</w:t>
            </w:r>
          </w:p>
        </w:tc>
        <w:tc>
          <w:tcPr>
            <w:tcW w:w="1807" w:type="dxa"/>
          </w:tcPr>
          <w:p w14:paraId="7D457865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lang w:val="cs-CZ" w:eastAsia="en-US"/>
              </w:rPr>
              <w:t>0</w:t>
            </w:r>
            <w:r w:rsidR="009717EA">
              <w:rPr>
                <w:szCs w:val="22"/>
                <w:lang w:val="cs-CZ" w:eastAsia="en-US"/>
              </w:rPr>
              <w:t>,</w:t>
            </w:r>
            <w:r w:rsidRPr="0026000A">
              <w:rPr>
                <w:szCs w:val="22"/>
                <w:lang w:val="cs-CZ" w:eastAsia="en-US"/>
              </w:rPr>
              <w:t>000017</w:t>
            </w:r>
          </w:p>
        </w:tc>
        <w:tc>
          <w:tcPr>
            <w:tcW w:w="2126" w:type="dxa"/>
            <w:shd w:val="clear" w:color="auto" w:fill="auto"/>
          </w:tcPr>
          <w:p w14:paraId="7D457866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10,6 měsíců</w:t>
            </w:r>
          </w:p>
          <w:p w14:paraId="7D457867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(9,1</w:t>
            </w:r>
            <w:r w:rsidR="009717EA">
              <w:rPr>
                <w:szCs w:val="22"/>
                <w:bdr w:val="nil"/>
                <w:lang w:val="cs-CZ" w:eastAsia="en-US"/>
              </w:rPr>
              <w:t>;</w:t>
            </w:r>
            <w:r w:rsidRPr="0026000A">
              <w:rPr>
                <w:szCs w:val="22"/>
                <w:bdr w:val="nil"/>
                <w:lang w:val="cs-CZ" w:eastAsia="en-US"/>
              </w:rPr>
              <w:t xml:space="preserve"> 12,1)</w:t>
            </w:r>
          </w:p>
        </w:tc>
        <w:tc>
          <w:tcPr>
            <w:tcW w:w="1985" w:type="dxa"/>
            <w:shd w:val="clear" w:color="auto" w:fill="auto"/>
          </w:tcPr>
          <w:p w14:paraId="7D457868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7,8 měsíců</w:t>
            </w:r>
          </w:p>
          <w:p w14:paraId="7D457869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(6,3</w:t>
            </w:r>
            <w:r w:rsidR="009717EA">
              <w:rPr>
                <w:szCs w:val="22"/>
                <w:bdr w:val="nil"/>
                <w:lang w:val="cs-CZ" w:eastAsia="en-US"/>
              </w:rPr>
              <w:t>;</w:t>
            </w:r>
            <w:r w:rsidRPr="0026000A">
              <w:rPr>
                <w:szCs w:val="22"/>
                <w:bdr w:val="nil"/>
                <w:lang w:val="cs-CZ" w:eastAsia="en-US"/>
              </w:rPr>
              <w:t xml:space="preserve"> 8,8)</w:t>
            </w:r>
          </w:p>
        </w:tc>
      </w:tr>
      <w:tr w:rsidR="005D76B2" w:rsidRPr="0026000A" w14:paraId="7D457873" w14:textId="77777777" w:rsidTr="00E83223">
        <w:tc>
          <w:tcPr>
            <w:tcW w:w="1922" w:type="dxa"/>
            <w:shd w:val="clear" w:color="auto" w:fill="auto"/>
          </w:tcPr>
          <w:p w14:paraId="7D45786B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Přežití bez progrese **</w:t>
            </w:r>
          </w:p>
        </w:tc>
        <w:tc>
          <w:tcPr>
            <w:tcW w:w="1908" w:type="dxa"/>
            <w:shd w:val="clear" w:color="auto" w:fill="auto"/>
          </w:tcPr>
          <w:p w14:paraId="7D45786C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lang w:val="cs-CZ" w:eastAsia="en-US"/>
              </w:rPr>
              <w:t xml:space="preserve">0,453 </w:t>
            </w:r>
          </w:p>
          <w:p w14:paraId="7D45786D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(0,369; 0,555)</w:t>
            </w:r>
          </w:p>
        </w:tc>
        <w:tc>
          <w:tcPr>
            <w:tcW w:w="1807" w:type="dxa"/>
          </w:tcPr>
          <w:p w14:paraId="7D45786E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&lt;0,000001</w:t>
            </w:r>
          </w:p>
        </w:tc>
        <w:tc>
          <w:tcPr>
            <w:tcW w:w="2126" w:type="dxa"/>
            <w:shd w:val="clear" w:color="auto" w:fill="auto"/>
          </w:tcPr>
          <w:p w14:paraId="7D45786F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3,1 měsíce</w:t>
            </w:r>
          </w:p>
          <w:p w14:paraId="7D457870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(2,8; 4,2)</w:t>
            </w:r>
          </w:p>
        </w:tc>
        <w:tc>
          <w:tcPr>
            <w:tcW w:w="1985" w:type="dxa"/>
            <w:shd w:val="clear" w:color="auto" w:fill="auto"/>
          </w:tcPr>
          <w:p w14:paraId="7D457871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1,5 měsíce</w:t>
            </w:r>
          </w:p>
          <w:p w14:paraId="7D457872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(1,4; 1,6)</w:t>
            </w:r>
          </w:p>
        </w:tc>
      </w:tr>
      <w:tr w:rsidR="005D76B2" w:rsidRPr="0026000A" w14:paraId="7D45787B" w14:textId="77777777" w:rsidTr="00E83223">
        <w:tc>
          <w:tcPr>
            <w:tcW w:w="1922" w:type="dxa"/>
            <w:shd w:val="clear" w:color="auto" w:fill="auto"/>
          </w:tcPr>
          <w:p w14:paraId="7D457874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Doba do progrese **</w:t>
            </w:r>
          </w:p>
        </w:tc>
        <w:tc>
          <w:tcPr>
            <w:tcW w:w="1908" w:type="dxa"/>
            <w:shd w:val="clear" w:color="auto" w:fill="auto"/>
          </w:tcPr>
          <w:p w14:paraId="7D457875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0,439 (0,355; 0,542)</w:t>
            </w:r>
          </w:p>
        </w:tc>
        <w:tc>
          <w:tcPr>
            <w:tcW w:w="1807" w:type="dxa"/>
          </w:tcPr>
          <w:p w14:paraId="7D457876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&lt;0,000001</w:t>
            </w:r>
          </w:p>
        </w:tc>
        <w:tc>
          <w:tcPr>
            <w:tcW w:w="2126" w:type="dxa"/>
            <w:shd w:val="clear" w:color="auto" w:fill="auto"/>
          </w:tcPr>
          <w:p w14:paraId="7D457877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 xml:space="preserve">3,2 měsíce </w:t>
            </w:r>
          </w:p>
          <w:p w14:paraId="7D457878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(2,9; 4,2)</w:t>
            </w:r>
          </w:p>
        </w:tc>
        <w:tc>
          <w:tcPr>
            <w:tcW w:w="1985" w:type="dxa"/>
            <w:shd w:val="clear" w:color="auto" w:fill="auto"/>
          </w:tcPr>
          <w:p w14:paraId="7D457879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1,5 měsíce</w:t>
            </w:r>
          </w:p>
          <w:p w14:paraId="7D45787A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(1,4; 1,6)</w:t>
            </w:r>
          </w:p>
        </w:tc>
      </w:tr>
      <w:tr w:rsidR="005D76B2" w:rsidRPr="0026000A" w14:paraId="7D457880" w14:textId="77777777" w:rsidTr="00E83223">
        <w:tc>
          <w:tcPr>
            <w:tcW w:w="1922" w:type="dxa"/>
            <w:shd w:val="clear" w:color="auto" w:fill="auto"/>
          </w:tcPr>
          <w:p w14:paraId="7D45787C" w14:textId="77777777" w:rsidR="005D76B2" w:rsidRPr="0026000A" w:rsidRDefault="005D76B2" w:rsidP="00D707AB">
            <w:pPr>
              <w:keepNext/>
              <w:spacing w:after="0"/>
              <w:rPr>
                <w:szCs w:val="22"/>
                <w:u w:val="single"/>
                <w:lang w:val="cs-CZ" w:eastAsia="en-US"/>
              </w:rPr>
            </w:pPr>
          </w:p>
        </w:tc>
        <w:tc>
          <w:tcPr>
            <w:tcW w:w="1908" w:type="dxa"/>
            <w:shd w:val="clear" w:color="auto" w:fill="auto"/>
          </w:tcPr>
          <w:p w14:paraId="7D45787D" w14:textId="77777777" w:rsidR="005D76B2" w:rsidRPr="0026000A" w:rsidRDefault="005D76B2" w:rsidP="00D707AB">
            <w:pPr>
              <w:keepNext/>
              <w:spacing w:after="0"/>
              <w:rPr>
                <w:szCs w:val="22"/>
                <w:u w:val="single"/>
                <w:lang w:val="cs-CZ" w:eastAsia="en-US"/>
              </w:rPr>
            </w:pPr>
          </w:p>
        </w:tc>
        <w:tc>
          <w:tcPr>
            <w:tcW w:w="1807" w:type="dxa"/>
          </w:tcPr>
          <w:p w14:paraId="7D45787E" w14:textId="77777777" w:rsidR="005D76B2" w:rsidRPr="0026000A" w:rsidRDefault="005D76B2" w:rsidP="00D707AB">
            <w:pPr>
              <w:keepNext/>
              <w:spacing w:after="0"/>
              <w:rPr>
                <w:szCs w:val="22"/>
                <w:u w:val="single"/>
                <w:lang w:val="cs-CZ" w:eastAsia="en-US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D45787F" w14:textId="77777777" w:rsidR="005D76B2" w:rsidRPr="0026000A" w:rsidRDefault="005D76B2" w:rsidP="00D707AB">
            <w:pPr>
              <w:spacing w:after="0"/>
              <w:rPr>
                <w:szCs w:val="22"/>
                <w:u w:val="single"/>
                <w:lang w:val="cs-CZ" w:eastAsia="en-US"/>
              </w:rPr>
            </w:pPr>
            <w:r w:rsidRPr="0026000A">
              <w:rPr>
                <w:b/>
                <w:bCs/>
                <w:szCs w:val="22"/>
                <w:bdr w:val="nil"/>
                <w:lang w:val="cs-CZ" w:eastAsia="en-US"/>
              </w:rPr>
              <w:t>Procenta</w:t>
            </w:r>
          </w:p>
        </w:tc>
      </w:tr>
      <w:tr w:rsidR="005D76B2" w:rsidRPr="0026000A" w14:paraId="7D457886" w14:textId="77777777" w:rsidTr="00E83223">
        <w:tc>
          <w:tcPr>
            <w:tcW w:w="1922" w:type="dxa"/>
            <w:shd w:val="clear" w:color="auto" w:fill="auto"/>
          </w:tcPr>
          <w:p w14:paraId="7D457881" w14:textId="77777777" w:rsidR="005D76B2" w:rsidRPr="0026000A" w:rsidRDefault="00677AF0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C87CCD">
              <w:rPr>
                <w:szCs w:val="22"/>
                <w:bdr w:val="nil"/>
                <w:lang w:val="cs-CZ" w:eastAsia="en-US"/>
              </w:rPr>
              <w:t>Míra</w:t>
            </w:r>
            <w:r>
              <w:rPr>
                <w:szCs w:val="22"/>
                <w:bdr w:val="nil"/>
                <w:lang w:val="cs-CZ" w:eastAsia="en-US"/>
              </w:rPr>
              <w:t xml:space="preserve"> </w:t>
            </w:r>
            <w:r w:rsidR="005D76B2" w:rsidRPr="0026000A">
              <w:rPr>
                <w:szCs w:val="22"/>
                <w:bdr w:val="nil"/>
                <w:lang w:val="cs-CZ" w:eastAsia="en-US"/>
              </w:rPr>
              <w:t>objektivní odpovědi**#</w:t>
            </w:r>
          </w:p>
        </w:tc>
        <w:tc>
          <w:tcPr>
            <w:tcW w:w="1908" w:type="dxa"/>
            <w:shd w:val="clear" w:color="auto" w:fill="auto"/>
          </w:tcPr>
          <w:p w14:paraId="7D457882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Není použitelné</w:t>
            </w:r>
          </w:p>
        </w:tc>
        <w:tc>
          <w:tcPr>
            <w:tcW w:w="1807" w:type="dxa"/>
          </w:tcPr>
          <w:p w14:paraId="7D457883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lang w:val="cs-CZ" w:eastAsia="en-US"/>
              </w:rPr>
              <w:t>0</w:t>
            </w:r>
            <w:r w:rsidR="009717EA">
              <w:rPr>
                <w:szCs w:val="22"/>
                <w:lang w:val="cs-CZ" w:eastAsia="en-US"/>
              </w:rPr>
              <w:t>,</w:t>
            </w:r>
            <w:r w:rsidRPr="0026000A">
              <w:rPr>
                <w:szCs w:val="22"/>
                <w:lang w:val="cs-CZ" w:eastAsia="en-US"/>
              </w:rPr>
              <w:t>003650</w:t>
            </w:r>
          </w:p>
        </w:tc>
        <w:tc>
          <w:tcPr>
            <w:tcW w:w="2126" w:type="dxa"/>
            <w:shd w:val="clear" w:color="auto" w:fill="auto"/>
          </w:tcPr>
          <w:p w14:paraId="7D457884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11 %</w:t>
            </w:r>
          </w:p>
        </w:tc>
        <w:tc>
          <w:tcPr>
            <w:tcW w:w="1985" w:type="dxa"/>
            <w:shd w:val="clear" w:color="auto" w:fill="auto"/>
          </w:tcPr>
          <w:p w14:paraId="7D457885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4 %</w:t>
            </w:r>
          </w:p>
        </w:tc>
      </w:tr>
      <w:tr w:rsidR="005D76B2" w:rsidRPr="0026000A" w14:paraId="7D45788C" w14:textId="77777777" w:rsidTr="00E83223">
        <w:tc>
          <w:tcPr>
            <w:tcW w:w="1922" w:type="dxa"/>
            <w:shd w:val="clear" w:color="auto" w:fill="auto"/>
          </w:tcPr>
          <w:p w14:paraId="7D457887" w14:textId="77777777" w:rsidR="005D76B2" w:rsidRPr="0026000A" w:rsidRDefault="00677AF0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C87CCD">
              <w:rPr>
                <w:szCs w:val="22"/>
                <w:bdr w:val="nil"/>
                <w:lang w:val="cs-CZ" w:eastAsia="en-US"/>
              </w:rPr>
              <w:t>Míra</w:t>
            </w:r>
            <w:r w:rsidR="005D76B2" w:rsidRPr="0026000A">
              <w:rPr>
                <w:szCs w:val="22"/>
                <w:bdr w:val="nil"/>
                <w:lang w:val="cs-CZ" w:eastAsia="en-US"/>
              </w:rPr>
              <w:t xml:space="preserve"> kontroly onemocnění**#</w:t>
            </w:r>
          </w:p>
        </w:tc>
        <w:tc>
          <w:tcPr>
            <w:tcW w:w="1908" w:type="dxa"/>
            <w:shd w:val="clear" w:color="auto" w:fill="auto"/>
          </w:tcPr>
          <w:p w14:paraId="7D457888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Není použitelné</w:t>
            </w:r>
          </w:p>
        </w:tc>
        <w:tc>
          <w:tcPr>
            <w:tcW w:w="1807" w:type="dxa"/>
          </w:tcPr>
          <w:p w14:paraId="7D457889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&lt;0,000001</w:t>
            </w:r>
          </w:p>
        </w:tc>
        <w:tc>
          <w:tcPr>
            <w:tcW w:w="2126" w:type="dxa"/>
            <w:shd w:val="clear" w:color="auto" w:fill="auto"/>
          </w:tcPr>
          <w:p w14:paraId="7D45788A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65 %</w:t>
            </w:r>
          </w:p>
        </w:tc>
        <w:tc>
          <w:tcPr>
            <w:tcW w:w="1985" w:type="dxa"/>
            <w:shd w:val="clear" w:color="auto" w:fill="auto"/>
          </w:tcPr>
          <w:p w14:paraId="7D45788B" w14:textId="77777777" w:rsidR="005D76B2" w:rsidRPr="0026000A" w:rsidRDefault="005D76B2" w:rsidP="00D707AB">
            <w:pPr>
              <w:keepNext/>
              <w:spacing w:after="0"/>
              <w:rPr>
                <w:szCs w:val="22"/>
                <w:lang w:val="cs-CZ" w:eastAsia="en-US"/>
              </w:rPr>
            </w:pPr>
            <w:r w:rsidRPr="0026000A">
              <w:rPr>
                <w:szCs w:val="22"/>
                <w:bdr w:val="nil"/>
                <w:lang w:val="cs-CZ" w:eastAsia="en-US"/>
              </w:rPr>
              <w:t>36 %</w:t>
            </w:r>
          </w:p>
        </w:tc>
      </w:tr>
    </w:tbl>
    <w:p w14:paraId="7D45788D" w14:textId="77777777" w:rsidR="005D76B2" w:rsidRPr="0026000A" w:rsidRDefault="005D76B2" w:rsidP="00D707AB">
      <w:pPr>
        <w:pStyle w:val="BayerTableFootnote"/>
        <w:spacing w:before="60"/>
        <w:ind w:left="284" w:hanging="284"/>
        <w:rPr>
          <w:szCs w:val="22"/>
          <w:lang w:val="cs-CZ"/>
        </w:rPr>
      </w:pPr>
      <w:r w:rsidRPr="0026000A">
        <w:rPr>
          <w:szCs w:val="22"/>
          <w:bdr w:val="nil"/>
          <w:vertAlign w:val="superscript"/>
          <w:lang w:val="cs-CZ"/>
        </w:rPr>
        <w:t>§</w:t>
      </w:r>
      <w:r w:rsidRPr="0026000A">
        <w:rPr>
          <w:szCs w:val="22"/>
          <w:bdr w:val="nil"/>
          <w:lang w:val="cs-CZ"/>
        </w:rPr>
        <w:t xml:space="preserve"> </w:t>
      </w:r>
      <w:r w:rsidRPr="0026000A">
        <w:rPr>
          <w:szCs w:val="22"/>
          <w:bdr w:val="nil"/>
          <w:lang w:val="cs-CZ"/>
        </w:rPr>
        <w:tab/>
      </w:r>
      <w:r w:rsidRPr="0026000A">
        <w:rPr>
          <w:szCs w:val="22"/>
          <w:bdr w:val="nil"/>
          <w:lang w:val="cs-CZ"/>
        </w:rPr>
        <w:tab/>
      </w:r>
      <w:proofErr w:type="gramStart"/>
      <w:r w:rsidR="00A32D04">
        <w:rPr>
          <w:szCs w:val="22"/>
          <w:bdr w:val="nil"/>
          <w:lang w:val="cs-CZ"/>
        </w:rPr>
        <w:t xml:space="preserve">BSC - </w:t>
      </w:r>
      <w:r w:rsidRPr="0026000A">
        <w:rPr>
          <w:szCs w:val="22"/>
          <w:bdr w:val="nil"/>
          <w:lang w:val="cs-CZ"/>
        </w:rPr>
        <w:t>Nejlepší</w:t>
      </w:r>
      <w:proofErr w:type="gramEnd"/>
      <w:r w:rsidRPr="0026000A">
        <w:rPr>
          <w:szCs w:val="22"/>
          <w:bdr w:val="nil"/>
          <w:lang w:val="cs-CZ"/>
        </w:rPr>
        <w:t xml:space="preserve"> podpůrná péče</w:t>
      </w:r>
    </w:p>
    <w:p w14:paraId="7D45788E" w14:textId="77777777" w:rsidR="005D76B2" w:rsidRPr="0026000A" w:rsidRDefault="005D76B2" w:rsidP="00D707AB">
      <w:pPr>
        <w:pStyle w:val="BayerTableFootnote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ind w:left="284" w:hanging="284"/>
        <w:rPr>
          <w:szCs w:val="22"/>
          <w:lang w:val="cs-CZ"/>
        </w:rPr>
      </w:pPr>
      <w:r w:rsidRPr="0026000A">
        <w:rPr>
          <w:szCs w:val="22"/>
          <w:bdr w:val="nil"/>
          <w:lang w:val="cs-CZ"/>
        </w:rPr>
        <w:t xml:space="preserve">* </w:t>
      </w:r>
      <w:r w:rsidRPr="0026000A">
        <w:rPr>
          <w:szCs w:val="22"/>
          <w:bdr w:val="nil"/>
          <w:lang w:val="cs-CZ"/>
        </w:rPr>
        <w:tab/>
      </w:r>
      <w:r w:rsidRPr="0026000A">
        <w:rPr>
          <w:szCs w:val="22"/>
          <w:bdr w:val="nil"/>
          <w:lang w:val="cs-CZ"/>
        </w:rPr>
        <w:tab/>
        <w:t xml:space="preserve">Poměr rizik </w:t>
      </w:r>
      <w:proofErr w:type="gramStart"/>
      <w:r w:rsidRPr="0026000A">
        <w:rPr>
          <w:szCs w:val="22"/>
          <w:bdr w:val="nil"/>
          <w:lang w:val="cs-CZ"/>
        </w:rPr>
        <w:t>&lt; 1</w:t>
      </w:r>
      <w:proofErr w:type="gramEnd"/>
      <w:r w:rsidRPr="0026000A">
        <w:rPr>
          <w:szCs w:val="22"/>
          <w:bdr w:val="nil"/>
          <w:lang w:val="cs-CZ"/>
        </w:rPr>
        <w:t xml:space="preserve"> ve prospěch přípravku </w:t>
      </w:r>
      <w:proofErr w:type="spellStart"/>
      <w:r w:rsidRPr="0026000A">
        <w:rPr>
          <w:szCs w:val="22"/>
          <w:bdr w:val="nil"/>
          <w:lang w:val="cs-CZ"/>
        </w:rPr>
        <w:t>Stivarga</w:t>
      </w:r>
      <w:proofErr w:type="spellEnd"/>
      <w:r w:rsidRPr="0026000A">
        <w:rPr>
          <w:szCs w:val="22"/>
          <w:bdr w:val="nil"/>
          <w:lang w:val="cs-CZ"/>
        </w:rPr>
        <w:tab/>
      </w:r>
    </w:p>
    <w:p w14:paraId="7D45788F" w14:textId="77777777" w:rsidR="005D76B2" w:rsidRPr="0026000A" w:rsidRDefault="005D76B2" w:rsidP="00D707AB">
      <w:pPr>
        <w:spacing w:after="0"/>
        <w:rPr>
          <w:szCs w:val="22"/>
          <w:lang w:val="cs-CZ"/>
        </w:rPr>
      </w:pPr>
      <w:r w:rsidRPr="0026000A">
        <w:rPr>
          <w:szCs w:val="22"/>
          <w:bdr w:val="nil"/>
          <w:lang w:val="cs-CZ"/>
        </w:rPr>
        <w:t xml:space="preserve">** </w:t>
      </w:r>
      <w:r w:rsidRPr="0026000A">
        <w:rPr>
          <w:szCs w:val="22"/>
          <w:bdr w:val="nil"/>
          <w:lang w:val="cs-CZ"/>
        </w:rPr>
        <w:tab/>
      </w:r>
      <w:r w:rsidR="00902AC5">
        <w:rPr>
          <w:szCs w:val="22"/>
          <w:bdr w:val="nil"/>
          <w:lang w:val="cs-CZ"/>
        </w:rPr>
        <w:t>N</w:t>
      </w:r>
      <w:r w:rsidRPr="0026000A">
        <w:rPr>
          <w:szCs w:val="22"/>
          <w:bdr w:val="nil"/>
          <w:lang w:val="cs-CZ"/>
        </w:rPr>
        <w:t>a základě posouzení nádorové odpovědi zkoušejícím dle kritérií RECIST</w:t>
      </w:r>
    </w:p>
    <w:p w14:paraId="7D457890" w14:textId="77777777" w:rsidR="005D76B2" w:rsidRPr="0026000A" w:rsidRDefault="005D76B2" w:rsidP="00D707AB">
      <w:pPr>
        <w:spacing w:after="0"/>
        <w:rPr>
          <w:szCs w:val="22"/>
          <w:lang w:val="cs-CZ"/>
        </w:rPr>
      </w:pPr>
      <w:r w:rsidRPr="0026000A">
        <w:rPr>
          <w:szCs w:val="22"/>
          <w:bdr w:val="nil"/>
          <w:lang w:val="cs-CZ"/>
        </w:rPr>
        <w:t>#</w:t>
      </w:r>
      <w:r w:rsidRPr="0026000A">
        <w:rPr>
          <w:szCs w:val="22"/>
          <w:bdr w:val="nil"/>
          <w:lang w:val="cs-CZ"/>
        </w:rPr>
        <w:tab/>
      </w:r>
      <w:r w:rsidR="00677AF0" w:rsidRPr="00C87CCD">
        <w:rPr>
          <w:szCs w:val="22"/>
          <w:bdr w:val="nil"/>
          <w:lang w:val="cs-CZ"/>
        </w:rPr>
        <w:t>Míra</w:t>
      </w:r>
      <w:r w:rsidRPr="0026000A">
        <w:rPr>
          <w:szCs w:val="22"/>
          <w:bdr w:val="nil"/>
          <w:lang w:val="cs-CZ"/>
        </w:rPr>
        <w:t xml:space="preserve"> odpovědi (úplná nebo částečná odpověď), </w:t>
      </w:r>
      <w:r w:rsidR="00677AF0" w:rsidRPr="00C87CCD">
        <w:rPr>
          <w:szCs w:val="22"/>
          <w:bdr w:val="nil"/>
          <w:lang w:val="cs-CZ"/>
        </w:rPr>
        <w:t>Míra</w:t>
      </w:r>
      <w:r w:rsidRPr="0026000A">
        <w:rPr>
          <w:szCs w:val="22"/>
          <w:bdr w:val="nil"/>
          <w:lang w:val="cs-CZ"/>
        </w:rPr>
        <w:t xml:space="preserve"> kontroly onemocnění (úplná odpověď, částečná odpověď a stabilní onemocnění trvající 6 týdnů)</w:t>
      </w:r>
    </w:p>
    <w:p w14:paraId="7D457891" w14:textId="77777777" w:rsidR="005D76B2" w:rsidRPr="0026000A" w:rsidRDefault="005D76B2" w:rsidP="00D707AB">
      <w:pPr>
        <w:keepNext/>
        <w:rPr>
          <w:rFonts w:eastAsia="MS Mincho"/>
          <w:b/>
          <w:szCs w:val="22"/>
          <w:lang w:val="cs-CZ" w:eastAsia="en-US"/>
        </w:rPr>
      </w:pPr>
      <w:r w:rsidRPr="0026000A">
        <w:rPr>
          <w:b/>
          <w:bCs/>
          <w:szCs w:val="22"/>
          <w:bdr w:val="nil"/>
          <w:lang w:val="cs-CZ" w:eastAsia="en-US"/>
        </w:rPr>
        <w:t>Obrázek 4: Kaplan-</w:t>
      </w:r>
      <w:proofErr w:type="spellStart"/>
      <w:r w:rsidRPr="0026000A">
        <w:rPr>
          <w:b/>
          <w:bCs/>
          <w:szCs w:val="22"/>
          <w:bdr w:val="nil"/>
          <w:lang w:val="cs-CZ" w:eastAsia="en-US"/>
        </w:rPr>
        <w:t>Meierovy</w:t>
      </w:r>
      <w:proofErr w:type="spellEnd"/>
      <w:r w:rsidRPr="0026000A">
        <w:rPr>
          <w:b/>
          <w:bCs/>
          <w:szCs w:val="22"/>
          <w:bdr w:val="nil"/>
          <w:lang w:val="cs-CZ" w:eastAsia="en-US"/>
        </w:rPr>
        <w:t xml:space="preserve"> křivky celkového přežití</w:t>
      </w:r>
    </w:p>
    <w:p w14:paraId="7D457892" w14:textId="376D31E1" w:rsidR="005D76B2" w:rsidRPr="0026000A" w:rsidRDefault="00297C82" w:rsidP="00D707AB">
      <w:pPr>
        <w:spacing w:after="0"/>
        <w:rPr>
          <w:b/>
          <w:sz w:val="24"/>
          <w:lang w:val="cs-CZ" w:eastAsia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57C0F" wp14:editId="71752DDB">
                <wp:simplePos x="0" y="0"/>
                <wp:positionH relativeFrom="column">
                  <wp:posOffset>3487420</wp:posOffset>
                </wp:positionH>
                <wp:positionV relativeFrom="paragraph">
                  <wp:posOffset>193040</wp:posOffset>
                </wp:positionV>
                <wp:extent cx="1541780" cy="481965"/>
                <wp:effectExtent l="0" t="0" r="0" b="0"/>
                <wp:wrapNone/>
                <wp:docPr id="1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57C41" w14:textId="77777777" w:rsidR="00C96C26" w:rsidRDefault="00C96C26" w:rsidP="00BB4F4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 xml:space="preserve">                          </w:t>
                            </w:r>
                            <w:r w:rsidRPr="00BB4F43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>STIVARGA</w:t>
                            </w:r>
                            <w:r w:rsidRPr="007972C5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 xml:space="preserve"> (n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>=</w:t>
                            </w:r>
                            <w:r w:rsidRPr="007972C5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 xml:space="preserve"> 379)</w:t>
                            </w:r>
                          </w:p>
                          <w:p w14:paraId="7D457C42" w14:textId="77777777" w:rsidR="00C96C26" w:rsidRPr="00BB4F43" w:rsidRDefault="00C96C26" w:rsidP="00BB4F4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</w:pPr>
                            <w:r w:rsidRPr="00BB4F4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>..</w:t>
                            </w:r>
                            <w:r w:rsidRPr="00BB4F4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 xml:space="preserve">  </w:t>
                            </w:r>
                            <w:r w:rsidRPr="00BB4F43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 xml:space="preserve">Placebo (n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>=</w:t>
                            </w:r>
                            <w:r w:rsidRPr="00BB4F43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 xml:space="preserve"> 194)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7C0F" id="Text Box 51" o:spid="_x0000_s1043" type="#_x0000_t202" style="position:absolute;margin-left:274.6pt;margin-top:15.2pt;width:121.4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">
                <v:textbox>
                  <w:txbxContent>
                    <w:p w14:paraId="7D457C41" w14:textId="77777777" w:rsidR="00C96C26" w:rsidRDefault="00C96C26" w:rsidP="00BB4F4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 xml:space="preserve">                          </w:t>
                      </w:r>
                      <w:r w:rsidRPr="00BB4F43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>STIVARGA</w:t>
                      </w:r>
                      <w:r w:rsidRPr="007972C5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 xml:space="preserve"> (n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>=</w:t>
                      </w:r>
                      <w:r w:rsidRPr="007972C5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 xml:space="preserve"> 379)</w:t>
                      </w:r>
                    </w:p>
                    <w:p w14:paraId="7D457C42" w14:textId="77777777" w:rsidR="00C96C26" w:rsidRPr="00BB4F43" w:rsidRDefault="00C96C26" w:rsidP="00BB4F4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</w:pPr>
                      <w:r w:rsidRPr="00BB4F43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bscript"/>
                          <w:lang w:val="cs-CZ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bscript"/>
                          <w:lang w:val="cs-CZ"/>
                        </w:rPr>
                        <w:t>..</w:t>
                      </w:r>
                      <w:r w:rsidRPr="00BB4F43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bscript"/>
                          <w:lang w:val="cs-CZ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 xml:space="preserve">  </w:t>
                      </w:r>
                      <w:r w:rsidRPr="00BB4F43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 xml:space="preserve">Placebo (n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>=</w:t>
                      </w:r>
                      <w:r w:rsidRPr="00BB4F43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 xml:space="preserve"> 194)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57C0E" wp14:editId="06707651">
                <wp:simplePos x="0" y="0"/>
                <wp:positionH relativeFrom="column">
                  <wp:posOffset>3582670</wp:posOffset>
                </wp:positionH>
                <wp:positionV relativeFrom="paragraph">
                  <wp:posOffset>329565</wp:posOffset>
                </wp:positionV>
                <wp:extent cx="382270" cy="635"/>
                <wp:effectExtent l="0" t="0" r="0" b="0"/>
                <wp:wrapNone/>
                <wp:docPr id="1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9E0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282.1pt;margin-top:25.95pt;width:30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57C10" wp14:editId="6CDC442E">
                <wp:simplePos x="0" y="0"/>
                <wp:positionH relativeFrom="column">
                  <wp:posOffset>95885</wp:posOffset>
                </wp:positionH>
                <wp:positionV relativeFrom="paragraph">
                  <wp:posOffset>3164840</wp:posOffset>
                </wp:positionV>
                <wp:extent cx="1023620" cy="200025"/>
                <wp:effectExtent l="0" t="0" r="0" b="0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57C43" w14:textId="77777777" w:rsidR="00C96C26" w:rsidRPr="00BB4F43" w:rsidRDefault="00C96C26" w:rsidP="00BB4F43">
                            <w:pPr>
                              <w:shd w:val="clear" w:color="auto" w:fill="FFFFFF"/>
                              <w:rPr>
                                <w:lang w:val="cs-CZ"/>
                              </w:rPr>
                            </w:pPr>
                            <w:r w:rsidRPr="002B3DDC">
                              <w:rPr>
                                <w:sz w:val="16"/>
                                <w:szCs w:val="16"/>
                                <w:lang w:val="cs-CZ"/>
                              </w:rPr>
                              <w:t>Rizikoví pacienti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7C10" id="Text Box 43" o:spid="_x0000_s1044" type="#_x0000_t202" style="position:absolute;margin-left:7.55pt;margin-top:249.2pt;width:80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" strokecolor="white">
                <v:textbox>
                  <w:txbxContent>
                    <w:p w14:paraId="7D457C43" w14:textId="77777777" w:rsidR="00C96C26" w:rsidRPr="00BB4F43" w:rsidRDefault="00C96C26" w:rsidP="00BB4F43">
                      <w:pPr>
                        <w:shd w:val="clear" w:color="auto" w:fill="FFFFFF"/>
                        <w:rPr>
                          <w:lang w:val="cs-CZ"/>
                        </w:rPr>
                      </w:pPr>
                      <w:r w:rsidRPr="002B3DDC">
                        <w:rPr>
                          <w:sz w:val="16"/>
                          <w:szCs w:val="16"/>
                          <w:lang w:val="cs-CZ"/>
                        </w:rPr>
                        <w:t>Rizikoví pacienti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57C11" wp14:editId="5DAA44A0">
                <wp:simplePos x="0" y="0"/>
                <wp:positionH relativeFrom="column">
                  <wp:posOffset>1966595</wp:posOffset>
                </wp:positionH>
                <wp:positionV relativeFrom="paragraph">
                  <wp:posOffset>3164840</wp:posOffset>
                </wp:positionV>
                <wp:extent cx="1752600" cy="200025"/>
                <wp:effectExtent l="0" t="0" r="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7C44" w14:textId="77777777" w:rsidR="00C96C26" w:rsidRPr="002B3DDC" w:rsidRDefault="00C96C26" w:rsidP="009E4F8D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proofErr w:type="spellStart"/>
                            <w:r w:rsidRPr="002B3DDC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Měsíce</w:t>
                            </w:r>
                            <w:proofErr w:type="spellEnd"/>
                            <w:r w:rsidRPr="002B3DDC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 xml:space="preserve"> od </w:t>
                            </w:r>
                            <w:proofErr w:type="spellStart"/>
                            <w:r w:rsidRPr="002B3DDC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randomizace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7C11" id="Text Box 36" o:spid="_x0000_s1045" type="#_x0000_t202" style="position:absolute;margin-left:154.85pt;margin-top:249.2pt;width:1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" stroked="f">
                <v:textbox>
                  <w:txbxContent>
                    <w:p w14:paraId="7D457C44" w14:textId="77777777" w:rsidR="00C96C26" w:rsidRPr="002B3DDC" w:rsidRDefault="00C96C26" w:rsidP="009E4F8D">
                      <w:pPr>
                        <w:jc w:val="center"/>
                        <w:rPr>
                          <w:sz w:val="12"/>
                        </w:rPr>
                      </w:pPr>
                      <w:proofErr w:type="spellStart"/>
                      <w:r w:rsidRPr="002B3DDC">
                        <w:rPr>
                          <w:rFonts w:ascii="Arial" w:hAnsi="Arial" w:cs="Arial"/>
                          <w:sz w:val="12"/>
                          <w:szCs w:val="16"/>
                        </w:rPr>
                        <w:t>Měsíce</w:t>
                      </w:r>
                      <w:proofErr w:type="spellEnd"/>
                      <w:r w:rsidRPr="002B3DDC">
                        <w:rPr>
                          <w:rFonts w:ascii="Arial" w:hAnsi="Arial" w:cs="Arial"/>
                          <w:sz w:val="12"/>
                          <w:szCs w:val="16"/>
                        </w:rPr>
                        <w:t xml:space="preserve"> od </w:t>
                      </w:r>
                      <w:proofErr w:type="spellStart"/>
                      <w:r w:rsidRPr="002B3DDC">
                        <w:rPr>
                          <w:rFonts w:ascii="Arial" w:hAnsi="Arial" w:cs="Arial"/>
                          <w:sz w:val="12"/>
                          <w:szCs w:val="16"/>
                        </w:rPr>
                        <w:t>randomizace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57C12" wp14:editId="6DC1F3F3">
                <wp:simplePos x="0" y="0"/>
                <wp:positionH relativeFrom="column">
                  <wp:posOffset>33020</wp:posOffset>
                </wp:positionH>
                <wp:positionV relativeFrom="paragraph">
                  <wp:posOffset>675005</wp:posOffset>
                </wp:positionV>
                <wp:extent cx="267335" cy="1949450"/>
                <wp:effectExtent l="0" t="0" r="0" b="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7C45" w14:textId="77777777" w:rsidR="00C96C26" w:rsidRPr="002B6694" w:rsidRDefault="00C96C26" w:rsidP="009E4F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Pravděpodobnost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celkového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přežití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(%)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57C12" id="Text Box 34" o:spid="_x0000_s1046" type="#_x0000_t202" style="position:absolute;margin-left:2.6pt;margin-top:53.15pt;width:21.05pt;height:15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" stroked="f">
                <v:textbox style="layout-flow:vertical;mso-layout-flow-alt:bottom-to-top" inset="0,0,0,0">
                  <w:txbxContent>
                    <w:p w14:paraId="7D457C45" w14:textId="77777777" w:rsidR="00C96C26" w:rsidRPr="002B6694" w:rsidRDefault="00C96C26" w:rsidP="009E4F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Pravděpodobnost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celkového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přežití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val="cs-CZ" w:eastAsia="cs-CZ"/>
        </w:rPr>
        <w:drawing>
          <wp:inline distT="0" distB="0" distL="0" distR="0" wp14:anchorId="7D457C13" wp14:editId="170AED10">
            <wp:extent cx="5138420" cy="3684905"/>
            <wp:effectExtent l="0" t="0" r="5080" b="0"/>
            <wp:docPr id="5" name="Obrázek 2" descr="Figure 5 KM curve 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igure 5 KM curve O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7893" w14:textId="77777777" w:rsidR="005D76B2" w:rsidRPr="0026000A" w:rsidRDefault="005D76B2" w:rsidP="00D707AB">
      <w:pPr>
        <w:spacing w:after="0"/>
        <w:rPr>
          <w:b/>
          <w:sz w:val="24"/>
          <w:lang w:val="cs-CZ" w:eastAsia="en-US"/>
        </w:rPr>
      </w:pPr>
    </w:p>
    <w:p w14:paraId="7D457894" w14:textId="77777777" w:rsidR="005D76B2" w:rsidRPr="0026000A" w:rsidRDefault="005D76B2" w:rsidP="00D707AB">
      <w:pPr>
        <w:keepNext/>
        <w:rPr>
          <w:rFonts w:eastAsia="MS Mincho"/>
          <w:b/>
          <w:szCs w:val="22"/>
          <w:lang w:val="cs-CZ" w:eastAsia="en-US"/>
        </w:rPr>
      </w:pPr>
      <w:r w:rsidRPr="0026000A">
        <w:rPr>
          <w:b/>
          <w:bCs/>
          <w:szCs w:val="22"/>
          <w:bdr w:val="nil"/>
          <w:lang w:val="cs-CZ" w:eastAsia="en-US"/>
        </w:rPr>
        <w:lastRenderedPageBreak/>
        <w:t>Obrázek 5: Kaplan-</w:t>
      </w:r>
      <w:proofErr w:type="spellStart"/>
      <w:r w:rsidRPr="0026000A">
        <w:rPr>
          <w:b/>
          <w:bCs/>
          <w:szCs w:val="22"/>
          <w:bdr w:val="nil"/>
          <w:lang w:val="cs-CZ" w:eastAsia="en-US"/>
        </w:rPr>
        <w:t>Meierovy</w:t>
      </w:r>
      <w:proofErr w:type="spellEnd"/>
      <w:r w:rsidRPr="0026000A">
        <w:rPr>
          <w:b/>
          <w:bCs/>
          <w:szCs w:val="22"/>
          <w:bdr w:val="nil"/>
          <w:lang w:val="cs-CZ" w:eastAsia="en-US"/>
        </w:rPr>
        <w:t xml:space="preserve"> křivky přežití bez progrese (</w:t>
      </w:r>
      <w:proofErr w:type="spellStart"/>
      <w:r w:rsidRPr="0026000A">
        <w:rPr>
          <w:b/>
          <w:bCs/>
          <w:szCs w:val="22"/>
          <w:bdr w:val="nil"/>
          <w:lang w:val="cs-CZ" w:eastAsia="en-US"/>
        </w:rPr>
        <w:t>mRECIST</w:t>
      </w:r>
      <w:proofErr w:type="spellEnd"/>
      <w:r w:rsidRPr="0026000A">
        <w:rPr>
          <w:b/>
          <w:bCs/>
          <w:szCs w:val="22"/>
          <w:bdr w:val="nil"/>
          <w:lang w:val="cs-CZ" w:eastAsia="en-US"/>
        </w:rPr>
        <w:t>)</w:t>
      </w:r>
    </w:p>
    <w:p w14:paraId="7D457895" w14:textId="05A9FAA2" w:rsidR="005D76B2" w:rsidRPr="0026000A" w:rsidRDefault="00297C82" w:rsidP="00D707AB">
      <w:pPr>
        <w:keepNext/>
        <w:rPr>
          <w:rFonts w:eastAsia="MS Mincho"/>
          <w:b/>
          <w:szCs w:val="22"/>
          <w:lang w:val="cs-CZ" w:eastAsia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457C14" wp14:editId="09E0870F">
                <wp:simplePos x="0" y="0"/>
                <wp:positionH relativeFrom="column">
                  <wp:posOffset>3855720</wp:posOffset>
                </wp:positionH>
                <wp:positionV relativeFrom="paragraph">
                  <wp:posOffset>299720</wp:posOffset>
                </wp:positionV>
                <wp:extent cx="361950" cy="0"/>
                <wp:effectExtent l="0" t="0" r="0" b="0"/>
                <wp:wrapNone/>
                <wp:docPr id="1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964C" id="AutoShape 58" o:spid="_x0000_s1026" type="#_x0000_t32" style="position:absolute;margin-left:303.6pt;margin-top:23.6pt;width:28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9ZtwEAAFU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57C15" wp14:editId="7742CB73">
                <wp:simplePos x="0" y="0"/>
                <wp:positionH relativeFrom="column">
                  <wp:posOffset>3760470</wp:posOffset>
                </wp:positionH>
                <wp:positionV relativeFrom="paragraph">
                  <wp:posOffset>191135</wp:posOffset>
                </wp:positionV>
                <wp:extent cx="1384935" cy="476885"/>
                <wp:effectExtent l="0" t="0" r="0" b="0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57C46" w14:textId="77777777" w:rsidR="00C96C26" w:rsidRDefault="00C96C26" w:rsidP="007972C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 xml:space="preserve"> </w:t>
                            </w:r>
                            <w:r w:rsidRPr="00990B67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>STIVARGA</w:t>
                            </w:r>
                            <w:r w:rsidRPr="007972C5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 xml:space="preserve"> (n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>=</w:t>
                            </w:r>
                            <w:r w:rsidRPr="007972C5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 xml:space="preserve"> 379)</w:t>
                            </w:r>
                          </w:p>
                          <w:p w14:paraId="7D457C47" w14:textId="77777777" w:rsidR="00C96C26" w:rsidRPr="00990B67" w:rsidRDefault="00C96C26" w:rsidP="007972C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</w:pPr>
                            <w:r w:rsidRPr="00BB4F4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 xml:space="preserve">………………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 xml:space="preserve"> </w:t>
                            </w:r>
                            <w:r w:rsidRPr="00990B67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 xml:space="preserve">Placebo (n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>=</w:t>
                            </w:r>
                            <w:r w:rsidRPr="00990B67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cs-CZ"/>
                              </w:rPr>
                              <w:t xml:space="preserve"> 194)</w:t>
                            </w:r>
                          </w:p>
                          <w:p w14:paraId="7D457C48" w14:textId="77777777" w:rsidR="00C96C26" w:rsidRDefault="00C96C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7C15" id="Text Box 57" o:spid="_x0000_s1047" type="#_x0000_t202" style="position:absolute;margin-left:296.1pt;margin-top:15.05pt;width:109.05pt;height: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">
                <v:textbox>
                  <w:txbxContent>
                    <w:p w14:paraId="7D457C46" w14:textId="77777777" w:rsidR="00C96C26" w:rsidRDefault="00C96C26" w:rsidP="007972C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bscript"/>
                          <w:lang w:val="cs-CZ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 xml:space="preserve"> </w:t>
                      </w:r>
                      <w:r w:rsidRPr="00990B67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>STIVARGA</w:t>
                      </w:r>
                      <w:r w:rsidRPr="007972C5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 xml:space="preserve"> (n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>=</w:t>
                      </w:r>
                      <w:r w:rsidRPr="007972C5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 xml:space="preserve"> 379)</w:t>
                      </w:r>
                    </w:p>
                    <w:p w14:paraId="7D457C47" w14:textId="77777777" w:rsidR="00C96C26" w:rsidRPr="00990B67" w:rsidRDefault="00C96C26" w:rsidP="007972C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</w:pPr>
                      <w:r w:rsidRPr="00BB4F43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bscript"/>
                          <w:lang w:val="cs-CZ"/>
                        </w:rPr>
                        <w:t xml:space="preserve">………………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 xml:space="preserve"> </w:t>
                      </w:r>
                      <w:r w:rsidRPr="00990B67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 xml:space="preserve">Placebo (n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>=</w:t>
                      </w:r>
                      <w:r w:rsidRPr="00990B67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cs-CZ"/>
                        </w:rPr>
                        <w:t xml:space="preserve"> 194)</w:t>
                      </w:r>
                    </w:p>
                    <w:p w14:paraId="7D457C48" w14:textId="77777777" w:rsidR="00C96C26" w:rsidRDefault="00C96C26"/>
                  </w:txbxContent>
                </v:textbox>
              </v:shap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57C16" wp14:editId="58278F33">
                <wp:simplePos x="0" y="0"/>
                <wp:positionH relativeFrom="column">
                  <wp:posOffset>95885</wp:posOffset>
                </wp:positionH>
                <wp:positionV relativeFrom="paragraph">
                  <wp:posOffset>3220720</wp:posOffset>
                </wp:positionV>
                <wp:extent cx="1180465" cy="247650"/>
                <wp:effectExtent l="0" t="0" r="0" b="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7C49" w14:textId="77777777" w:rsidR="00C96C26" w:rsidRPr="002B3DDC" w:rsidRDefault="00C96C26" w:rsidP="002B5102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2B3DDC">
                              <w:rPr>
                                <w:sz w:val="16"/>
                                <w:szCs w:val="16"/>
                                <w:lang w:val="cs-CZ"/>
                              </w:rPr>
                              <w:t>Rizikoví pacienti</w:t>
                            </w:r>
                          </w:p>
                          <w:p w14:paraId="7D457C4A" w14:textId="77777777" w:rsidR="00C96C26" w:rsidRPr="002B3DDC" w:rsidRDefault="00C96C26" w:rsidP="002B3DDC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7C16" id="Text Box 41" o:spid="_x0000_s1048" type="#_x0000_t202" style="position:absolute;margin-left:7.55pt;margin-top:253.6pt;width:92.9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" stroked="f">
                <v:textbox>
                  <w:txbxContent>
                    <w:p w14:paraId="7D457C49" w14:textId="77777777" w:rsidR="00C96C26" w:rsidRPr="002B3DDC" w:rsidRDefault="00C96C26" w:rsidP="002B5102">
                      <w:pPr>
                        <w:rPr>
                          <w:sz w:val="16"/>
                          <w:szCs w:val="16"/>
                          <w:lang w:val="cs-CZ"/>
                        </w:rPr>
                      </w:pPr>
                      <w:r w:rsidRPr="002B3DDC">
                        <w:rPr>
                          <w:sz w:val="16"/>
                          <w:szCs w:val="16"/>
                          <w:lang w:val="cs-CZ"/>
                        </w:rPr>
                        <w:t>Rizikoví pacienti</w:t>
                      </w:r>
                    </w:p>
                    <w:p w14:paraId="7D457C4A" w14:textId="77777777" w:rsidR="00C96C26" w:rsidRPr="002B3DDC" w:rsidRDefault="00C96C26" w:rsidP="002B3DDC">
                      <w:pPr>
                        <w:rPr>
                          <w:sz w:val="16"/>
                          <w:szCs w:val="16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57C17" wp14:editId="7A0DCFB7">
                <wp:simplePos x="0" y="0"/>
                <wp:positionH relativeFrom="column">
                  <wp:posOffset>2052320</wp:posOffset>
                </wp:positionH>
                <wp:positionV relativeFrom="paragraph">
                  <wp:posOffset>3220720</wp:posOffset>
                </wp:positionV>
                <wp:extent cx="1752600" cy="200025"/>
                <wp:effectExtent l="0" t="0" r="0" b="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7C4B" w14:textId="77777777" w:rsidR="00C96C26" w:rsidRPr="002B3DDC" w:rsidRDefault="00C96C26" w:rsidP="009E4F8D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proofErr w:type="spellStart"/>
                            <w:r w:rsidRPr="002B3DDC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Měsíce</w:t>
                            </w:r>
                            <w:proofErr w:type="spellEnd"/>
                            <w:r w:rsidRPr="002B3DDC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 xml:space="preserve"> od </w:t>
                            </w:r>
                            <w:proofErr w:type="spellStart"/>
                            <w:r w:rsidRPr="002B3DDC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randomizace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7C17" id="Text Box 39" o:spid="_x0000_s1049" type="#_x0000_t202" style="position:absolute;margin-left:161.6pt;margin-top:253.6pt;width:13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" stroked="f">
                <v:textbox>
                  <w:txbxContent>
                    <w:p w14:paraId="7D457C4B" w14:textId="77777777" w:rsidR="00C96C26" w:rsidRPr="002B3DDC" w:rsidRDefault="00C96C26" w:rsidP="009E4F8D">
                      <w:pPr>
                        <w:jc w:val="center"/>
                        <w:rPr>
                          <w:sz w:val="12"/>
                        </w:rPr>
                      </w:pPr>
                      <w:proofErr w:type="spellStart"/>
                      <w:r w:rsidRPr="002B3DDC">
                        <w:rPr>
                          <w:rFonts w:ascii="Arial" w:hAnsi="Arial" w:cs="Arial"/>
                          <w:sz w:val="12"/>
                          <w:szCs w:val="16"/>
                        </w:rPr>
                        <w:t>Měsíce</w:t>
                      </w:r>
                      <w:proofErr w:type="spellEnd"/>
                      <w:r w:rsidRPr="002B3DDC">
                        <w:rPr>
                          <w:rFonts w:ascii="Arial" w:hAnsi="Arial" w:cs="Arial"/>
                          <w:sz w:val="12"/>
                          <w:szCs w:val="16"/>
                        </w:rPr>
                        <w:t xml:space="preserve"> od </w:t>
                      </w:r>
                      <w:proofErr w:type="spellStart"/>
                      <w:r w:rsidRPr="002B3DDC">
                        <w:rPr>
                          <w:rFonts w:ascii="Arial" w:hAnsi="Arial" w:cs="Arial"/>
                          <w:sz w:val="12"/>
                          <w:szCs w:val="16"/>
                        </w:rPr>
                        <w:t>randomizace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57C18" wp14:editId="11285B95">
                <wp:simplePos x="0" y="0"/>
                <wp:positionH relativeFrom="column">
                  <wp:posOffset>33020</wp:posOffset>
                </wp:positionH>
                <wp:positionV relativeFrom="paragraph">
                  <wp:posOffset>763270</wp:posOffset>
                </wp:positionV>
                <wp:extent cx="267335" cy="194945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7C4C" w14:textId="77777777" w:rsidR="00C96C26" w:rsidRPr="002B6694" w:rsidRDefault="00C96C26" w:rsidP="009E4F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Pravděpodobnost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celkového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přežití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(%)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57C18" id="Text Box 38" o:spid="_x0000_s1050" type="#_x0000_t202" style="position:absolute;margin-left:2.6pt;margin-top:60.1pt;width:21.05pt;height:1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" stroked="f">
                <v:textbox style="layout-flow:vertical;mso-layout-flow-alt:bottom-to-top" inset="0,0,0,0">
                  <w:txbxContent>
                    <w:p w14:paraId="7D457C4C" w14:textId="77777777" w:rsidR="00C96C26" w:rsidRPr="002B6694" w:rsidRDefault="00C96C26" w:rsidP="009E4F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Pravděpodobnost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celkového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přežití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cs-CZ" w:eastAsia="cs-CZ"/>
        </w:rPr>
        <w:drawing>
          <wp:inline distT="0" distB="0" distL="0" distR="0" wp14:anchorId="7D457C19" wp14:editId="70E70073">
            <wp:extent cx="5254625" cy="3752850"/>
            <wp:effectExtent l="0" t="0" r="3175" b="0"/>
            <wp:docPr id="6" name="Obrázek 1" descr="Figure 6 KM curve PFS mREC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igure 6 KM curve PFS mRECIS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7896" w14:textId="77777777" w:rsidR="005D76B2" w:rsidRDefault="005D76B2" w:rsidP="00D707AB">
      <w:pPr>
        <w:rPr>
          <w:rFonts w:eastAsia="MS Mincho"/>
          <w:b/>
          <w:szCs w:val="22"/>
          <w:lang w:val="cs-CZ" w:eastAsia="en-US"/>
        </w:rPr>
      </w:pPr>
    </w:p>
    <w:p w14:paraId="7D457897" w14:textId="77777777" w:rsidR="005A5139" w:rsidRPr="0026000A" w:rsidRDefault="005A5139" w:rsidP="00D707AB">
      <w:pPr>
        <w:rPr>
          <w:rFonts w:eastAsia="MS Mincho"/>
          <w:b/>
          <w:szCs w:val="22"/>
          <w:lang w:val="cs-CZ" w:eastAsia="en-US"/>
        </w:rPr>
      </w:pPr>
    </w:p>
    <w:p w14:paraId="7D457898" w14:textId="77777777" w:rsidR="00356F6E" w:rsidRPr="005A5139" w:rsidRDefault="00356F6E" w:rsidP="005A5139">
      <w:pPr>
        <w:pStyle w:val="BayerBodyTextFull"/>
        <w:spacing w:before="0" w:after="0"/>
        <w:rPr>
          <w:sz w:val="22"/>
          <w:szCs w:val="22"/>
          <w:u w:val="single"/>
          <w:lang w:val="cs-CZ"/>
        </w:rPr>
      </w:pPr>
      <w:r w:rsidRPr="005A5139">
        <w:rPr>
          <w:sz w:val="22"/>
          <w:szCs w:val="22"/>
          <w:u w:val="single"/>
          <w:lang w:val="cs-CZ"/>
        </w:rPr>
        <w:t>Pediatrická populace</w:t>
      </w:r>
    </w:p>
    <w:p w14:paraId="7D457899" w14:textId="76DDB04C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Evropská agentura pro léčivé přípravky rozhodla o zproštění povinnosti předložit výsledky studií s</w:t>
      </w:r>
      <w:r w:rsidR="002415C8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přípravkem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i/>
          <w:iCs/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>u všech podskupin pediatrické populace v</w:t>
      </w:r>
      <w:r w:rsidR="00ED560C" w:rsidRPr="003D520D">
        <w:rPr>
          <w:sz w:val="22"/>
          <w:szCs w:val="22"/>
          <w:lang w:val="cs-CZ"/>
        </w:rPr>
        <w:t xml:space="preserve"> léčbě adenokarcinomu tlustého střeva a rekta </w:t>
      </w:r>
      <w:r w:rsidRPr="003D520D">
        <w:rPr>
          <w:sz w:val="22"/>
          <w:szCs w:val="22"/>
          <w:lang w:val="cs-CZ"/>
        </w:rPr>
        <w:t xml:space="preserve">(informace o použití u </w:t>
      </w:r>
      <w:r w:rsidR="00F8584E">
        <w:rPr>
          <w:sz w:val="22"/>
          <w:szCs w:val="22"/>
          <w:lang w:val="cs-CZ"/>
        </w:rPr>
        <w:t>pediatrické populace</w:t>
      </w:r>
      <w:r w:rsidRPr="003D520D">
        <w:rPr>
          <w:sz w:val="22"/>
          <w:szCs w:val="22"/>
          <w:lang w:val="cs-CZ"/>
        </w:rPr>
        <w:t xml:space="preserve"> viz bod</w:t>
      </w:r>
      <w:r w:rsidR="002415C8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4.2).</w:t>
      </w:r>
    </w:p>
    <w:p w14:paraId="7D45789A" w14:textId="31C144D4" w:rsidR="00A46737" w:rsidRPr="003D520D" w:rsidRDefault="00A46737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Evropská agentura pro léčivé přípravky udělila odklad povinnosti předložit výsledky studií s přípravkem </w:t>
      </w:r>
      <w:r w:rsidRPr="003D520D">
        <w:rPr>
          <w:noProof/>
          <w:sz w:val="22"/>
          <w:szCs w:val="22"/>
          <w:lang w:val="cs-CZ"/>
        </w:rPr>
        <w:t>Stivarga</w:t>
      </w:r>
      <w:r w:rsidRPr="003D520D">
        <w:rPr>
          <w:sz w:val="22"/>
          <w:szCs w:val="22"/>
          <w:lang w:val="cs-CZ"/>
        </w:rPr>
        <w:t xml:space="preserve"> u jedné nebo více podskupin pediatrické populace v léčbě solidních maligních nádorů (inf</w:t>
      </w:r>
      <w:r w:rsidR="002F392A" w:rsidRPr="003D520D">
        <w:rPr>
          <w:sz w:val="22"/>
          <w:szCs w:val="22"/>
          <w:lang w:val="cs-CZ"/>
        </w:rPr>
        <w:t xml:space="preserve">ormace o použití u </w:t>
      </w:r>
      <w:r w:rsidR="00377697">
        <w:rPr>
          <w:sz w:val="22"/>
          <w:szCs w:val="22"/>
          <w:lang w:val="cs-CZ"/>
        </w:rPr>
        <w:t>pediatrické populace</w:t>
      </w:r>
      <w:r w:rsidR="00377697" w:rsidRPr="003D520D">
        <w:rPr>
          <w:sz w:val="22"/>
          <w:szCs w:val="22"/>
          <w:lang w:val="cs-CZ"/>
        </w:rPr>
        <w:t xml:space="preserve"> </w:t>
      </w:r>
      <w:r w:rsidR="002F392A" w:rsidRPr="003D520D">
        <w:rPr>
          <w:sz w:val="22"/>
          <w:szCs w:val="22"/>
          <w:lang w:val="cs-CZ"/>
        </w:rPr>
        <w:t>viz bod </w:t>
      </w:r>
      <w:r w:rsidRPr="003D520D">
        <w:rPr>
          <w:sz w:val="22"/>
          <w:szCs w:val="22"/>
          <w:lang w:val="cs-CZ"/>
        </w:rPr>
        <w:t>4.2).</w:t>
      </w:r>
    </w:p>
    <w:p w14:paraId="7D45789B" w14:textId="5E7A3E2C" w:rsidR="005A5139" w:rsidRDefault="00155A8E" w:rsidP="005A5139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Evropská agentura pro léčivé přípravky rozhodla o zproštění povinnosti předložit výsledky studií s přípravkem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i/>
          <w:iCs/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 xml:space="preserve">u všech podskupin pediatrické populace v léčbě </w:t>
      </w:r>
      <w:r>
        <w:rPr>
          <w:sz w:val="22"/>
          <w:szCs w:val="22"/>
          <w:lang w:val="cs-CZ"/>
        </w:rPr>
        <w:t>hepatocelulárního karcinomu</w:t>
      </w:r>
      <w:r w:rsidRPr="003D520D">
        <w:rPr>
          <w:sz w:val="22"/>
          <w:szCs w:val="22"/>
          <w:lang w:val="cs-CZ"/>
        </w:rPr>
        <w:t xml:space="preserve"> (informace o použití u </w:t>
      </w:r>
      <w:r w:rsidR="00606D7D">
        <w:rPr>
          <w:sz w:val="22"/>
          <w:szCs w:val="22"/>
          <w:lang w:val="cs-CZ"/>
        </w:rPr>
        <w:t>pediatrické populace</w:t>
      </w:r>
      <w:r w:rsidR="00606D7D" w:rsidRPr="003D520D">
        <w:rPr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>viz bod 4.2).</w:t>
      </w:r>
    </w:p>
    <w:p w14:paraId="7D45789C" w14:textId="77777777" w:rsidR="005A5139" w:rsidRDefault="005A5139" w:rsidP="005A5139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9D" w14:textId="77777777" w:rsidR="00356F6E" w:rsidRPr="005A5139" w:rsidRDefault="005A5139" w:rsidP="0001612B">
      <w:pPr>
        <w:pStyle w:val="BayerBodyTextFull"/>
        <w:spacing w:before="0" w:after="0"/>
        <w:outlineLvl w:val="2"/>
        <w:rPr>
          <w:b/>
          <w:bCs/>
          <w:sz w:val="22"/>
          <w:szCs w:val="22"/>
          <w:lang w:val="cs-CZ"/>
        </w:rPr>
      </w:pPr>
      <w:r w:rsidRPr="005A5139">
        <w:rPr>
          <w:b/>
          <w:bCs/>
          <w:sz w:val="22"/>
          <w:szCs w:val="22"/>
          <w:lang w:val="cs-CZ"/>
        </w:rPr>
        <w:t>5.2.</w:t>
      </w:r>
      <w:r w:rsidRPr="005A5139">
        <w:rPr>
          <w:b/>
          <w:bCs/>
          <w:sz w:val="22"/>
          <w:szCs w:val="22"/>
          <w:lang w:val="cs-CZ"/>
        </w:rPr>
        <w:tab/>
      </w:r>
      <w:r w:rsidR="00356F6E" w:rsidRPr="005A5139">
        <w:rPr>
          <w:b/>
          <w:bCs/>
          <w:sz w:val="22"/>
          <w:szCs w:val="22"/>
          <w:lang w:val="cs-CZ"/>
        </w:rPr>
        <w:t>Farmakokinetické vlastnosti</w:t>
      </w:r>
    </w:p>
    <w:p w14:paraId="7D45789E" w14:textId="77777777" w:rsidR="00356F6E" w:rsidRPr="003D520D" w:rsidRDefault="00356F6E" w:rsidP="00D707AB">
      <w:pPr>
        <w:pStyle w:val="Normlnodsazen"/>
        <w:keepNext/>
        <w:keepLines/>
        <w:spacing w:after="0"/>
        <w:ind w:left="0"/>
        <w:rPr>
          <w:szCs w:val="22"/>
          <w:lang w:val="cs-CZ"/>
        </w:rPr>
      </w:pPr>
    </w:p>
    <w:p w14:paraId="7D45789F" w14:textId="77777777" w:rsidR="00356F6E" w:rsidRPr="003D520D" w:rsidRDefault="00356F6E" w:rsidP="005A5139">
      <w:pPr>
        <w:pStyle w:val="BayerBodyTextFull"/>
        <w:spacing w:before="0" w:after="0"/>
        <w:rPr>
          <w:i/>
          <w:szCs w:val="22"/>
          <w:u w:val="single"/>
          <w:lang w:val="cs-CZ"/>
        </w:rPr>
      </w:pPr>
      <w:r w:rsidRPr="005A5139">
        <w:rPr>
          <w:sz w:val="22"/>
          <w:szCs w:val="22"/>
          <w:u w:val="single"/>
          <w:lang w:val="cs-CZ"/>
        </w:rPr>
        <w:t>Absorpce</w:t>
      </w:r>
    </w:p>
    <w:p w14:paraId="7D4578A0" w14:textId="77777777" w:rsidR="00356F6E" w:rsidRPr="003D520D" w:rsidRDefault="00356F6E" w:rsidP="00D707AB">
      <w:pPr>
        <w:pStyle w:val="BayerBodyTextFull"/>
        <w:tabs>
          <w:tab w:val="left" w:pos="1418"/>
        </w:tabs>
        <w:spacing w:before="0" w:after="0"/>
        <w:ind w:right="-142"/>
        <w:rPr>
          <w:iCs/>
          <w:sz w:val="22"/>
          <w:szCs w:val="22"/>
          <w:lang w:val="cs-CZ"/>
        </w:rPr>
      </w:pPr>
      <w:proofErr w:type="spellStart"/>
      <w:r w:rsidRPr="003D520D">
        <w:rPr>
          <w:sz w:val="22"/>
          <w:szCs w:val="22"/>
          <w:lang w:val="cs-CZ"/>
        </w:rPr>
        <w:t>Regorafenib</w:t>
      </w:r>
      <w:proofErr w:type="spellEnd"/>
      <w:r w:rsidRPr="003D520D">
        <w:rPr>
          <w:sz w:val="22"/>
          <w:szCs w:val="22"/>
          <w:lang w:val="cs-CZ"/>
        </w:rPr>
        <w:t xml:space="preserve"> dosahuje průměrných </w:t>
      </w:r>
      <w:r w:rsidR="00432F40" w:rsidRPr="003D520D">
        <w:rPr>
          <w:sz w:val="22"/>
          <w:szCs w:val="22"/>
          <w:lang w:val="cs-CZ"/>
        </w:rPr>
        <w:t xml:space="preserve">maximálních </w:t>
      </w:r>
      <w:proofErr w:type="gramStart"/>
      <w:r w:rsidRPr="003D520D">
        <w:rPr>
          <w:sz w:val="22"/>
          <w:szCs w:val="22"/>
          <w:lang w:val="cs-CZ"/>
        </w:rPr>
        <w:t>plasmatických</w:t>
      </w:r>
      <w:proofErr w:type="gramEnd"/>
      <w:r w:rsidRPr="003D520D">
        <w:rPr>
          <w:sz w:val="22"/>
          <w:szCs w:val="22"/>
          <w:lang w:val="cs-CZ"/>
        </w:rPr>
        <w:t xml:space="preserve"> hladin 2,5</w:t>
      </w:r>
      <w:r w:rsidR="002415C8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mg/l přibližně 3 až 4</w:t>
      </w:r>
      <w:r w:rsidR="005A4B6B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hodiny po jednorázové perorální dávce 160</w:t>
      </w:r>
      <w:r w:rsidR="002415C8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mg podávané jako 4</w:t>
      </w:r>
      <w:r w:rsidR="002415C8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tablety o obsahu 40</w:t>
      </w:r>
      <w:r w:rsidR="002415C8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mg v jedné tabletě. </w:t>
      </w:r>
      <w:r w:rsidR="005A4B6B" w:rsidRPr="003D520D">
        <w:rPr>
          <w:sz w:val="22"/>
          <w:szCs w:val="22"/>
          <w:lang w:val="cs-CZ"/>
        </w:rPr>
        <w:t>Po jednorázových dávkách 60 mg nebo 100 </w:t>
      </w:r>
      <w:r w:rsidR="007D5348" w:rsidRPr="003D520D">
        <w:rPr>
          <w:sz w:val="22"/>
          <w:szCs w:val="22"/>
          <w:lang w:val="cs-CZ"/>
        </w:rPr>
        <w:t>mg byla p</w:t>
      </w:r>
      <w:r w:rsidRPr="003D520D">
        <w:rPr>
          <w:sz w:val="22"/>
          <w:szCs w:val="22"/>
          <w:lang w:val="cs-CZ"/>
        </w:rPr>
        <w:t>růměrná relativní biologická dostupnost tablet ve srovnání s perorálním roztokem 69</w:t>
      </w:r>
      <w:r w:rsidR="00CC665B">
        <w:rPr>
          <w:sz w:val="22"/>
          <w:szCs w:val="22"/>
          <w:lang w:val="cs-CZ"/>
        </w:rPr>
        <w:t xml:space="preserve"> </w:t>
      </w:r>
      <w:r w:rsidR="00432F40" w:rsidRPr="003D520D">
        <w:rPr>
          <w:sz w:val="22"/>
          <w:szCs w:val="22"/>
          <w:lang w:val="cs-CZ"/>
        </w:rPr>
        <w:t>%, respektive</w:t>
      </w:r>
      <w:r w:rsidR="007D5348" w:rsidRPr="003D520D">
        <w:rPr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>83</w:t>
      </w:r>
      <w:r w:rsidR="002415C8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%.</w:t>
      </w:r>
    </w:p>
    <w:p w14:paraId="7D4578A1" w14:textId="77777777" w:rsidR="00356F6E" w:rsidRPr="003D520D" w:rsidRDefault="00356F6E" w:rsidP="00D707AB">
      <w:pPr>
        <w:pStyle w:val="BayerBodyTextFull"/>
        <w:tabs>
          <w:tab w:val="left" w:pos="1418"/>
        </w:tabs>
        <w:spacing w:before="0" w:after="0"/>
        <w:rPr>
          <w:iCs/>
          <w:sz w:val="22"/>
          <w:szCs w:val="22"/>
          <w:lang w:val="cs-CZ"/>
        </w:rPr>
      </w:pPr>
    </w:p>
    <w:p w14:paraId="7D4578A2" w14:textId="77777777" w:rsidR="00356F6E" w:rsidRPr="003D520D" w:rsidRDefault="00356F6E" w:rsidP="00D707AB">
      <w:pPr>
        <w:pStyle w:val="BayerBodyTextFull"/>
        <w:tabs>
          <w:tab w:val="left" w:pos="1418"/>
        </w:tabs>
        <w:spacing w:before="0" w:after="0"/>
        <w:rPr>
          <w:iCs/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Koncentrace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a jeho hlavních </w:t>
      </w:r>
      <w:r w:rsidR="00C02DE9" w:rsidRPr="003D520D">
        <w:rPr>
          <w:sz w:val="22"/>
          <w:szCs w:val="22"/>
          <w:lang w:val="cs-CZ"/>
        </w:rPr>
        <w:t xml:space="preserve">farmakologicky aktivních </w:t>
      </w:r>
      <w:r w:rsidRPr="003D520D">
        <w:rPr>
          <w:sz w:val="22"/>
          <w:szCs w:val="22"/>
          <w:lang w:val="cs-CZ"/>
        </w:rPr>
        <w:t xml:space="preserve">metabolitů </w:t>
      </w:r>
      <w:r w:rsidR="005A4B6B" w:rsidRPr="003D520D">
        <w:rPr>
          <w:sz w:val="22"/>
          <w:szCs w:val="22"/>
          <w:lang w:val="cs-CZ"/>
        </w:rPr>
        <w:t>(M</w:t>
      </w:r>
      <w:r w:rsidR="005A4B6B" w:rsidRPr="003D520D">
        <w:rPr>
          <w:sz w:val="22"/>
          <w:szCs w:val="22"/>
          <w:lang w:val="cs-CZ"/>
        </w:rPr>
        <w:noBreakHyphen/>
        <w:t>2 a M</w:t>
      </w:r>
      <w:r w:rsidR="005A4B6B" w:rsidRPr="003D520D">
        <w:rPr>
          <w:sz w:val="22"/>
          <w:szCs w:val="22"/>
          <w:lang w:val="cs-CZ"/>
        </w:rPr>
        <w:noBreakHyphen/>
      </w:r>
      <w:r w:rsidR="00C02DE9" w:rsidRPr="003D520D">
        <w:rPr>
          <w:sz w:val="22"/>
          <w:szCs w:val="22"/>
          <w:lang w:val="cs-CZ"/>
        </w:rPr>
        <w:t xml:space="preserve">5) </w:t>
      </w:r>
      <w:r w:rsidRPr="003D520D">
        <w:rPr>
          <w:sz w:val="22"/>
          <w:szCs w:val="22"/>
          <w:lang w:val="cs-CZ"/>
        </w:rPr>
        <w:t xml:space="preserve">byly nejvyšší, když byl podáván po nízkotučné (lehké) snídani ve srovnání </w:t>
      </w:r>
      <w:r w:rsidR="00C02DE9" w:rsidRPr="003D520D">
        <w:rPr>
          <w:sz w:val="22"/>
          <w:szCs w:val="22"/>
          <w:lang w:val="cs-CZ"/>
        </w:rPr>
        <w:t xml:space="preserve">buď </w:t>
      </w:r>
      <w:r w:rsidRPr="003D520D">
        <w:rPr>
          <w:sz w:val="22"/>
          <w:szCs w:val="22"/>
          <w:lang w:val="cs-CZ"/>
        </w:rPr>
        <w:t>se snídaní o vysokém obsahu tuku</w:t>
      </w:r>
      <w:r w:rsidR="003378A1" w:rsidRPr="003D520D">
        <w:rPr>
          <w:sz w:val="22"/>
          <w:szCs w:val="22"/>
          <w:lang w:val="cs-CZ"/>
        </w:rPr>
        <w:t>,</w:t>
      </w:r>
      <w:r w:rsidRPr="003D520D">
        <w:rPr>
          <w:sz w:val="22"/>
          <w:szCs w:val="22"/>
          <w:lang w:val="cs-CZ"/>
        </w:rPr>
        <w:t xml:space="preserve"> nebo se stavem nalačno. Expozice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="005A4B6B" w:rsidRPr="003D520D">
        <w:rPr>
          <w:sz w:val="22"/>
          <w:szCs w:val="22"/>
          <w:lang w:val="cs-CZ"/>
        </w:rPr>
        <w:t xml:space="preserve"> se zvýšila o 48 </w:t>
      </w:r>
      <w:r w:rsidR="00C02DE9" w:rsidRPr="003D520D">
        <w:rPr>
          <w:sz w:val="22"/>
          <w:szCs w:val="22"/>
          <w:lang w:val="cs-CZ"/>
        </w:rPr>
        <w:t>%, když byl podáván se snídaní o vysokém obsahu tuku</w:t>
      </w:r>
      <w:r w:rsidR="00432F40" w:rsidRPr="003D520D">
        <w:rPr>
          <w:sz w:val="22"/>
          <w:szCs w:val="22"/>
          <w:lang w:val="cs-CZ"/>
        </w:rPr>
        <w:t>,</w:t>
      </w:r>
      <w:r w:rsidR="00C02DE9" w:rsidRPr="003D520D">
        <w:rPr>
          <w:sz w:val="22"/>
          <w:szCs w:val="22"/>
          <w:lang w:val="cs-CZ"/>
        </w:rPr>
        <w:t xml:space="preserve"> a o </w:t>
      </w:r>
      <w:r w:rsidR="005A4B6B" w:rsidRPr="003D520D">
        <w:rPr>
          <w:sz w:val="22"/>
          <w:szCs w:val="22"/>
          <w:lang w:val="cs-CZ"/>
        </w:rPr>
        <w:t>36 </w:t>
      </w:r>
      <w:r w:rsidR="00C02DE9" w:rsidRPr="003D520D">
        <w:rPr>
          <w:sz w:val="22"/>
          <w:szCs w:val="22"/>
          <w:lang w:val="cs-CZ"/>
        </w:rPr>
        <w:t xml:space="preserve">%, když byl podáván </w:t>
      </w:r>
      <w:r w:rsidRPr="003D520D">
        <w:rPr>
          <w:sz w:val="22"/>
          <w:szCs w:val="22"/>
          <w:lang w:val="cs-CZ"/>
        </w:rPr>
        <w:t>po nízkotučné snídani</w:t>
      </w:r>
      <w:r w:rsidR="00432F40" w:rsidRPr="003D520D">
        <w:rPr>
          <w:sz w:val="22"/>
          <w:szCs w:val="22"/>
          <w:lang w:val="cs-CZ"/>
        </w:rPr>
        <w:t>,</w:t>
      </w:r>
      <w:r w:rsidR="00C02DE9" w:rsidRPr="003D520D">
        <w:rPr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>ve srovnání se stavem nalačno.</w:t>
      </w:r>
      <w:r w:rsidR="005A4B6B" w:rsidRPr="003D520D">
        <w:rPr>
          <w:sz w:val="22"/>
          <w:szCs w:val="22"/>
          <w:lang w:val="cs-CZ"/>
        </w:rPr>
        <w:t xml:space="preserve"> Expozice metabolitům M</w:t>
      </w:r>
      <w:r w:rsidR="005A4B6B" w:rsidRPr="003D520D">
        <w:rPr>
          <w:sz w:val="22"/>
          <w:szCs w:val="22"/>
          <w:lang w:val="cs-CZ"/>
        </w:rPr>
        <w:noBreakHyphen/>
        <w:t>2 (N</w:t>
      </w:r>
      <w:r w:rsidR="005A4B6B" w:rsidRPr="003D520D">
        <w:rPr>
          <w:sz w:val="22"/>
          <w:szCs w:val="22"/>
          <w:lang w:val="cs-CZ"/>
        </w:rPr>
        <w:noBreakHyphen/>
        <w:t>oxid) a M</w:t>
      </w:r>
      <w:r w:rsidR="005A4B6B" w:rsidRPr="003D520D">
        <w:rPr>
          <w:sz w:val="22"/>
          <w:szCs w:val="22"/>
          <w:lang w:val="cs-CZ"/>
        </w:rPr>
        <w:noBreakHyphen/>
        <w:t>5 (N</w:t>
      </w:r>
      <w:r w:rsidR="005A4B6B" w:rsidRPr="003D520D">
        <w:rPr>
          <w:sz w:val="22"/>
          <w:szCs w:val="22"/>
          <w:lang w:val="cs-CZ"/>
        </w:rPr>
        <w:noBreakHyphen/>
        <w:t>oxid a N</w:t>
      </w:r>
      <w:r w:rsidR="005A4B6B" w:rsidRPr="003D520D">
        <w:rPr>
          <w:sz w:val="22"/>
          <w:szCs w:val="22"/>
          <w:lang w:val="cs-CZ"/>
        </w:rPr>
        <w:noBreakHyphen/>
      </w:r>
      <w:proofErr w:type="spellStart"/>
      <w:r w:rsidR="00C02DE9" w:rsidRPr="003D520D">
        <w:rPr>
          <w:sz w:val="22"/>
          <w:szCs w:val="22"/>
          <w:lang w:val="cs-CZ"/>
        </w:rPr>
        <w:t>desmethyl</w:t>
      </w:r>
      <w:proofErr w:type="spellEnd"/>
      <w:r w:rsidR="00C02DE9" w:rsidRPr="003D520D">
        <w:rPr>
          <w:sz w:val="22"/>
          <w:szCs w:val="22"/>
          <w:lang w:val="cs-CZ"/>
        </w:rPr>
        <w:t xml:space="preserve">) je vyšší, když je </w:t>
      </w:r>
      <w:proofErr w:type="spellStart"/>
      <w:r w:rsidR="00C02DE9" w:rsidRPr="003D520D">
        <w:rPr>
          <w:sz w:val="22"/>
          <w:szCs w:val="22"/>
          <w:lang w:val="cs-CZ"/>
        </w:rPr>
        <w:t>regorafenib</w:t>
      </w:r>
      <w:proofErr w:type="spellEnd"/>
      <w:r w:rsidR="00C02DE9" w:rsidRPr="003D520D">
        <w:rPr>
          <w:sz w:val="22"/>
          <w:szCs w:val="22"/>
          <w:lang w:val="cs-CZ"/>
        </w:rPr>
        <w:t xml:space="preserve"> podáván s nízkotučnou snídaní</w:t>
      </w:r>
      <w:r w:rsidR="00432F40" w:rsidRPr="003D520D">
        <w:rPr>
          <w:sz w:val="22"/>
          <w:szCs w:val="22"/>
          <w:lang w:val="cs-CZ"/>
        </w:rPr>
        <w:t>,</w:t>
      </w:r>
      <w:r w:rsidR="00C02DE9" w:rsidRPr="003D520D">
        <w:rPr>
          <w:sz w:val="22"/>
          <w:szCs w:val="22"/>
          <w:lang w:val="cs-CZ"/>
        </w:rPr>
        <w:t xml:space="preserve"> ve srovnání se stavem nalačno</w:t>
      </w:r>
      <w:r w:rsidR="00432F40" w:rsidRPr="003D520D">
        <w:rPr>
          <w:sz w:val="22"/>
          <w:szCs w:val="22"/>
          <w:lang w:val="cs-CZ"/>
        </w:rPr>
        <w:t>,</w:t>
      </w:r>
      <w:r w:rsidR="00C02DE9" w:rsidRPr="003D520D">
        <w:rPr>
          <w:sz w:val="22"/>
          <w:szCs w:val="22"/>
          <w:lang w:val="cs-CZ"/>
        </w:rPr>
        <w:t xml:space="preserve"> a nižší, když je podáván se snídaní o vysokém obsahu tuku</w:t>
      </w:r>
      <w:r w:rsidR="00432F40" w:rsidRPr="003D520D">
        <w:rPr>
          <w:sz w:val="22"/>
          <w:szCs w:val="22"/>
          <w:lang w:val="cs-CZ"/>
        </w:rPr>
        <w:t>,</w:t>
      </w:r>
      <w:r w:rsidR="00C02DE9" w:rsidRPr="003D520D">
        <w:rPr>
          <w:sz w:val="22"/>
          <w:szCs w:val="22"/>
          <w:lang w:val="cs-CZ"/>
        </w:rPr>
        <w:t xml:space="preserve"> ve srovnání se stavem nalačno.</w:t>
      </w:r>
      <w:r w:rsidRPr="003D520D">
        <w:rPr>
          <w:sz w:val="22"/>
          <w:szCs w:val="22"/>
          <w:lang w:val="cs-CZ"/>
        </w:rPr>
        <w:t xml:space="preserve"> </w:t>
      </w:r>
    </w:p>
    <w:p w14:paraId="7D4578A3" w14:textId="77777777" w:rsidR="00356F6E" w:rsidRPr="003D520D" w:rsidRDefault="00356F6E" w:rsidP="00D707AB">
      <w:pPr>
        <w:pStyle w:val="Textkomente"/>
        <w:spacing w:after="0"/>
        <w:rPr>
          <w:sz w:val="22"/>
          <w:szCs w:val="22"/>
          <w:u w:val="single"/>
          <w:lang w:val="cs-CZ"/>
        </w:rPr>
      </w:pPr>
    </w:p>
    <w:p w14:paraId="7D4578A4" w14:textId="77777777" w:rsidR="00356F6E" w:rsidRPr="005A5139" w:rsidRDefault="00356F6E" w:rsidP="005A5139">
      <w:pPr>
        <w:pStyle w:val="BayerBodyTextFull"/>
        <w:spacing w:before="0" w:after="0"/>
        <w:rPr>
          <w:sz w:val="22"/>
          <w:szCs w:val="22"/>
          <w:u w:val="single"/>
          <w:lang w:val="cs-CZ"/>
        </w:rPr>
      </w:pPr>
      <w:r w:rsidRPr="005A5139">
        <w:rPr>
          <w:sz w:val="22"/>
          <w:szCs w:val="22"/>
          <w:u w:val="single"/>
          <w:lang w:val="cs-CZ"/>
        </w:rPr>
        <w:t xml:space="preserve">Distribuce </w:t>
      </w:r>
    </w:p>
    <w:p w14:paraId="7D4578A5" w14:textId="77777777" w:rsidR="00356F6E" w:rsidRPr="003D520D" w:rsidRDefault="00036D62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Časové p</w:t>
      </w:r>
      <w:r w:rsidR="00356F6E" w:rsidRPr="003D520D">
        <w:rPr>
          <w:sz w:val="22"/>
          <w:szCs w:val="22"/>
          <w:lang w:val="cs-CZ"/>
        </w:rPr>
        <w:t xml:space="preserve">rofily koncentrace v </w:t>
      </w:r>
      <w:proofErr w:type="gramStart"/>
      <w:r w:rsidR="00356F6E" w:rsidRPr="003D520D">
        <w:rPr>
          <w:sz w:val="22"/>
          <w:szCs w:val="22"/>
          <w:lang w:val="cs-CZ"/>
        </w:rPr>
        <w:t>plasmě</w:t>
      </w:r>
      <w:proofErr w:type="gramEnd"/>
      <w:r w:rsidR="00356F6E" w:rsidRPr="003D520D">
        <w:rPr>
          <w:sz w:val="22"/>
          <w:szCs w:val="22"/>
          <w:lang w:val="cs-CZ"/>
        </w:rPr>
        <w:t xml:space="preserve"> pro </w:t>
      </w:r>
      <w:proofErr w:type="spellStart"/>
      <w:r w:rsidR="00356F6E" w:rsidRPr="003D520D">
        <w:rPr>
          <w:sz w:val="22"/>
          <w:szCs w:val="22"/>
          <w:lang w:val="cs-CZ"/>
        </w:rPr>
        <w:t>regorafenib</w:t>
      </w:r>
      <w:proofErr w:type="spellEnd"/>
      <w:r w:rsidR="00356F6E" w:rsidRPr="003D520D">
        <w:rPr>
          <w:sz w:val="22"/>
          <w:szCs w:val="22"/>
          <w:lang w:val="cs-CZ"/>
        </w:rPr>
        <w:t xml:space="preserve"> a rovněž pro hlavní cirkulující metabolity prokázaly </w:t>
      </w:r>
      <w:r w:rsidR="00432F40" w:rsidRPr="003D520D">
        <w:rPr>
          <w:sz w:val="22"/>
          <w:szCs w:val="22"/>
          <w:lang w:val="cs-CZ"/>
        </w:rPr>
        <w:t xml:space="preserve">mnohočetná </w:t>
      </w:r>
      <w:r w:rsidR="00356F6E" w:rsidRPr="003D520D">
        <w:rPr>
          <w:sz w:val="22"/>
          <w:szCs w:val="22"/>
          <w:lang w:val="cs-CZ"/>
        </w:rPr>
        <w:t xml:space="preserve">maxima v průběhu 24hodinového dávkovacího intervalu, což je připisováno </w:t>
      </w:r>
      <w:proofErr w:type="spellStart"/>
      <w:r w:rsidR="00356F6E" w:rsidRPr="003D520D">
        <w:rPr>
          <w:sz w:val="22"/>
          <w:szCs w:val="22"/>
          <w:lang w:val="cs-CZ"/>
        </w:rPr>
        <w:t>enterohepatální</w:t>
      </w:r>
      <w:proofErr w:type="spellEnd"/>
      <w:r w:rsidR="00356F6E" w:rsidRPr="003D520D">
        <w:rPr>
          <w:sz w:val="22"/>
          <w:szCs w:val="22"/>
          <w:lang w:val="cs-CZ"/>
        </w:rPr>
        <w:t xml:space="preserve"> cirkulaci.</w:t>
      </w:r>
      <w:r w:rsidR="00432F40" w:rsidRPr="003D520D">
        <w:rPr>
          <w:sz w:val="22"/>
          <w:szCs w:val="22"/>
          <w:lang w:val="cs-CZ"/>
        </w:rPr>
        <w:t xml:space="preserve"> Vazba </w:t>
      </w:r>
      <w:proofErr w:type="spellStart"/>
      <w:r w:rsidR="00432F40" w:rsidRPr="003D520D">
        <w:rPr>
          <w:sz w:val="22"/>
          <w:szCs w:val="22"/>
          <w:lang w:val="cs-CZ"/>
        </w:rPr>
        <w:t>regorafenibu</w:t>
      </w:r>
      <w:proofErr w:type="spellEnd"/>
      <w:r w:rsidR="00432F40" w:rsidRPr="003D520D">
        <w:rPr>
          <w:sz w:val="22"/>
          <w:szCs w:val="22"/>
          <w:lang w:val="cs-CZ"/>
        </w:rPr>
        <w:t xml:space="preserve"> na proteiny lidské </w:t>
      </w:r>
      <w:proofErr w:type="gramStart"/>
      <w:r w:rsidR="00432F40" w:rsidRPr="003D520D">
        <w:rPr>
          <w:sz w:val="22"/>
          <w:szCs w:val="22"/>
          <w:lang w:val="cs-CZ"/>
        </w:rPr>
        <w:t>plasmy</w:t>
      </w:r>
      <w:proofErr w:type="gramEnd"/>
      <w:r w:rsidR="00432F40" w:rsidRPr="003D520D">
        <w:rPr>
          <w:sz w:val="22"/>
          <w:szCs w:val="22"/>
          <w:lang w:val="cs-CZ"/>
        </w:rPr>
        <w:t xml:space="preserve"> je </w:t>
      </w:r>
      <w:r w:rsidR="00432F40" w:rsidRPr="003D520D">
        <w:rPr>
          <w:i/>
          <w:iCs/>
          <w:sz w:val="22"/>
          <w:szCs w:val="22"/>
          <w:lang w:val="cs-CZ"/>
        </w:rPr>
        <w:t>in vitro</w:t>
      </w:r>
      <w:r w:rsidR="00432F40" w:rsidRPr="003D520D">
        <w:rPr>
          <w:sz w:val="22"/>
          <w:szCs w:val="22"/>
          <w:lang w:val="cs-CZ"/>
        </w:rPr>
        <w:t xml:space="preserve"> vysoká (99,5</w:t>
      </w:r>
      <w:r>
        <w:rPr>
          <w:sz w:val="22"/>
          <w:szCs w:val="22"/>
          <w:lang w:val="cs-CZ"/>
        </w:rPr>
        <w:t xml:space="preserve"> </w:t>
      </w:r>
      <w:r w:rsidR="00432F40" w:rsidRPr="003D520D">
        <w:rPr>
          <w:sz w:val="22"/>
          <w:szCs w:val="22"/>
          <w:lang w:val="cs-CZ"/>
        </w:rPr>
        <w:t>%).</w:t>
      </w:r>
      <w:r w:rsidR="00E327EB" w:rsidRPr="003D520D">
        <w:rPr>
          <w:sz w:val="22"/>
          <w:szCs w:val="22"/>
          <w:lang w:val="cs-CZ"/>
        </w:rPr>
        <w:t xml:space="preserve"> </w:t>
      </w:r>
      <w:r w:rsidR="00E327EB" w:rsidRPr="003D520D">
        <w:rPr>
          <w:i/>
          <w:sz w:val="22"/>
          <w:szCs w:val="22"/>
          <w:lang w:val="cs-CZ"/>
        </w:rPr>
        <w:t>In vitro</w:t>
      </w:r>
      <w:r w:rsidR="005A4B6B" w:rsidRPr="003D520D">
        <w:rPr>
          <w:sz w:val="22"/>
          <w:szCs w:val="22"/>
          <w:lang w:val="cs-CZ"/>
        </w:rPr>
        <w:t xml:space="preserve"> vazba na proteiny u M</w:t>
      </w:r>
      <w:r w:rsidR="005A4B6B" w:rsidRPr="003D520D">
        <w:rPr>
          <w:sz w:val="22"/>
          <w:szCs w:val="22"/>
          <w:lang w:val="cs-CZ"/>
        </w:rPr>
        <w:noBreakHyphen/>
        <w:t>2 a M</w:t>
      </w:r>
      <w:r w:rsidR="005A4B6B" w:rsidRPr="003D520D">
        <w:rPr>
          <w:sz w:val="22"/>
          <w:szCs w:val="22"/>
          <w:lang w:val="cs-CZ"/>
        </w:rPr>
        <w:noBreakHyphen/>
        <w:t>5 je vyšší (99,8 %</w:t>
      </w:r>
      <w:r w:rsidR="00432F40" w:rsidRPr="003D520D">
        <w:rPr>
          <w:sz w:val="22"/>
          <w:szCs w:val="22"/>
          <w:lang w:val="cs-CZ"/>
        </w:rPr>
        <w:t>, respektive</w:t>
      </w:r>
      <w:r w:rsidR="005A4B6B" w:rsidRPr="003D520D">
        <w:rPr>
          <w:sz w:val="22"/>
          <w:szCs w:val="22"/>
          <w:lang w:val="cs-CZ"/>
        </w:rPr>
        <w:t xml:space="preserve"> 99,95 </w:t>
      </w:r>
      <w:r w:rsidR="00E327EB" w:rsidRPr="003D520D">
        <w:rPr>
          <w:sz w:val="22"/>
          <w:szCs w:val="22"/>
          <w:lang w:val="cs-CZ"/>
        </w:rPr>
        <w:t xml:space="preserve">%) než u </w:t>
      </w:r>
      <w:proofErr w:type="spellStart"/>
      <w:r w:rsidR="00E327EB" w:rsidRPr="003D520D">
        <w:rPr>
          <w:sz w:val="22"/>
          <w:szCs w:val="22"/>
          <w:lang w:val="cs-CZ"/>
        </w:rPr>
        <w:t>regorafenibu</w:t>
      </w:r>
      <w:proofErr w:type="spellEnd"/>
      <w:r w:rsidR="00E327EB" w:rsidRPr="003D520D">
        <w:rPr>
          <w:sz w:val="22"/>
          <w:szCs w:val="22"/>
          <w:lang w:val="cs-CZ"/>
        </w:rPr>
        <w:t>.</w:t>
      </w:r>
      <w:r w:rsidR="005A4B6B" w:rsidRPr="003D520D">
        <w:rPr>
          <w:sz w:val="22"/>
          <w:szCs w:val="22"/>
          <w:lang w:val="cs-CZ"/>
        </w:rPr>
        <w:t xml:space="preserve"> Metabolity M</w:t>
      </w:r>
      <w:r w:rsidR="005A4B6B" w:rsidRPr="003D520D">
        <w:rPr>
          <w:sz w:val="22"/>
          <w:szCs w:val="22"/>
          <w:lang w:val="cs-CZ"/>
        </w:rPr>
        <w:noBreakHyphen/>
        <w:t>2 a M</w:t>
      </w:r>
      <w:r w:rsidR="005A4B6B" w:rsidRPr="003D520D">
        <w:rPr>
          <w:sz w:val="22"/>
          <w:szCs w:val="22"/>
          <w:lang w:val="cs-CZ"/>
        </w:rPr>
        <w:noBreakHyphen/>
        <w:t>5 jsou slabými substráty P</w:t>
      </w:r>
      <w:r w:rsidR="005A4B6B" w:rsidRPr="003D520D">
        <w:rPr>
          <w:sz w:val="22"/>
          <w:szCs w:val="22"/>
          <w:lang w:val="cs-CZ"/>
        </w:rPr>
        <w:noBreakHyphen/>
      </w:r>
      <w:proofErr w:type="spellStart"/>
      <w:r w:rsidR="00E327EB" w:rsidRPr="003D520D">
        <w:rPr>
          <w:sz w:val="22"/>
          <w:szCs w:val="22"/>
          <w:lang w:val="cs-CZ"/>
        </w:rPr>
        <w:t>gp</w:t>
      </w:r>
      <w:proofErr w:type="spellEnd"/>
      <w:r w:rsidR="00E327EB" w:rsidRPr="003D520D">
        <w:rPr>
          <w:sz w:val="22"/>
          <w:szCs w:val="22"/>
          <w:lang w:val="cs-CZ"/>
        </w:rPr>
        <w:t xml:space="preserve">. Metabolit </w:t>
      </w:r>
      <w:r w:rsidR="005A4B6B" w:rsidRPr="003D520D">
        <w:rPr>
          <w:sz w:val="22"/>
          <w:szCs w:val="22"/>
          <w:lang w:val="cs-CZ"/>
        </w:rPr>
        <w:t>M</w:t>
      </w:r>
      <w:r w:rsidR="005A4B6B" w:rsidRPr="003D520D">
        <w:rPr>
          <w:sz w:val="22"/>
          <w:szCs w:val="22"/>
          <w:lang w:val="cs-CZ"/>
        </w:rPr>
        <w:noBreakHyphen/>
      </w:r>
      <w:r w:rsidR="00E327EB" w:rsidRPr="003D520D">
        <w:rPr>
          <w:sz w:val="22"/>
          <w:szCs w:val="22"/>
          <w:lang w:val="cs-CZ"/>
        </w:rPr>
        <w:t>5 je slabý substrát BCRP.</w:t>
      </w:r>
    </w:p>
    <w:p w14:paraId="7D4578A6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A7" w14:textId="77777777" w:rsidR="00356F6E" w:rsidRPr="003D520D" w:rsidRDefault="00356F6E" w:rsidP="005A5139">
      <w:pPr>
        <w:pStyle w:val="BayerBodyTextFull"/>
        <w:spacing w:before="0" w:after="0"/>
        <w:rPr>
          <w:i/>
          <w:szCs w:val="22"/>
          <w:u w:val="single"/>
          <w:lang w:val="cs-CZ"/>
        </w:rPr>
      </w:pPr>
      <w:r w:rsidRPr="005A5139">
        <w:rPr>
          <w:sz w:val="22"/>
          <w:szCs w:val="22"/>
          <w:u w:val="single"/>
          <w:lang w:val="cs-CZ"/>
        </w:rPr>
        <w:t>Biotransformace</w:t>
      </w:r>
    </w:p>
    <w:p w14:paraId="7D4578A8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proofErr w:type="spellStart"/>
      <w:r w:rsidRPr="003D520D">
        <w:rPr>
          <w:sz w:val="22"/>
          <w:szCs w:val="22"/>
          <w:lang w:val="cs-CZ"/>
        </w:rPr>
        <w:t>Regorafenib</w:t>
      </w:r>
      <w:proofErr w:type="spellEnd"/>
      <w:r w:rsidRPr="003D520D">
        <w:rPr>
          <w:sz w:val="22"/>
          <w:szCs w:val="22"/>
          <w:lang w:val="cs-CZ"/>
        </w:rPr>
        <w:t xml:space="preserve"> je metabolizován primárně v játrech oxidativním metabolismem zprostředkovaným CYP3A4 a rovněž </w:t>
      </w:r>
      <w:proofErr w:type="spellStart"/>
      <w:r w:rsidRPr="003D520D">
        <w:rPr>
          <w:sz w:val="22"/>
          <w:szCs w:val="22"/>
          <w:lang w:val="cs-CZ"/>
        </w:rPr>
        <w:t>glukuronidací</w:t>
      </w:r>
      <w:proofErr w:type="spellEnd"/>
      <w:r w:rsidRPr="003D520D">
        <w:rPr>
          <w:sz w:val="22"/>
          <w:szCs w:val="22"/>
          <w:lang w:val="cs-CZ"/>
        </w:rPr>
        <w:t xml:space="preserve"> zprostředkovanou UGT1A9. V </w:t>
      </w:r>
      <w:proofErr w:type="gramStart"/>
      <w:r w:rsidRPr="003D520D">
        <w:rPr>
          <w:sz w:val="22"/>
          <w:szCs w:val="22"/>
          <w:lang w:val="cs-CZ"/>
        </w:rPr>
        <w:t>plasmě</w:t>
      </w:r>
      <w:proofErr w:type="gramEnd"/>
      <w:r w:rsidRPr="003D520D">
        <w:rPr>
          <w:sz w:val="22"/>
          <w:szCs w:val="22"/>
          <w:lang w:val="cs-CZ"/>
        </w:rPr>
        <w:t xml:space="preserve"> byly identifikovány dva hlavní a šest vedlejších metabolitů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. Hlavní cirkulující metabolity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v </w:t>
      </w:r>
      <w:proofErr w:type="gramStart"/>
      <w:r w:rsidRPr="003D520D">
        <w:rPr>
          <w:sz w:val="22"/>
          <w:szCs w:val="22"/>
          <w:lang w:val="cs-CZ"/>
        </w:rPr>
        <w:t>plasmě</w:t>
      </w:r>
      <w:proofErr w:type="gramEnd"/>
      <w:r w:rsidRPr="003D520D">
        <w:rPr>
          <w:sz w:val="22"/>
          <w:szCs w:val="22"/>
          <w:lang w:val="cs-CZ"/>
        </w:rPr>
        <w:t xml:space="preserve"> u člověka jsou M</w:t>
      </w:r>
      <w:r w:rsidR="00263D0E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>2 (N</w:t>
      </w:r>
      <w:r w:rsidR="00263D0E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>oxid) a M</w:t>
      </w:r>
      <w:r w:rsidR="00263D0E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>5 (N</w:t>
      </w:r>
      <w:r w:rsidR="00263D0E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>oxid a N</w:t>
      </w:r>
      <w:r w:rsidR="00263D0E" w:rsidRPr="003D520D">
        <w:rPr>
          <w:sz w:val="22"/>
          <w:szCs w:val="22"/>
          <w:lang w:val="cs-CZ"/>
        </w:rPr>
        <w:noBreakHyphen/>
      </w:r>
      <w:proofErr w:type="spellStart"/>
      <w:r w:rsidRPr="003D520D">
        <w:rPr>
          <w:sz w:val="22"/>
          <w:szCs w:val="22"/>
          <w:lang w:val="cs-CZ"/>
        </w:rPr>
        <w:t>desmethyl</w:t>
      </w:r>
      <w:proofErr w:type="spellEnd"/>
      <w:r w:rsidRPr="003D520D">
        <w:rPr>
          <w:sz w:val="22"/>
          <w:szCs w:val="22"/>
          <w:lang w:val="cs-CZ"/>
        </w:rPr>
        <w:t xml:space="preserve">), které jsou farmakologicky aktivní a mají podobné koncentrace jako </w:t>
      </w:r>
      <w:proofErr w:type="spellStart"/>
      <w:r w:rsidRPr="003D520D">
        <w:rPr>
          <w:sz w:val="22"/>
          <w:szCs w:val="22"/>
          <w:lang w:val="cs-CZ"/>
        </w:rPr>
        <w:t>regorafenib</w:t>
      </w:r>
      <w:proofErr w:type="spellEnd"/>
      <w:r w:rsidRPr="003D520D">
        <w:rPr>
          <w:sz w:val="22"/>
          <w:szCs w:val="22"/>
          <w:lang w:val="cs-CZ"/>
        </w:rPr>
        <w:t xml:space="preserve"> v ustáleném stavu.</w:t>
      </w:r>
      <w:r w:rsidR="00263D0E" w:rsidRPr="003D520D">
        <w:rPr>
          <w:sz w:val="22"/>
          <w:szCs w:val="22"/>
          <w:lang w:val="cs-CZ"/>
        </w:rPr>
        <w:t xml:space="preserve"> M</w:t>
      </w:r>
      <w:r w:rsidR="00263D0E" w:rsidRPr="003D520D">
        <w:rPr>
          <w:sz w:val="22"/>
          <w:szCs w:val="22"/>
          <w:lang w:val="cs-CZ"/>
        </w:rPr>
        <w:noBreakHyphen/>
      </w:r>
      <w:r w:rsidR="00E327EB" w:rsidRPr="003D520D">
        <w:rPr>
          <w:sz w:val="22"/>
          <w:szCs w:val="22"/>
          <w:lang w:val="cs-CZ"/>
        </w:rPr>
        <w:t xml:space="preserve">2 je dále metabolizován oxidativní cestou zprostředkovanou CYP3A4 a rovněž </w:t>
      </w:r>
      <w:proofErr w:type="spellStart"/>
      <w:r w:rsidR="00E327EB" w:rsidRPr="003D520D">
        <w:rPr>
          <w:sz w:val="22"/>
          <w:szCs w:val="22"/>
          <w:lang w:val="cs-CZ"/>
        </w:rPr>
        <w:t>glukuronidací</w:t>
      </w:r>
      <w:proofErr w:type="spellEnd"/>
      <w:r w:rsidR="00E327EB" w:rsidRPr="003D520D">
        <w:rPr>
          <w:sz w:val="22"/>
          <w:szCs w:val="22"/>
          <w:lang w:val="cs-CZ"/>
        </w:rPr>
        <w:t xml:space="preserve"> zprostředkovanou UGT1A9.</w:t>
      </w:r>
      <w:r w:rsidRPr="003D520D">
        <w:rPr>
          <w:sz w:val="22"/>
          <w:szCs w:val="22"/>
          <w:lang w:val="cs-CZ"/>
        </w:rPr>
        <w:t xml:space="preserve"> </w:t>
      </w:r>
    </w:p>
    <w:p w14:paraId="7D4578A9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AA" w14:textId="77777777" w:rsidR="00356F6E" w:rsidRPr="003D520D" w:rsidRDefault="00E410B6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M</w:t>
      </w:r>
      <w:r w:rsidR="00356F6E" w:rsidRPr="003D520D">
        <w:rPr>
          <w:sz w:val="22"/>
          <w:szCs w:val="22"/>
          <w:lang w:val="cs-CZ"/>
        </w:rPr>
        <w:t xml:space="preserve">etabolity mohou být </w:t>
      </w:r>
      <w:r w:rsidR="00A70DB3" w:rsidRPr="003D520D">
        <w:rPr>
          <w:sz w:val="22"/>
          <w:szCs w:val="22"/>
          <w:lang w:val="cs-CZ"/>
        </w:rPr>
        <w:t>redukovány</w:t>
      </w:r>
      <w:r w:rsidR="00356F6E" w:rsidRPr="003D520D">
        <w:rPr>
          <w:sz w:val="22"/>
          <w:szCs w:val="22"/>
          <w:lang w:val="cs-CZ"/>
        </w:rPr>
        <w:t xml:space="preserve"> nebo hydrolyzovány mikrobiální flórou</w:t>
      </w:r>
      <w:r w:rsidR="00105360" w:rsidRPr="003D520D">
        <w:rPr>
          <w:sz w:val="22"/>
          <w:szCs w:val="22"/>
          <w:lang w:val="cs-CZ"/>
        </w:rPr>
        <w:t xml:space="preserve"> v trávicím traktu</w:t>
      </w:r>
      <w:r w:rsidR="00356F6E" w:rsidRPr="003D520D">
        <w:rPr>
          <w:sz w:val="22"/>
          <w:szCs w:val="22"/>
          <w:lang w:val="cs-CZ"/>
        </w:rPr>
        <w:t>, což umožňuje reabsorpci nekonjugované</w:t>
      </w:r>
      <w:r w:rsidR="003378A1" w:rsidRPr="003D520D">
        <w:rPr>
          <w:sz w:val="22"/>
          <w:szCs w:val="22"/>
          <w:lang w:val="cs-CZ"/>
        </w:rPr>
        <w:t xml:space="preserve"> léčivé látky</w:t>
      </w:r>
      <w:r w:rsidR="00356F6E" w:rsidRPr="003D520D">
        <w:rPr>
          <w:sz w:val="22"/>
          <w:szCs w:val="22"/>
          <w:lang w:val="cs-CZ"/>
        </w:rPr>
        <w:t xml:space="preserve"> a metabolitů (</w:t>
      </w:r>
      <w:proofErr w:type="spellStart"/>
      <w:r w:rsidR="00356F6E" w:rsidRPr="003D520D">
        <w:rPr>
          <w:sz w:val="22"/>
          <w:szCs w:val="22"/>
          <w:lang w:val="cs-CZ"/>
        </w:rPr>
        <w:t>enterohepatální</w:t>
      </w:r>
      <w:proofErr w:type="spellEnd"/>
      <w:r w:rsidR="00356F6E" w:rsidRPr="003D520D">
        <w:rPr>
          <w:sz w:val="22"/>
          <w:szCs w:val="22"/>
          <w:lang w:val="cs-CZ"/>
        </w:rPr>
        <w:t xml:space="preserve"> cirkulace).</w:t>
      </w:r>
    </w:p>
    <w:p w14:paraId="7D4578AB" w14:textId="77777777" w:rsidR="00356F6E" w:rsidRPr="003D520D" w:rsidRDefault="00356F6E" w:rsidP="00D707AB">
      <w:pPr>
        <w:pStyle w:val="Textkomente"/>
        <w:spacing w:after="0"/>
        <w:rPr>
          <w:sz w:val="22"/>
          <w:szCs w:val="22"/>
          <w:lang w:val="cs-CZ"/>
        </w:rPr>
      </w:pPr>
    </w:p>
    <w:p w14:paraId="7D4578AC" w14:textId="77777777" w:rsidR="00356F6E" w:rsidRPr="005A5139" w:rsidRDefault="00356F6E" w:rsidP="005A5139">
      <w:pPr>
        <w:pStyle w:val="BayerBodyTextFull"/>
        <w:spacing w:before="0" w:after="0"/>
        <w:rPr>
          <w:sz w:val="22"/>
          <w:szCs w:val="22"/>
          <w:u w:val="single"/>
          <w:lang w:val="cs-CZ"/>
        </w:rPr>
      </w:pPr>
      <w:r w:rsidRPr="005A5139">
        <w:rPr>
          <w:sz w:val="22"/>
          <w:szCs w:val="22"/>
          <w:u w:val="single"/>
          <w:lang w:val="cs-CZ"/>
        </w:rPr>
        <w:t>Eliminace</w:t>
      </w:r>
    </w:p>
    <w:p w14:paraId="7D4578AD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Po perorálním podání v různých studiích se průměrný biologický poločas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a jeho metabolitu M</w:t>
      </w:r>
      <w:r w:rsidR="00263D0E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 xml:space="preserve">2 v </w:t>
      </w:r>
      <w:proofErr w:type="gramStart"/>
      <w:r w:rsidRPr="003D520D">
        <w:rPr>
          <w:sz w:val="22"/>
          <w:szCs w:val="22"/>
          <w:lang w:val="cs-CZ"/>
        </w:rPr>
        <w:t>plasmě</w:t>
      </w:r>
      <w:proofErr w:type="gramEnd"/>
      <w:r w:rsidRPr="003D520D">
        <w:rPr>
          <w:sz w:val="22"/>
          <w:szCs w:val="22"/>
          <w:lang w:val="cs-CZ"/>
        </w:rPr>
        <w:t xml:space="preserve"> pohybuje od 20 do 30</w:t>
      </w:r>
      <w:r w:rsidR="00263D0E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hodin. Průměrný biologický poločas metabolitu M</w:t>
      </w:r>
      <w:r w:rsidR="00263D0E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>5 je asi 60</w:t>
      </w:r>
      <w:r w:rsidR="002415C8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hodin (rozmezí od 40 do 100</w:t>
      </w:r>
      <w:r w:rsidR="002415C8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hodin). </w:t>
      </w:r>
    </w:p>
    <w:p w14:paraId="7D4578AE" w14:textId="77777777" w:rsidR="00BC3DDF" w:rsidRPr="003D520D" w:rsidRDefault="00021F4D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Přibližně</w:t>
      </w:r>
      <w:r w:rsidR="00356F6E" w:rsidRPr="003D520D">
        <w:rPr>
          <w:sz w:val="22"/>
          <w:szCs w:val="22"/>
          <w:lang w:val="cs-CZ"/>
        </w:rPr>
        <w:t xml:space="preserve"> 90</w:t>
      </w:r>
      <w:r w:rsidR="002415C8" w:rsidRPr="003D520D">
        <w:rPr>
          <w:sz w:val="22"/>
          <w:szCs w:val="22"/>
          <w:lang w:val="cs-CZ"/>
        </w:rPr>
        <w:t> </w:t>
      </w:r>
      <w:r w:rsidR="00356F6E" w:rsidRPr="003D520D">
        <w:rPr>
          <w:sz w:val="22"/>
          <w:szCs w:val="22"/>
          <w:lang w:val="cs-CZ"/>
        </w:rPr>
        <w:t>% radioaktivní dávky se objevilo během 12</w:t>
      </w:r>
      <w:r w:rsidR="00263D0E" w:rsidRPr="003D520D">
        <w:rPr>
          <w:sz w:val="22"/>
          <w:szCs w:val="22"/>
          <w:lang w:val="cs-CZ"/>
        </w:rPr>
        <w:t> </w:t>
      </w:r>
      <w:r w:rsidR="00356F6E" w:rsidRPr="003D520D">
        <w:rPr>
          <w:sz w:val="22"/>
          <w:szCs w:val="22"/>
          <w:lang w:val="cs-CZ"/>
        </w:rPr>
        <w:t>dnů po podání a asi 71</w:t>
      </w:r>
      <w:r w:rsidR="002415C8" w:rsidRPr="003D520D">
        <w:rPr>
          <w:sz w:val="22"/>
          <w:szCs w:val="22"/>
          <w:lang w:val="cs-CZ"/>
        </w:rPr>
        <w:t> </w:t>
      </w:r>
      <w:r w:rsidR="00356F6E" w:rsidRPr="003D520D">
        <w:rPr>
          <w:sz w:val="22"/>
          <w:szCs w:val="22"/>
          <w:lang w:val="cs-CZ"/>
        </w:rPr>
        <w:t>% dávky se vyloučilo ve stolici (47</w:t>
      </w:r>
      <w:r w:rsidR="002415C8" w:rsidRPr="003D520D">
        <w:rPr>
          <w:sz w:val="22"/>
          <w:szCs w:val="22"/>
          <w:lang w:val="cs-CZ"/>
        </w:rPr>
        <w:t> </w:t>
      </w:r>
      <w:r w:rsidR="00356F6E" w:rsidRPr="003D520D">
        <w:rPr>
          <w:sz w:val="22"/>
          <w:szCs w:val="22"/>
          <w:lang w:val="cs-CZ"/>
        </w:rPr>
        <w:t>% jako mateřská látka, 24</w:t>
      </w:r>
      <w:r w:rsidR="002415C8" w:rsidRPr="003D520D">
        <w:rPr>
          <w:sz w:val="22"/>
          <w:szCs w:val="22"/>
          <w:lang w:val="cs-CZ"/>
        </w:rPr>
        <w:t> </w:t>
      </w:r>
      <w:r w:rsidR="00356F6E" w:rsidRPr="003D520D">
        <w:rPr>
          <w:sz w:val="22"/>
          <w:szCs w:val="22"/>
          <w:lang w:val="cs-CZ"/>
        </w:rPr>
        <w:t>% jako metabolity) a asi 19</w:t>
      </w:r>
      <w:r w:rsidR="002415C8" w:rsidRPr="003D520D">
        <w:rPr>
          <w:sz w:val="22"/>
          <w:szCs w:val="22"/>
          <w:lang w:val="cs-CZ"/>
        </w:rPr>
        <w:t> </w:t>
      </w:r>
      <w:r w:rsidR="00356F6E" w:rsidRPr="003D520D">
        <w:rPr>
          <w:sz w:val="22"/>
          <w:szCs w:val="22"/>
          <w:lang w:val="cs-CZ"/>
        </w:rPr>
        <w:t xml:space="preserve">% dávky se vyloučilo močí ve formě </w:t>
      </w:r>
      <w:proofErr w:type="spellStart"/>
      <w:r w:rsidR="00356F6E" w:rsidRPr="003D520D">
        <w:rPr>
          <w:sz w:val="22"/>
          <w:szCs w:val="22"/>
          <w:lang w:val="cs-CZ"/>
        </w:rPr>
        <w:t>glukuronidů</w:t>
      </w:r>
      <w:proofErr w:type="spellEnd"/>
      <w:r w:rsidR="00356F6E" w:rsidRPr="003D520D">
        <w:rPr>
          <w:sz w:val="22"/>
          <w:szCs w:val="22"/>
          <w:lang w:val="cs-CZ"/>
        </w:rPr>
        <w:t>.</w:t>
      </w:r>
      <w:r w:rsidR="00675055" w:rsidRPr="003D520D">
        <w:rPr>
          <w:sz w:val="22"/>
          <w:szCs w:val="22"/>
          <w:lang w:val="cs-CZ"/>
        </w:rPr>
        <w:t xml:space="preserve"> Vylučování </w:t>
      </w:r>
      <w:proofErr w:type="spellStart"/>
      <w:r w:rsidR="00675055" w:rsidRPr="003D520D">
        <w:rPr>
          <w:sz w:val="22"/>
          <w:szCs w:val="22"/>
          <w:lang w:val="cs-CZ"/>
        </w:rPr>
        <w:t>glu</w:t>
      </w:r>
      <w:r w:rsidR="00263D0E" w:rsidRPr="003D520D">
        <w:rPr>
          <w:sz w:val="22"/>
          <w:szCs w:val="22"/>
          <w:lang w:val="cs-CZ"/>
        </w:rPr>
        <w:t>kuronidů</w:t>
      </w:r>
      <w:proofErr w:type="spellEnd"/>
      <w:r w:rsidR="00263D0E" w:rsidRPr="003D520D">
        <w:rPr>
          <w:sz w:val="22"/>
          <w:szCs w:val="22"/>
          <w:lang w:val="cs-CZ"/>
        </w:rPr>
        <w:t xml:space="preserve"> močí se snížilo pod 10 </w:t>
      </w:r>
      <w:r w:rsidR="00675055" w:rsidRPr="003D520D">
        <w:rPr>
          <w:sz w:val="22"/>
          <w:szCs w:val="22"/>
          <w:lang w:val="cs-CZ"/>
        </w:rPr>
        <w:t xml:space="preserve">% </w:t>
      </w:r>
      <w:r w:rsidR="0034066A" w:rsidRPr="003D520D">
        <w:rPr>
          <w:sz w:val="22"/>
          <w:szCs w:val="22"/>
          <w:lang w:val="cs-CZ"/>
        </w:rPr>
        <w:t>v</w:t>
      </w:r>
      <w:r w:rsidR="00675055" w:rsidRPr="003D520D">
        <w:rPr>
          <w:sz w:val="22"/>
          <w:szCs w:val="22"/>
          <w:lang w:val="cs-CZ"/>
        </w:rPr>
        <w:t xml:space="preserve"> ustálených stavech.</w:t>
      </w:r>
      <w:r w:rsidR="00356F6E" w:rsidRPr="003D520D">
        <w:rPr>
          <w:sz w:val="22"/>
          <w:szCs w:val="22"/>
          <w:lang w:val="cs-CZ"/>
        </w:rPr>
        <w:t xml:space="preserve"> </w:t>
      </w:r>
      <w:r w:rsidR="0006023B" w:rsidRPr="003D520D">
        <w:rPr>
          <w:sz w:val="22"/>
          <w:szCs w:val="22"/>
          <w:lang w:val="cs-CZ"/>
        </w:rPr>
        <w:t>Původní</w:t>
      </w:r>
      <w:r w:rsidR="00356F6E" w:rsidRPr="003D520D">
        <w:rPr>
          <w:sz w:val="22"/>
          <w:szCs w:val="22"/>
          <w:lang w:val="cs-CZ"/>
        </w:rPr>
        <w:t xml:space="preserve"> látka nalezená ve stolici by mohla </w:t>
      </w:r>
      <w:r w:rsidR="0006023B" w:rsidRPr="003D520D">
        <w:rPr>
          <w:sz w:val="22"/>
          <w:szCs w:val="22"/>
          <w:lang w:val="cs-CZ"/>
        </w:rPr>
        <w:t>pocházet z</w:t>
      </w:r>
      <w:r w:rsidR="00675055" w:rsidRPr="003D520D">
        <w:rPr>
          <w:sz w:val="22"/>
          <w:szCs w:val="22"/>
          <w:lang w:val="cs-CZ"/>
        </w:rPr>
        <w:t xml:space="preserve"> degradace </w:t>
      </w:r>
      <w:proofErr w:type="spellStart"/>
      <w:r w:rsidR="00675055" w:rsidRPr="003D520D">
        <w:rPr>
          <w:sz w:val="22"/>
          <w:szCs w:val="22"/>
          <w:lang w:val="cs-CZ"/>
        </w:rPr>
        <w:t>glukur</w:t>
      </w:r>
      <w:r w:rsidR="00263D0E" w:rsidRPr="003D520D">
        <w:rPr>
          <w:sz w:val="22"/>
          <w:szCs w:val="22"/>
          <w:lang w:val="cs-CZ"/>
        </w:rPr>
        <w:t>onidů</w:t>
      </w:r>
      <w:proofErr w:type="spellEnd"/>
      <w:r w:rsidR="00263D0E" w:rsidRPr="003D520D">
        <w:rPr>
          <w:sz w:val="22"/>
          <w:szCs w:val="22"/>
          <w:lang w:val="cs-CZ"/>
        </w:rPr>
        <w:t xml:space="preserve"> nebo redukce metabolitu M</w:t>
      </w:r>
      <w:r w:rsidR="00263D0E" w:rsidRPr="003D520D">
        <w:rPr>
          <w:sz w:val="22"/>
          <w:szCs w:val="22"/>
          <w:lang w:val="cs-CZ"/>
        </w:rPr>
        <w:noBreakHyphen/>
        <w:t>2 (N</w:t>
      </w:r>
      <w:r w:rsidR="00263D0E" w:rsidRPr="003D520D">
        <w:rPr>
          <w:sz w:val="22"/>
          <w:szCs w:val="22"/>
          <w:lang w:val="cs-CZ"/>
        </w:rPr>
        <w:noBreakHyphen/>
      </w:r>
      <w:r w:rsidR="00675055" w:rsidRPr="003D520D">
        <w:rPr>
          <w:sz w:val="22"/>
          <w:szCs w:val="22"/>
          <w:lang w:val="cs-CZ"/>
        </w:rPr>
        <w:t xml:space="preserve">oxid) </w:t>
      </w:r>
      <w:r w:rsidR="0034066A" w:rsidRPr="003D520D">
        <w:rPr>
          <w:sz w:val="22"/>
          <w:szCs w:val="22"/>
          <w:lang w:val="cs-CZ"/>
        </w:rPr>
        <w:t xml:space="preserve">ve střevě </w:t>
      </w:r>
      <w:r w:rsidR="00356F6E" w:rsidRPr="003D520D">
        <w:rPr>
          <w:sz w:val="22"/>
          <w:szCs w:val="22"/>
          <w:lang w:val="cs-CZ"/>
        </w:rPr>
        <w:t xml:space="preserve">a rovněž neabsorbovaného </w:t>
      </w:r>
      <w:proofErr w:type="spellStart"/>
      <w:r w:rsidR="00675055" w:rsidRPr="003D520D">
        <w:rPr>
          <w:sz w:val="22"/>
          <w:szCs w:val="22"/>
          <w:lang w:val="cs-CZ"/>
        </w:rPr>
        <w:t>regorafenibu</w:t>
      </w:r>
      <w:proofErr w:type="spellEnd"/>
      <w:r w:rsidR="00356F6E" w:rsidRPr="003D520D">
        <w:rPr>
          <w:sz w:val="22"/>
          <w:szCs w:val="22"/>
          <w:lang w:val="cs-CZ"/>
        </w:rPr>
        <w:t>.</w:t>
      </w:r>
    </w:p>
    <w:p w14:paraId="7D4578AF" w14:textId="77777777" w:rsidR="00356F6E" w:rsidRPr="003D520D" w:rsidRDefault="00263D0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M</w:t>
      </w:r>
      <w:r w:rsidRPr="003D520D">
        <w:rPr>
          <w:sz w:val="22"/>
          <w:szCs w:val="22"/>
          <w:lang w:val="cs-CZ"/>
        </w:rPr>
        <w:noBreakHyphen/>
        <w:t>5 může být redukován na M</w:t>
      </w:r>
      <w:r w:rsidRPr="003D520D">
        <w:rPr>
          <w:sz w:val="22"/>
          <w:szCs w:val="22"/>
          <w:lang w:val="cs-CZ"/>
        </w:rPr>
        <w:noBreakHyphen/>
      </w:r>
      <w:r w:rsidR="00BC3DDF" w:rsidRPr="003D520D">
        <w:rPr>
          <w:sz w:val="22"/>
          <w:szCs w:val="22"/>
          <w:lang w:val="cs-CZ"/>
        </w:rPr>
        <w:t>4 mikrobiální flórou v trávicím traktu, což umož</w:t>
      </w:r>
      <w:r w:rsidRPr="003D520D">
        <w:rPr>
          <w:sz w:val="22"/>
          <w:szCs w:val="22"/>
          <w:lang w:val="cs-CZ"/>
        </w:rPr>
        <w:t>ní reabsorpci M</w:t>
      </w:r>
      <w:r w:rsidRPr="003D520D">
        <w:rPr>
          <w:sz w:val="22"/>
          <w:szCs w:val="22"/>
          <w:lang w:val="cs-CZ"/>
        </w:rPr>
        <w:noBreakHyphen/>
      </w:r>
      <w:r w:rsidR="00BC3DDF" w:rsidRPr="003D520D">
        <w:rPr>
          <w:sz w:val="22"/>
          <w:szCs w:val="22"/>
          <w:lang w:val="cs-CZ"/>
        </w:rPr>
        <w:t>4</w:t>
      </w:r>
      <w:r w:rsidRPr="003D520D">
        <w:rPr>
          <w:sz w:val="22"/>
          <w:szCs w:val="22"/>
          <w:lang w:val="cs-CZ"/>
        </w:rPr>
        <w:t xml:space="preserve"> (</w:t>
      </w:r>
      <w:proofErr w:type="spellStart"/>
      <w:r w:rsidRPr="003D520D">
        <w:rPr>
          <w:sz w:val="22"/>
          <w:szCs w:val="22"/>
          <w:lang w:val="cs-CZ"/>
        </w:rPr>
        <w:t>enterohepatální</w:t>
      </w:r>
      <w:proofErr w:type="spellEnd"/>
      <w:r w:rsidRPr="003D520D">
        <w:rPr>
          <w:sz w:val="22"/>
          <w:szCs w:val="22"/>
          <w:lang w:val="cs-CZ"/>
        </w:rPr>
        <w:t xml:space="preserve"> cirkulace). M</w:t>
      </w:r>
      <w:r w:rsidRPr="003D520D">
        <w:rPr>
          <w:sz w:val="22"/>
          <w:szCs w:val="22"/>
          <w:lang w:val="cs-CZ"/>
        </w:rPr>
        <w:noBreakHyphen/>
      </w:r>
      <w:r w:rsidR="00BC3DDF" w:rsidRPr="003D520D">
        <w:rPr>
          <w:sz w:val="22"/>
          <w:szCs w:val="22"/>
          <w:lang w:val="cs-CZ"/>
        </w:rPr>
        <w:t>5 je nak</w:t>
      </w:r>
      <w:r w:rsidRPr="003D520D">
        <w:rPr>
          <w:sz w:val="22"/>
          <w:szCs w:val="22"/>
          <w:lang w:val="cs-CZ"/>
        </w:rPr>
        <w:t>onec vyloučen prostřednictvím M</w:t>
      </w:r>
      <w:r w:rsidRPr="003D520D">
        <w:rPr>
          <w:sz w:val="22"/>
          <w:szCs w:val="22"/>
          <w:lang w:val="cs-CZ"/>
        </w:rPr>
        <w:noBreakHyphen/>
        <w:t>4 jako M</w:t>
      </w:r>
      <w:r w:rsidRPr="003D520D">
        <w:rPr>
          <w:sz w:val="22"/>
          <w:szCs w:val="22"/>
          <w:lang w:val="cs-CZ"/>
        </w:rPr>
        <w:noBreakHyphen/>
      </w:r>
      <w:r w:rsidR="00BC3DDF" w:rsidRPr="003D520D">
        <w:rPr>
          <w:sz w:val="22"/>
          <w:szCs w:val="22"/>
          <w:lang w:val="cs-CZ"/>
        </w:rPr>
        <w:t>6 (kyselina karboxylová) ve stolici.</w:t>
      </w:r>
      <w:r w:rsidR="00356F6E" w:rsidRPr="003D520D">
        <w:rPr>
          <w:sz w:val="22"/>
          <w:szCs w:val="22"/>
          <w:lang w:val="cs-CZ"/>
        </w:rPr>
        <w:t xml:space="preserve"> </w:t>
      </w:r>
    </w:p>
    <w:p w14:paraId="7D4578B0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B1" w14:textId="77777777" w:rsidR="00356F6E" w:rsidRPr="005A5139" w:rsidRDefault="00356F6E" w:rsidP="005A5139">
      <w:pPr>
        <w:pStyle w:val="BayerBodyTextFull"/>
        <w:spacing w:before="0" w:after="0"/>
        <w:rPr>
          <w:sz w:val="22"/>
          <w:szCs w:val="22"/>
          <w:u w:val="single"/>
          <w:lang w:val="cs-CZ"/>
        </w:rPr>
      </w:pPr>
      <w:r w:rsidRPr="005A5139">
        <w:rPr>
          <w:sz w:val="22"/>
          <w:szCs w:val="22"/>
          <w:u w:val="single"/>
          <w:lang w:val="cs-CZ"/>
        </w:rPr>
        <w:t>Linearita/nelinearita</w:t>
      </w:r>
    </w:p>
    <w:p w14:paraId="7D4578B2" w14:textId="77777777" w:rsidR="00356F6E" w:rsidRPr="003D520D" w:rsidRDefault="00356F6E" w:rsidP="00D707AB">
      <w:pPr>
        <w:pStyle w:val="BayerBodyTextFull"/>
        <w:tabs>
          <w:tab w:val="left" w:pos="1418"/>
        </w:tabs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Systémová expozice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</w:t>
      </w:r>
      <w:r w:rsidR="0034066A" w:rsidRPr="003D520D">
        <w:rPr>
          <w:sz w:val="22"/>
          <w:szCs w:val="22"/>
          <w:lang w:val="cs-CZ"/>
        </w:rPr>
        <w:t>v</w:t>
      </w:r>
      <w:r w:rsidRPr="003D520D">
        <w:rPr>
          <w:sz w:val="22"/>
          <w:szCs w:val="22"/>
          <w:lang w:val="cs-CZ"/>
        </w:rPr>
        <w:t xml:space="preserve"> ustáleném stavu se zvyšuje proporcionálně až do dávky 60</w:t>
      </w:r>
      <w:r w:rsidR="002415C8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mg a méně proporcionálně při dávkách nad 60</w:t>
      </w:r>
      <w:r w:rsidR="002415C8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mg. Akumulace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</w:t>
      </w:r>
      <w:r w:rsidR="0034066A" w:rsidRPr="003D520D">
        <w:rPr>
          <w:sz w:val="22"/>
          <w:szCs w:val="22"/>
          <w:lang w:val="cs-CZ"/>
        </w:rPr>
        <w:t>v</w:t>
      </w:r>
      <w:r w:rsidRPr="003D520D">
        <w:rPr>
          <w:sz w:val="22"/>
          <w:szCs w:val="22"/>
          <w:lang w:val="cs-CZ"/>
        </w:rPr>
        <w:t xml:space="preserve"> ustáleném stavu vede asi k 2násobnému zvýšení </w:t>
      </w:r>
      <w:proofErr w:type="gramStart"/>
      <w:r w:rsidRPr="003D520D">
        <w:rPr>
          <w:sz w:val="22"/>
          <w:szCs w:val="22"/>
          <w:lang w:val="cs-CZ"/>
        </w:rPr>
        <w:t>plasmatických</w:t>
      </w:r>
      <w:proofErr w:type="gramEnd"/>
      <w:r w:rsidRPr="003D520D">
        <w:rPr>
          <w:sz w:val="22"/>
          <w:szCs w:val="22"/>
          <w:lang w:val="cs-CZ"/>
        </w:rPr>
        <w:t xml:space="preserve"> koncentrací, což odpovídá biologickému poločasu a frekvenci dávkování. </w:t>
      </w:r>
      <w:r w:rsidR="0034066A" w:rsidRPr="003D520D">
        <w:rPr>
          <w:sz w:val="22"/>
          <w:szCs w:val="22"/>
          <w:lang w:val="cs-CZ"/>
        </w:rPr>
        <w:t>V</w:t>
      </w:r>
      <w:r w:rsidRPr="003D520D">
        <w:rPr>
          <w:sz w:val="22"/>
          <w:szCs w:val="22"/>
          <w:lang w:val="cs-CZ"/>
        </w:rPr>
        <w:t xml:space="preserve"> ustáleném stavu dosahuje </w:t>
      </w:r>
      <w:proofErr w:type="spellStart"/>
      <w:r w:rsidRPr="003D520D">
        <w:rPr>
          <w:sz w:val="22"/>
          <w:szCs w:val="22"/>
          <w:lang w:val="cs-CZ"/>
        </w:rPr>
        <w:t>regorafenib</w:t>
      </w:r>
      <w:proofErr w:type="spellEnd"/>
      <w:r w:rsidRPr="003D520D">
        <w:rPr>
          <w:sz w:val="22"/>
          <w:szCs w:val="22"/>
          <w:lang w:val="cs-CZ"/>
        </w:rPr>
        <w:t xml:space="preserve"> průměrných maximálních hladin v </w:t>
      </w:r>
      <w:proofErr w:type="gramStart"/>
      <w:r w:rsidRPr="003D520D">
        <w:rPr>
          <w:sz w:val="22"/>
          <w:szCs w:val="22"/>
          <w:lang w:val="cs-CZ"/>
        </w:rPr>
        <w:t>plasmě</w:t>
      </w:r>
      <w:proofErr w:type="gramEnd"/>
      <w:r w:rsidRPr="003D520D">
        <w:rPr>
          <w:sz w:val="22"/>
          <w:szCs w:val="22"/>
          <w:lang w:val="cs-CZ"/>
        </w:rPr>
        <w:t xml:space="preserve"> asi 3,9</w:t>
      </w:r>
      <w:r w:rsidR="002415C8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mg/l (8,1</w:t>
      </w:r>
      <w:r w:rsidR="002415C8" w:rsidRPr="003D520D">
        <w:rPr>
          <w:sz w:val="22"/>
          <w:szCs w:val="22"/>
          <w:lang w:val="cs-CZ"/>
        </w:rPr>
        <w:t> </w:t>
      </w:r>
      <w:proofErr w:type="spellStart"/>
      <w:r w:rsidRPr="003D520D">
        <w:rPr>
          <w:sz w:val="22"/>
          <w:szCs w:val="22"/>
          <w:lang w:val="cs-CZ"/>
        </w:rPr>
        <w:t>μ</w:t>
      </w:r>
      <w:r w:rsidR="0034066A" w:rsidRPr="003D520D">
        <w:rPr>
          <w:sz w:val="22"/>
          <w:szCs w:val="22"/>
          <w:lang w:val="cs-CZ"/>
        </w:rPr>
        <w:t>mol</w:t>
      </w:r>
      <w:proofErr w:type="spellEnd"/>
      <w:r w:rsidR="0034066A" w:rsidRPr="003D520D">
        <w:rPr>
          <w:sz w:val="22"/>
          <w:szCs w:val="22"/>
          <w:lang w:val="cs-CZ"/>
        </w:rPr>
        <w:t>/l</w:t>
      </w:r>
      <w:r w:rsidRPr="003D520D">
        <w:rPr>
          <w:sz w:val="22"/>
          <w:szCs w:val="22"/>
          <w:lang w:val="cs-CZ"/>
        </w:rPr>
        <w:t>) po perorálním podání 160</w:t>
      </w:r>
      <w:r w:rsidR="002415C8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mg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a poměr maximálních a minimálních</w:t>
      </w:r>
      <w:r w:rsidR="0034066A" w:rsidRPr="003D520D">
        <w:rPr>
          <w:sz w:val="22"/>
          <w:szCs w:val="22"/>
          <w:lang w:val="cs-CZ"/>
        </w:rPr>
        <w:t xml:space="preserve"> </w:t>
      </w:r>
      <w:proofErr w:type="gramStart"/>
      <w:r w:rsidRPr="003D520D">
        <w:rPr>
          <w:sz w:val="22"/>
          <w:szCs w:val="22"/>
          <w:lang w:val="cs-CZ"/>
        </w:rPr>
        <w:t>plasmatických</w:t>
      </w:r>
      <w:proofErr w:type="gramEnd"/>
      <w:r w:rsidRPr="003D520D">
        <w:rPr>
          <w:sz w:val="22"/>
          <w:szCs w:val="22"/>
          <w:lang w:val="cs-CZ"/>
        </w:rPr>
        <w:t xml:space="preserve"> koncentrací </w:t>
      </w:r>
      <w:r w:rsidR="0034066A" w:rsidRPr="003D520D">
        <w:rPr>
          <w:sz w:val="22"/>
          <w:szCs w:val="22"/>
          <w:lang w:val="cs-CZ"/>
        </w:rPr>
        <w:t xml:space="preserve">v ustáleném stavu </w:t>
      </w:r>
      <w:r w:rsidRPr="003D520D">
        <w:rPr>
          <w:sz w:val="22"/>
          <w:szCs w:val="22"/>
          <w:lang w:val="cs-CZ"/>
        </w:rPr>
        <w:t>je menší než 2.</w:t>
      </w:r>
    </w:p>
    <w:p w14:paraId="7D4578B3" w14:textId="77777777" w:rsidR="005228AE" w:rsidRPr="003D520D" w:rsidRDefault="00263D0E" w:rsidP="00D707AB">
      <w:pPr>
        <w:pStyle w:val="BayerBodyTextFull"/>
        <w:tabs>
          <w:tab w:val="left" w:pos="1418"/>
        </w:tabs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Oba metabolity, M</w:t>
      </w:r>
      <w:r w:rsidRPr="003D520D">
        <w:rPr>
          <w:sz w:val="22"/>
          <w:szCs w:val="22"/>
          <w:lang w:val="cs-CZ"/>
        </w:rPr>
        <w:noBreakHyphen/>
        <w:t>2 a M</w:t>
      </w:r>
      <w:r w:rsidRPr="003D520D">
        <w:rPr>
          <w:sz w:val="22"/>
          <w:szCs w:val="22"/>
          <w:lang w:val="cs-CZ"/>
        </w:rPr>
        <w:noBreakHyphen/>
      </w:r>
      <w:r w:rsidR="005228AE" w:rsidRPr="003D520D">
        <w:rPr>
          <w:sz w:val="22"/>
          <w:szCs w:val="22"/>
          <w:lang w:val="cs-CZ"/>
        </w:rPr>
        <w:t xml:space="preserve">5, vykazují nelineární akumulaci, která může být způsobena </w:t>
      </w:r>
      <w:proofErr w:type="spellStart"/>
      <w:r w:rsidR="005228AE" w:rsidRPr="003D520D">
        <w:rPr>
          <w:sz w:val="22"/>
          <w:szCs w:val="22"/>
          <w:lang w:val="cs-CZ"/>
        </w:rPr>
        <w:t>enterohepatální</w:t>
      </w:r>
      <w:proofErr w:type="spellEnd"/>
      <w:r w:rsidR="005228AE" w:rsidRPr="003D520D">
        <w:rPr>
          <w:sz w:val="22"/>
          <w:szCs w:val="22"/>
          <w:lang w:val="cs-CZ"/>
        </w:rPr>
        <w:t xml:space="preserve"> recyklací nebo saturací </w:t>
      </w:r>
      <w:r w:rsidR="001203B2" w:rsidRPr="003D520D">
        <w:rPr>
          <w:sz w:val="22"/>
          <w:szCs w:val="22"/>
          <w:lang w:val="cs-CZ"/>
        </w:rPr>
        <w:t>UGT1A9</w:t>
      </w:r>
      <w:r w:rsidR="005228AE" w:rsidRPr="003D520D">
        <w:rPr>
          <w:sz w:val="22"/>
          <w:szCs w:val="22"/>
          <w:lang w:val="cs-CZ"/>
        </w:rPr>
        <w:t xml:space="preserve"> cesty. Za</w:t>
      </w:r>
      <w:r w:rsidRPr="003D520D">
        <w:rPr>
          <w:sz w:val="22"/>
          <w:szCs w:val="22"/>
          <w:lang w:val="cs-CZ"/>
        </w:rPr>
        <w:t xml:space="preserve">tímco </w:t>
      </w:r>
      <w:proofErr w:type="gramStart"/>
      <w:r w:rsidRPr="003D520D">
        <w:rPr>
          <w:sz w:val="22"/>
          <w:szCs w:val="22"/>
          <w:lang w:val="cs-CZ"/>
        </w:rPr>
        <w:t>plasmatické</w:t>
      </w:r>
      <w:proofErr w:type="gramEnd"/>
      <w:r w:rsidRPr="003D520D">
        <w:rPr>
          <w:sz w:val="22"/>
          <w:szCs w:val="22"/>
          <w:lang w:val="cs-CZ"/>
        </w:rPr>
        <w:t xml:space="preserve"> koncentrace M</w:t>
      </w:r>
      <w:r w:rsidRPr="003D520D">
        <w:rPr>
          <w:sz w:val="22"/>
          <w:szCs w:val="22"/>
          <w:lang w:val="cs-CZ"/>
        </w:rPr>
        <w:noBreakHyphen/>
        <w:t>2 a M</w:t>
      </w:r>
      <w:r w:rsidRPr="003D520D">
        <w:rPr>
          <w:sz w:val="22"/>
          <w:szCs w:val="22"/>
          <w:lang w:val="cs-CZ"/>
        </w:rPr>
        <w:noBreakHyphen/>
      </w:r>
      <w:r w:rsidR="005228AE" w:rsidRPr="003D520D">
        <w:rPr>
          <w:sz w:val="22"/>
          <w:szCs w:val="22"/>
          <w:lang w:val="cs-CZ"/>
        </w:rPr>
        <w:t xml:space="preserve">5 po jednorázové dávce </w:t>
      </w:r>
      <w:proofErr w:type="spellStart"/>
      <w:r w:rsidR="005228AE" w:rsidRPr="003D520D">
        <w:rPr>
          <w:sz w:val="22"/>
          <w:szCs w:val="22"/>
          <w:lang w:val="cs-CZ"/>
        </w:rPr>
        <w:t>regorafenibu</w:t>
      </w:r>
      <w:proofErr w:type="spellEnd"/>
      <w:r w:rsidR="005228AE" w:rsidRPr="003D520D">
        <w:rPr>
          <w:sz w:val="22"/>
          <w:szCs w:val="22"/>
          <w:lang w:val="cs-CZ"/>
        </w:rPr>
        <w:t xml:space="preserve"> jsou daleko nižší než koncentrace mateřské látky,</w:t>
      </w:r>
      <w:r w:rsidRPr="003D520D">
        <w:rPr>
          <w:sz w:val="22"/>
          <w:szCs w:val="22"/>
          <w:lang w:val="cs-CZ"/>
        </w:rPr>
        <w:t xml:space="preserve"> jsou </w:t>
      </w:r>
      <w:proofErr w:type="gramStart"/>
      <w:r w:rsidRPr="003D520D">
        <w:rPr>
          <w:sz w:val="22"/>
          <w:szCs w:val="22"/>
          <w:lang w:val="cs-CZ"/>
        </w:rPr>
        <w:t>plasmatické</w:t>
      </w:r>
      <w:proofErr w:type="gramEnd"/>
      <w:r w:rsidRPr="003D520D">
        <w:rPr>
          <w:sz w:val="22"/>
          <w:szCs w:val="22"/>
          <w:lang w:val="cs-CZ"/>
        </w:rPr>
        <w:t xml:space="preserve"> koncentrace M</w:t>
      </w:r>
      <w:r w:rsidRPr="003D520D">
        <w:rPr>
          <w:sz w:val="22"/>
          <w:szCs w:val="22"/>
          <w:lang w:val="cs-CZ"/>
        </w:rPr>
        <w:noBreakHyphen/>
        <w:t>2 a M</w:t>
      </w:r>
      <w:r w:rsidRPr="003D520D">
        <w:rPr>
          <w:sz w:val="22"/>
          <w:szCs w:val="22"/>
          <w:lang w:val="cs-CZ"/>
        </w:rPr>
        <w:noBreakHyphen/>
      </w:r>
      <w:r w:rsidR="005228AE" w:rsidRPr="003D520D">
        <w:rPr>
          <w:sz w:val="22"/>
          <w:szCs w:val="22"/>
          <w:lang w:val="cs-CZ"/>
        </w:rPr>
        <w:t xml:space="preserve">5 </w:t>
      </w:r>
      <w:r w:rsidR="0034066A" w:rsidRPr="003D520D">
        <w:rPr>
          <w:sz w:val="22"/>
          <w:szCs w:val="22"/>
          <w:lang w:val="cs-CZ"/>
        </w:rPr>
        <w:t>v</w:t>
      </w:r>
      <w:r w:rsidR="005228AE" w:rsidRPr="003D520D">
        <w:rPr>
          <w:sz w:val="22"/>
          <w:szCs w:val="22"/>
          <w:lang w:val="cs-CZ"/>
        </w:rPr>
        <w:t xml:space="preserve"> ustáleném stavu srovnatelné s koncentracemi </w:t>
      </w:r>
      <w:proofErr w:type="spellStart"/>
      <w:r w:rsidR="005228AE" w:rsidRPr="003D520D">
        <w:rPr>
          <w:sz w:val="22"/>
          <w:szCs w:val="22"/>
          <w:lang w:val="cs-CZ"/>
        </w:rPr>
        <w:t>regorafenibu</w:t>
      </w:r>
      <w:proofErr w:type="spellEnd"/>
      <w:r w:rsidR="005228AE" w:rsidRPr="003D520D">
        <w:rPr>
          <w:sz w:val="22"/>
          <w:szCs w:val="22"/>
          <w:lang w:val="cs-CZ"/>
        </w:rPr>
        <w:t>.</w:t>
      </w:r>
    </w:p>
    <w:p w14:paraId="7D4578B4" w14:textId="77777777" w:rsidR="00356F6E" w:rsidRPr="003D520D" w:rsidRDefault="00356F6E" w:rsidP="00D707AB">
      <w:pPr>
        <w:pStyle w:val="BayerBodyTextFull"/>
        <w:tabs>
          <w:tab w:val="left" w:pos="1418"/>
        </w:tabs>
        <w:spacing w:before="0" w:after="0"/>
        <w:rPr>
          <w:sz w:val="22"/>
          <w:szCs w:val="22"/>
          <w:lang w:val="cs-CZ"/>
        </w:rPr>
      </w:pPr>
    </w:p>
    <w:p w14:paraId="7D4578B5" w14:textId="77777777" w:rsidR="00356F6E" w:rsidRPr="005A5139" w:rsidRDefault="00356F6E" w:rsidP="005A5139">
      <w:pPr>
        <w:pStyle w:val="BayerBodyTextFull"/>
        <w:spacing w:before="0" w:after="0"/>
        <w:rPr>
          <w:sz w:val="22"/>
          <w:szCs w:val="22"/>
          <w:u w:val="single"/>
          <w:lang w:val="cs-CZ"/>
        </w:rPr>
      </w:pPr>
      <w:r w:rsidRPr="005A5139">
        <w:rPr>
          <w:sz w:val="22"/>
          <w:szCs w:val="22"/>
          <w:u w:val="single"/>
          <w:lang w:val="cs-CZ"/>
        </w:rPr>
        <w:t>Porucha funkce jater</w:t>
      </w:r>
    </w:p>
    <w:p w14:paraId="7D4578B6" w14:textId="77777777" w:rsidR="00356F6E" w:rsidRPr="003D520D" w:rsidRDefault="00356F6E" w:rsidP="00D707AB">
      <w:pPr>
        <w:pStyle w:val="BayerBodyTextFull"/>
        <w:tabs>
          <w:tab w:val="left" w:pos="1418"/>
        </w:tabs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Expozice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a jeho metabolitům M</w:t>
      </w:r>
      <w:r w:rsidR="00263D0E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>2 a M</w:t>
      </w:r>
      <w:r w:rsidR="00263D0E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 xml:space="preserve">5 je srovnatelná u pacientů s </w:t>
      </w:r>
      <w:r w:rsidR="00DB3F49">
        <w:rPr>
          <w:sz w:val="22"/>
          <w:szCs w:val="22"/>
          <w:lang w:val="cs-CZ"/>
        </w:rPr>
        <w:t>lehkou</w:t>
      </w:r>
      <w:r w:rsidRPr="003D520D">
        <w:rPr>
          <w:sz w:val="22"/>
          <w:szCs w:val="22"/>
          <w:lang w:val="cs-CZ"/>
        </w:rPr>
        <w:t xml:space="preserve"> poruchou funkce jater (</w:t>
      </w:r>
      <w:proofErr w:type="spellStart"/>
      <w:r w:rsidRPr="003D520D">
        <w:rPr>
          <w:sz w:val="22"/>
          <w:szCs w:val="22"/>
          <w:lang w:val="cs-CZ"/>
        </w:rPr>
        <w:t>Child</w:t>
      </w:r>
      <w:r w:rsidR="00263D0E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>Pugh</w:t>
      </w:r>
      <w:proofErr w:type="spellEnd"/>
      <w:r w:rsidR="00263D0E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A) a u pacientů s normální funkcí jater.</w:t>
      </w:r>
    </w:p>
    <w:p w14:paraId="7D4578B7" w14:textId="77777777" w:rsidR="0044097B" w:rsidRPr="003D520D" w:rsidRDefault="00356F6E" w:rsidP="00D707AB">
      <w:pPr>
        <w:pStyle w:val="BayerBodyTextFull"/>
        <w:tabs>
          <w:tab w:val="left" w:pos="1418"/>
        </w:tabs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Omezené údaje u pacientů se středně </w:t>
      </w:r>
      <w:r w:rsidR="00F60CEB">
        <w:rPr>
          <w:sz w:val="22"/>
          <w:szCs w:val="22"/>
          <w:lang w:val="cs-CZ"/>
        </w:rPr>
        <w:t>těžkou</w:t>
      </w:r>
      <w:r w:rsidRPr="003D520D">
        <w:rPr>
          <w:sz w:val="22"/>
          <w:szCs w:val="22"/>
          <w:lang w:val="cs-CZ"/>
        </w:rPr>
        <w:t xml:space="preserve"> poruchou funkce jater (</w:t>
      </w:r>
      <w:proofErr w:type="spellStart"/>
      <w:r w:rsidRPr="003D520D">
        <w:rPr>
          <w:sz w:val="22"/>
          <w:szCs w:val="22"/>
          <w:lang w:val="cs-CZ"/>
        </w:rPr>
        <w:t>Child</w:t>
      </w:r>
      <w:r w:rsidR="00263D0E" w:rsidRPr="003D520D">
        <w:rPr>
          <w:sz w:val="22"/>
          <w:szCs w:val="22"/>
          <w:lang w:val="cs-CZ"/>
        </w:rPr>
        <w:noBreakHyphen/>
      </w:r>
      <w:r w:rsidRPr="003D520D">
        <w:rPr>
          <w:sz w:val="22"/>
          <w:szCs w:val="22"/>
          <w:lang w:val="cs-CZ"/>
        </w:rPr>
        <w:t>Pugh</w:t>
      </w:r>
      <w:proofErr w:type="spellEnd"/>
      <w:r w:rsidR="00263D0E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B) ukazují </w:t>
      </w:r>
      <w:r w:rsidR="00021F4D" w:rsidRPr="003D520D">
        <w:rPr>
          <w:sz w:val="22"/>
          <w:szCs w:val="22"/>
          <w:lang w:val="cs-CZ"/>
        </w:rPr>
        <w:t xml:space="preserve">po jednorázové dávce 100 mg </w:t>
      </w:r>
      <w:proofErr w:type="spellStart"/>
      <w:r w:rsidR="00021F4D" w:rsidRPr="003D520D">
        <w:rPr>
          <w:sz w:val="22"/>
          <w:szCs w:val="22"/>
          <w:lang w:val="cs-CZ"/>
        </w:rPr>
        <w:t>regorafenibu</w:t>
      </w:r>
      <w:proofErr w:type="spellEnd"/>
      <w:r w:rsidR="00021F4D" w:rsidRPr="003D520D">
        <w:rPr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>podobnou expozici ve srovnání s pacienty s normální funkcí jater</w:t>
      </w:r>
      <w:r w:rsidR="00021F4D" w:rsidRPr="003D520D">
        <w:rPr>
          <w:sz w:val="22"/>
          <w:szCs w:val="22"/>
          <w:lang w:val="cs-CZ"/>
        </w:rPr>
        <w:t>.</w:t>
      </w:r>
      <w:r w:rsidRPr="003D520D">
        <w:rPr>
          <w:sz w:val="22"/>
          <w:szCs w:val="22"/>
          <w:lang w:val="cs-CZ"/>
        </w:rPr>
        <w:t xml:space="preserve"> </w:t>
      </w:r>
      <w:r w:rsidR="00D90BE3" w:rsidRPr="003D520D">
        <w:rPr>
          <w:sz w:val="22"/>
          <w:szCs w:val="22"/>
          <w:lang w:val="cs-CZ"/>
        </w:rPr>
        <w:t>Nejsou k dispozici žádn</w:t>
      </w:r>
      <w:r w:rsidR="00812247" w:rsidRPr="003D520D">
        <w:rPr>
          <w:sz w:val="22"/>
          <w:szCs w:val="22"/>
          <w:lang w:val="cs-CZ"/>
        </w:rPr>
        <w:t>é údaje</w:t>
      </w:r>
      <w:r w:rsidR="00D90BE3" w:rsidRPr="003D520D">
        <w:rPr>
          <w:sz w:val="22"/>
          <w:szCs w:val="22"/>
          <w:lang w:val="cs-CZ"/>
        </w:rPr>
        <w:t xml:space="preserve"> </w:t>
      </w:r>
      <w:r w:rsidR="0044097B" w:rsidRPr="003D520D">
        <w:rPr>
          <w:sz w:val="22"/>
          <w:szCs w:val="22"/>
          <w:lang w:val="cs-CZ"/>
        </w:rPr>
        <w:t xml:space="preserve">u pacientů se poruchou funkce jater </w:t>
      </w:r>
      <w:r w:rsidR="00D90BE3" w:rsidRPr="003D520D">
        <w:rPr>
          <w:sz w:val="22"/>
          <w:szCs w:val="22"/>
          <w:lang w:val="cs-CZ"/>
        </w:rPr>
        <w:t xml:space="preserve">skóre C podle </w:t>
      </w:r>
      <w:proofErr w:type="spellStart"/>
      <w:r w:rsidR="0044097B" w:rsidRPr="003D520D">
        <w:rPr>
          <w:sz w:val="22"/>
          <w:szCs w:val="22"/>
          <w:lang w:val="cs-CZ"/>
        </w:rPr>
        <w:t>Child</w:t>
      </w:r>
      <w:r w:rsidR="00263D0E" w:rsidRPr="003D520D">
        <w:rPr>
          <w:sz w:val="22"/>
          <w:szCs w:val="22"/>
          <w:lang w:val="cs-CZ"/>
        </w:rPr>
        <w:noBreakHyphen/>
      </w:r>
      <w:r w:rsidR="0044097B" w:rsidRPr="003D520D">
        <w:rPr>
          <w:sz w:val="22"/>
          <w:szCs w:val="22"/>
          <w:lang w:val="cs-CZ"/>
        </w:rPr>
        <w:t>Pugh</w:t>
      </w:r>
      <w:r w:rsidR="00D90BE3" w:rsidRPr="003D520D">
        <w:rPr>
          <w:sz w:val="22"/>
          <w:szCs w:val="22"/>
          <w:lang w:val="cs-CZ"/>
        </w:rPr>
        <w:t>ovy</w:t>
      </w:r>
      <w:proofErr w:type="spellEnd"/>
      <w:r w:rsidR="00D90BE3" w:rsidRPr="003D520D">
        <w:rPr>
          <w:sz w:val="22"/>
          <w:szCs w:val="22"/>
          <w:lang w:val="cs-CZ"/>
        </w:rPr>
        <w:t xml:space="preserve"> klasifikace (</w:t>
      </w:r>
      <w:r w:rsidR="00F60CEB">
        <w:rPr>
          <w:sz w:val="22"/>
          <w:szCs w:val="22"/>
          <w:lang w:val="cs-CZ"/>
        </w:rPr>
        <w:t>těžká</w:t>
      </w:r>
      <w:r w:rsidR="00D90BE3" w:rsidRPr="003D520D">
        <w:rPr>
          <w:sz w:val="22"/>
          <w:szCs w:val="22"/>
          <w:lang w:val="cs-CZ"/>
        </w:rPr>
        <w:t xml:space="preserve">). </w:t>
      </w:r>
      <w:proofErr w:type="spellStart"/>
      <w:r w:rsidR="00D90BE3" w:rsidRPr="003D520D">
        <w:rPr>
          <w:sz w:val="22"/>
          <w:szCs w:val="22"/>
          <w:lang w:val="cs-CZ"/>
        </w:rPr>
        <w:t>Regorafenib</w:t>
      </w:r>
      <w:proofErr w:type="spellEnd"/>
      <w:r w:rsidR="00D90BE3" w:rsidRPr="003D520D">
        <w:rPr>
          <w:sz w:val="22"/>
          <w:szCs w:val="22"/>
          <w:lang w:val="cs-CZ"/>
        </w:rPr>
        <w:t xml:space="preserve"> je hlavně eliminován v játrech a expozic</w:t>
      </w:r>
      <w:r w:rsidR="00910FAC" w:rsidRPr="003D520D">
        <w:rPr>
          <w:sz w:val="22"/>
          <w:szCs w:val="22"/>
          <w:lang w:val="cs-CZ"/>
        </w:rPr>
        <w:t>e</w:t>
      </w:r>
      <w:r w:rsidR="00D90BE3" w:rsidRPr="003D520D">
        <w:rPr>
          <w:sz w:val="22"/>
          <w:szCs w:val="22"/>
          <w:lang w:val="cs-CZ"/>
        </w:rPr>
        <w:t xml:space="preserve"> může být zvýšena u této populace pacientů.</w:t>
      </w:r>
    </w:p>
    <w:p w14:paraId="7D4578B8" w14:textId="77777777" w:rsidR="00356F6E" w:rsidRPr="003D520D" w:rsidRDefault="00356F6E" w:rsidP="00D707AB">
      <w:pPr>
        <w:pStyle w:val="BayerBodyTextFull"/>
        <w:tabs>
          <w:tab w:val="left" w:pos="1418"/>
        </w:tabs>
        <w:spacing w:before="0" w:after="0"/>
        <w:rPr>
          <w:sz w:val="22"/>
          <w:szCs w:val="22"/>
          <w:lang w:val="cs-CZ"/>
        </w:rPr>
      </w:pPr>
    </w:p>
    <w:p w14:paraId="7D4578B9" w14:textId="77777777" w:rsidR="00356F6E" w:rsidRPr="005A5139" w:rsidRDefault="00356F6E" w:rsidP="005A5139">
      <w:pPr>
        <w:pStyle w:val="BayerBodyTextFull"/>
        <w:spacing w:before="0" w:after="0"/>
        <w:rPr>
          <w:sz w:val="22"/>
          <w:szCs w:val="22"/>
          <w:u w:val="single"/>
          <w:lang w:val="cs-CZ"/>
        </w:rPr>
      </w:pPr>
      <w:r w:rsidRPr="005A5139">
        <w:rPr>
          <w:sz w:val="22"/>
          <w:szCs w:val="22"/>
          <w:u w:val="single"/>
          <w:lang w:val="cs-CZ"/>
        </w:rPr>
        <w:t>Porucha funkce ledvin</w:t>
      </w:r>
    </w:p>
    <w:p w14:paraId="7D4578BA" w14:textId="77777777" w:rsidR="00A14AF0" w:rsidRPr="003D520D" w:rsidRDefault="00812247" w:rsidP="00D707AB">
      <w:pPr>
        <w:pStyle w:val="BayerBodyTextFull"/>
        <w:tabs>
          <w:tab w:val="left" w:pos="1418"/>
        </w:tabs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lastRenderedPageBreak/>
        <w:t>Dostupné klinické údaje a farmakokinetické modelování za fyziologických podmínek ukazují podobnou e</w:t>
      </w:r>
      <w:r w:rsidR="00356F6E" w:rsidRPr="003D520D">
        <w:rPr>
          <w:sz w:val="22"/>
          <w:szCs w:val="22"/>
          <w:lang w:val="cs-CZ"/>
        </w:rPr>
        <w:t>xpozic</w:t>
      </w:r>
      <w:r w:rsidRPr="003D520D">
        <w:rPr>
          <w:sz w:val="22"/>
          <w:szCs w:val="22"/>
          <w:lang w:val="cs-CZ"/>
        </w:rPr>
        <w:t>i</w:t>
      </w:r>
      <w:r w:rsidR="00356F6E" w:rsidRPr="003D520D">
        <w:rPr>
          <w:sz w:val="22"/>
          <w:szCs w:val="22"/>
          <w:lang w:val="cs-CZ"/>
        </w:rPr>
        <w:t xml:space="preserve"> </w:t>
      </w:r>
      <w:proofErr w:type="spellStart"/>
      <w:r w:rsidR="00356F6E" w:rsidRPr="003D520D">
        <w:rPr>
          <w:sz w:val="22"/>
          <w:szCs w:val="22"/>
          <w:lang w:val="cs-CZ"/>
        </w:rPr>
        <w:t>regorafenibu</w:t>
      </w:r>
      <w:proofErr w:type="spellEnd"/>
      <w:r w:rsidR="00356F6E" w:rsidRPr="003D520D">
        <w:rPr>
          <w:sz w:val="22"/>
          <w:szCs w:val="22"/>
          <w:lang w:val="cs-CZ"/>
        </w:rPr>
        <w:t xml:space="preserve"> </w:t>
      </w:r>
      <w:r w:rsidR="00111FF8" w:rsidRPr="003D520D">
        <w:rPr>
          <w:sz w:val="22"/>
          <w:szCs w:val="22"/>
          <w:lang w:val="cs-CZ"/>
        </w:rPr>
        <w:t xml:space="preserve">a </w:t>
      </w:r>
      <w:r w:rsidRPr="003D520D">
        <w:rPr>
          <w:sz w:val="22"/>
          <w:szCs w:val="22"/>
          <w:lang w:val="cs-CZ"/>
        </w:rPr>
        <w:t>jeho metabolitů</w:t>
      </w:r>
      <w:r w:rsidR="00D133D7">
        <w:rPr>
          <w:sz w:val="22"/>
          <w:szCs w:val="22"/>
          <w:lang w:val="cs-CZ"/>
        </w:rPr>
        <w:t>m</w:t>
      </w:r>
      <w:r w:rsidR="00051394" w:rsidRPr="003D520D">
        <w:rPr>
          <w:sz w:val="22"/>
          <w:szCs w:val="22"/>
          <w:lang w:val="cs-CZ"/>
        </w:rPr>
        <w:t xml:space="preserve"> M</w:t>
      </w:r>
      <w:r w:rsidR="00051394" w:rsidRPr="003D520D">
        <w:rPr>
          <w:sz w:val="22"/>
          <w:szCs w:val="22"/>
          <w:lang w:val="cs-CZ"/>
        </w:rPr>
        <w:noBreakHyphen/>
        <w:t>2 a M</w:t>
      </w:r>
      <w:r w:rsidR="00051394" w:rsidRPr="003D520D">
        <w:rPr>
          <w:sz w:val="22"/>
          <w:szCs w:val="22"/>
          <w:lang w:val="cs-CZ"/>
        </w:rPr>
        <w:noBreakHyphen/>
      </w:r>
      <w:r w:rsidR="00A14AF0" w:rsidRPr="003D520D">
        <w:rPr>
          <w:sz w:val="22"/>
          <w:szCs w:val="22"/>
          <w:lang w:val="cs-CZ"/>
        </w:rPr>
        <w:t>5</w:t>
      </w:r>
      <w:r w:rsidR="00356F6E" w:rsidRPr="003D520D">
        <w:rPr>
          <w:sz w:val="22"/>
          <w:szCs w:val="22"/>
          <w:lang w:val="cs-CZ"/>
        </w:rPr>
        <w:t xml:space="preserve"> </w:t>
      </w:r>
      <w:r w:rsidR="004C04BD" w:rsidRPr="003D520D">
        <w:rPr>
          <w:sz w:val="22"/>
          <w:szCs w:val="22"/>
          <w:lang w:val="cs-CZ"/>
        </w:rPr>
        <w:t xml:space="preserve">v ustáleném stavu </w:t>
      </w:r>
      <w:r w:rsidR="00356F6E" w:rsidRPr="003D520D">
        <w:rPr>
          <w:sz w:val="22"/>
          <w:szCs w:val="22"/>
          <w:lang w:val="cs-CZ"/>
        </w:rPr>
        <w:t>u pacientů s</w:t>
      </w:r>
      <w:r w:rsidR="00A14AF0" w:rsidRPr="003D520D">
        <w:rPr>
          <w:sz w:val="22"/>
          <w:szCs w:val="22"/>
          <w:lang w:val="cs-CZ"/>
        </w:rPr>
        <w:t> </w:t>
      </w:r>
      <w:r w:rsidR="00DB3F49">
        <w:rPr>
          <w:sz w:val="22"/>
          <w:szCs w:val="22"/>
          <w:lang w:val="cs-CZ"/>
        </w:rPr>
        <w:t>lehkou</w:t>
      </w:r>
      <w:r w:rsidR="00A14AF0" w:rsidRPr="003D520D">
        <w:rPr>
          <w:sz w:val="22"/>
          <w:szCs w:val="22"/>
          <w:lang w:val="cs-CZ"/>
        </w:rPr>
        <w:t xml:space="preserve"> </w:t>
      </w:r>
      <w:r w:rsidR="00F91537">
        <w:rPr>
          <w:sz w:val="22"/>
          <w:szCs w:val="22"/>
          <w:lang w:val="cs-CZ"/>
        </w:rPr>
        <w:t>nebo</w:t>
      </w:r>
      <w:r w:rsidR="00F91537" w:rsidRPr="003D520D">
        <w:rPr>
          <w:sz w:val="22"/>
          <w:szCs w:val="22"/>
          <w:lang w:val="cs-CZ"/>
        </w:rPr>
        <w:t xml:space="preserve"> </w:t>
      </w:r>
      <w:r w:rsidR="00A14AF0" w:rsidRPr="003D520D">
        <w:rPr>
          <w:sz w:val="22"/>
          <w:szCs w:val="22"/>
          <w:lang w:val="cs-CZ"/>
        </w:rPr>
        <w:t xml:space="preserve">středně </w:t>
      </w:r>
      <w:r w:rsidR="00DB3F49">
        <w:rPr>
          <w:sz w:val="22"/>
          <w:szCs w:val="22"/>
          <w:lang w:val="cs-CZ"/>
        </w:rPr>
        <w:t>těžkou</w:t>
      </w:r>
      <w:r w:rsidR="00356F6E" w:rsidRPr="003D520D">
        <w:rPr>
          <w:sz w:val="22"/>
          <w:szCs w:val="22"/>
          <w:lang w:val="cs-CZ"/>
        </w:rPr>
        <w:t xml:space="preserve"> poruchou funkce ledvin</w:t>
      </w:r>
      <w:r w:rsidR="00A14AF0" w:rsidRPr="003D520D">
        <w:rPr>
          <w:sz w:val="22"/>
          <w:szCs w:val="22"/>
          <w:lang w:val="cs-CZ"/>
        </w:rPr>
        <w:t xml:space="preserve"> ve srovnání s pacienty s</w:t>
      </w:r>
      <w:r w:rsidR="00356F6E" w:rsidRPr="003D520D">
        <w:rPr>
          <w:sz w:val="22"/>
          <w:szCs w:val="22"/>
          <w:lang w:val="cs-CZ"/>
        </w:rPr>
        <w:t xml:space="preserve"> normální funkcí ledvin. </w:t>
      </w:r>
      <w:r w:rsidR="00F91537">
        <w:rPr>
          <w:sz w:val="22"/>
          <w:szCs w:val="22"/>
          <w:lang w:val="cs-CZ"/>
        </w:rPr>
        <w:t xml:space="preserve"> U pacientů s</w:t>
      </w:r>
      <w:r w:rsidR="00DB3F49">
        <w:rPr>
          <w:sz w:val="22"/>
          <w:szCs w:val="22"/>
          <w:lang w:val="cs-CZ"/>
        </w:rPr>
        <w:t xml:space="preserve"> těžkou</w:t>
      </w:r>
      <w:r w:rsidR="00F91537">
        <w:rPr>
          <w:sz w:val="22"/>
          <w:szCs w:val="22"/>
          <w:lang w:val="cs-CZ"/>
        </w:rPr>
        <w:t xml:space="preserve"> poruchou funkce ledvin ve srovnání s pacienty s normální funkcí ledvin </w:t>
      </w:r>
      <w:r w:rsidR="00D133D7">
        <w:rPr>
          <w:sz w:val="22"/>
          <w:szCs w:val="22"/>
          <w:lang w:val="cs-CZ"/>
        </w:rPr>
        <w:t xml:space="preserve">byla expozice </w:t>
      </w:r>
      <w:proofErr w:type="spellStart"/>
      <w:r w:rsidR="00D133D7">
        <w:rPr>
          <w:sz w:val="22"/>
          <w:szCs w:val="22"/>
          <w:lang w:val="cs-CZ"/>
        </w:rPr>
        <w:t>regorafenibu</w:t>
      </w:r>
      <w:proofErr w:type="spellEnd"/>
      <w:r w:rsidR="00D133D7">
        <w:rPr>
          <w:sz w:val="22"/>
          <w:szCs w:val="22"/>
          <w:lang w:val="cs-CZ"/>
        </w:rPr>
        <w:t xml:space="preserve"> podobná, zatímco expozice M-2 a M-5 byla snížena asi o 30</w:t>
      </w:r>
      <w:r w:rsidR="00DB3F49">
        <w:rPr>
          <w:sz w:val="22"/>
          <w:szCs w:val="22"/>
          <w:lang w:val="cs-CZ"/>
        </w:rPr>
        <w:t xml:space="preserve"> </w:t>
      </w:r>
      <w:r w:rsidR="00D133D7">
        <w:rPr>
          <w:sz w:val="22"/>
          <w:szCs w:val="22"/>
          <w:lang w:val="cs-CZ"/>
        </w:rPr>
        <w:t xml:space="preserve">% za podmínek ustáleného stavu, což není považováno za </w:t>
      </w:r>
      <w:r w:rsidR="00AB1F53">
        <w:rPr>
          <w:sz w:val="22"/>
          <w:szCs w:val="22"/>
          <w:lang w:val="cs-CZ"/>
        </w:rPr>
        <w:t xml:space="preserve">klinicky </w:t>
      </w:r>
      <w:r w:rsidR="00D133D7">
        <w:rPr>
          <w:sz w:val="22"/>
          <w:szCs w:val="22"/>
          <w:lang w:val="cs-CZ"/>
        </w:rPr>
        <w:t>relevantní.</w:t>
      </w:r>
      <w:r w:rsidR="00F91537">
        <w:rPr>
          <w:sz w:val="22"/>
          <w:szCs w:val="22"/>
          <w:lang w:val="cs-CZ"/>
        </w:rPr>
        <w:t xml:space="preserve"> </w:t>
      </w:r>
    </w:p>
    <w:p w14:paraId="7D4578BB" w14:textId="77777777" w:rsidR="00356F6E" w:rsidRPr="003D520D" w:rsidRDefault="00356F6E" w:rsidP="00D707AB">
      <w:pPr>
        <w:pStyle w:val="BayerBodyTextFull"/>
        <w:tabs>
          <w:tab w:val="left" w:pos="1418"/>
        </w:tabs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Farmakokinetika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nebyla hodnocena u pacientů v konečném stadiu renálního onemocnění. </w:t>
      </w:r>
      <w:r w:rsidR="00A14AF0" w:rsidRPr="003D520D">
        <w:rPr>
          <w:sz w:val="22"/>
          <w:szCs w:val="22"/>
          <w:lang w:val="cs-CZ"/>
        </w:rPr>
        <w:t xml:space="preserve">Farmakokinetické modelování za fyziologických podmínek však </w:t>
      </w:r>
      <w:r w:rsidR="003378A1" w:rsidRPr="003D520D">
        <w:rPr>
          <w:sz w:val="22"/>
          <w:szCs w:val="22"/>
          <w:lang w:val="cs-CZ"/>
        </w:rPr>
        <w:t>nepředpovídá</w:t>
      </w:r>
      <w:r w:rsidR="00A14AF0" w:rsidRPr="003D520D">
        <w:rPr>
          <w:sz w:val="22"/>
          <w:szCs w:val="22"/>
          <w:lang w:val="cs-CZ"/>
        </w:rPr>
        <w:t xml:space="preserve"> žádnou významnou změnu expozice u těchto pacientů.</w:t>
      </w:r>
    </w:p>
    <w:p w14:paraId="7D4578BC" w14:textId="77777777" w:rsidR="00356F6E" w:rsidRPr="003D520D" w:rsidRDefault="00356F6E" w:rsidP="00D707AB">
      <w:pPr>
        <w:pStyle w:val="BayerBodyTextFull"/>
        <w:tabs>
          <w:tab w:val="left" w:pos="1418"/>
        </w:tabs>
        <w:spacing w:before="0" w:after="0"/>
        <w:rPr>
          <w:sz w:val="22"/>
          <w:szCs w:val="22"/>
          <w:lang w:val="cs-CZ"/>
        </w:rPr>
      </w:pPr>
    </w:p>
    <w:p w14:paraId="7D4578BD" w14:textId="77777777" w:rsidR="00356F6E" w:rsidRPr="005A5139" w:rsidRDefault="00356F6E" w:rsidP="005A5139">
      <w:pPr>
        <w:pStyle w:val="BayerBodyTextFull"/>
        <w:spacing w:before="0" w:after="0"/>
        <w:rPr>
          <w:sz w:val="22"/>
          <w:szCs w:val="22"/>
          <w:u w:val="single"/>
          <w:lang w:val="cs-CZ"/>
        </w:rPr>
      </w:pPr>
      <w:r w:rsidRPr="005A5139">
        <w:rPr>
          <w:sz w:val="22"/>
          <w:szCs w:val="22"/>
          <w:u w:val="single"/>
          <w:lang w:val="cs-CZ"/>
        </w:rPr>
        <w:t>Starší pacienti</w:t>
      </w:r>
    </w:p>
    <w:p w14:paraId="7D4578BE" w14:textId="77777777" w:rsidR="00356F6E" w:rsidRPr="003D520D" w:rsidRDefault="00356F6E" w:rsidP="00D707AB">
      <w:pPr>
        <w:pStyle w:val="BayerBodyTextFull"/>
        <w:spacing w:before="0" w:after="0"/>
        <w:rPr>
          <w:rFonts w:eastAsia="MS Mincho"/>
          <w:sz w:val="22"/>
          <w:szCs w:val="22"/>
          <w:lang w:val="cs-CZ" w:eastAsia="ja-JP"/>
        </w:rPr>
      </w:pPr>
      <w:r w:rsidRPr="003D520D">
        <w:rPr>
          <w:sz w:val="22"/>
          <w:szCs w:val="22"/>
          <w:lang w:val="cs-CZ" w:eastAsia="ja-JP"/>
        </w:rPr>
        <w:t xml:space="preserve">Věk neovlivňoval farmakokinetiku </w:t>
      </w:r>
      <w:proofErr w:type="spellStart"/>
      <w:r w:rsidRPr="003D520D">
        <w:rPr>
          <w:sz w:val="22"/>
          <w:szCs w:val="22"/>
          <w:lang w:val="cs-CZ" w:eastAsia="ja-JP"/>
        </w:rPr>
        <w:t>regorafenibu</w:t>
      </w:r>
      <w:proofErr w:type="spellEnd"/>
      <w:r w:rsidRPr="003D520D">
        <w:rPr>
          <w:sz w:val="22"/>
          <w:szCs w:val="22"/>
          <w:lang w:val="cs-CZ" w:eastAsia="ja-JP"/>
        </w:rPr>
        <w:t xml:space="preserve"> v hodnoceném věkovém rozmezí (29</w:t>
      </w:r>
      <w:r w:rsidR="000F7939" w:rsidRPr="003D520D">
        <w:rPr>
          <w:sz w:val="22"/>
          <w:szCs w:val="22"/>
          <w:lang w:val="cs-CZ" w:eastAsia="ja-JP"/>
        </w:rPr>
        <w:noBreakHyphen/>
      </w:r>
      <w:r w:rsidRPr="003D520D">
        <w:rPr>
          <w:sz w:val="22"/>
          <w:szCs w:val="22"/>
          <w:lang w:val="cs-CZ" w:eastAsia="ja-JP"/>
        </w:rPr>
        <w:t>85</w:t>
      </w:r>
      <w:r w:rsidR="000F7939" w:rsidRPr="003D520D">
        <w:rPr>
          <w:sz w:val="22"/>
          <w:szCs w:val="22"/>
          <w:lang w:val="cs-CZ" w:eastAsia="ja-JP"/>
        </w:rPr>
        <w:t> </w:t>
      </w:r>
      <w:r w:rsidRPr="003D520D">
        <w:rPr>
          <w:sz w:val="22"/>
          <w:szCs w:val="22"/>
          <w:lang w:val="cs-CZ" w:eastAsia="ja-JP"/>
        </w:rPr>
        <w:t>let).</w:t>
      </w:r>
    </w:p>
    <w:p w14:paraId="7D4578BF" w14:textId="77777777" w:rsidR="00356F6E" w:rsidRPr="003D520D" w:rsidRDefault="00356F6E" w:rsidP="00D707AB">
      <w:pPr>
        <w:pStyle w:val="BayerBodyTextFull"/>
        <w:spacing w:before="0" w:after="0"/>
        <w:rPr>
          <w:rFonts w:eastAsia="MS Mincho"/>
          <w:sz w:val="22"/>
          <w:szCs w:val="22"/>
          <w:lang w:val="cs-CZ" w:eastAsia="ja-JP"/>
        </w:rPr>
      </w:pPr>
    </w:p>
    <w:p w14:paraId="7D4578C0" w14:textId="77777777" w:rsidR="00356F6E" w:rsidRPr="005A5139" w:rsidRDefault="00356F6E" w:rsidP="005A5139">
      <w:pPr>
        <w:pStyle w:val="BayerBodyTextFull"/>
        <w:spacing w:before="0" w:after="0"/>
        <w:rPr>
          <w:sz w:val="22"/>
          <w:szCs w:val="22"/>
          <w:u w:val="single"/>
          <w:lang w:val="cs-CZ"/>
        </w:rPr>
      </w:pPr>
      <w:r w:rsidRPr="005A5139">
        <w:rPr>
          <w:sz w:val="22"/>
          <w:szCs w:val="22"/>
          <w:u w:val="single"/>
          <w:lang w:val="cs-CZ"/>
        </w:rPr>
        <w:t>Pohlaví</w:t>
      </w:r>
    </w:p>
    <w:p w14:paraId="7D4578C1" w14:textId="77777777" w:rsidR="00356F6E" w:rsidRPr="003D520D" w:rsidRDefault="00356F6E" w:rsidP="00D707AB">
      <w:pPr>
        <w:pStyle w:val="BayerBodyTextFull"/>
        <w:spacing w:before="0" w:after="0"/>
        <w:rPr>
          <w:rFonts w:eastAsia="MS Mincho"/>
          <w:sz w:val="22"/>
          <w:szCs w:val="22"/>
          <w:lang w:val="cs-CZ" w:eastAsia="ja-JP"/>
        </w:rPr>
      </w:pPr>
      <w:r w:rsidRPr="003D520D">
        <w:rPr>
          <w:sz w:val="22"/>
          <w:szCs w:val="22"/>
          <w:lang w:val="cs-CZ" w:eastAsia="ja-JP"/>
        </w:rPr>
        <w:t xml:space="preserve">Farmakokinetika </w:t>
      </w:r>
      <w:proofErr w:type="spellStart"/>
      <w:r w:rsidRPr="003D520D">
        <w:rPr>
          <w:sz w:val="22"/>
          <w:szCs w:val="22"/>
          <w:lang w:val="cs-CZ" w:eastAsia="ja-JP"/>
        </w:rPr>
        <w:t>regorafenibu</w:t>
      </w:r>
      <w:proofErr w:type="spellEnd"/>
      <w:r w:rsidRPr="003D520D">
        <w:rPr>
          <w:sz w:val="22"/>
          <w:szCs w:val="22"/>
          <w:lang w:val="cs-CZ" w:eastAsia="ja-JP"/>
        </w:rPr>
        <w:t xml:space="preserve"> není ovlivněna pohlavím.</w:t>
      </w:r>
    </w:p>
    <w:p w14:paraId="7D4578C2" w14:textId="77777777" w:rsidR="00356F6E" w:rsidRPr="003D520D" w:rsidRDefault="00356F6E" w:rsidP="00D707AB">
      <w:pPr>
        <w:pStyle w:val="BayerBodyTextFull"/>
        <w:spacing w:before="0" w:after="0"/>
        <w:rPr>
          <w:rFonts w:eastAsia="MS Mincho"/>
          <w:sz w:val="22"/>
          <w:szCs w:val="22"/>
          <w:lang w:val="cs-CZ" w:eastAsia="ja-JP"/>
        </w:rPr>
      </w:pPr>
    </w:p>
    <w:p w14:paraId="7D4578C3" w14:textId="77777777" w:rsidR="00356F6E" w:rsidRPr="003D520D" w:rsidRDefault="00356F6E" w:rsidP="00D707AB">
      <w:pPr>
        <w:pStyle w:val="BayerBodyTextFull"/>
        <w:keepNext/>
        <w:keepLines/>
        <w:spacing w:before="0" w:after="0"/>
        <w:rPr>
          <w:sz w:val="22"/>
          <w:szCs w:val="22"/>
          <w:u w:val="single"/>
          <w:lang w:val="cs-CZ"/>
        </w:rPr>
      </w:pPr>
      <w:r w:rsidRPr="003D520D">
        <w:rPr>
          <w:sz w:val="22"/>
          <w:szCs w:val="22"/>
          <w:u w:val="single"/>
          <w:lang w:val="cs-CZ"/>
        </w:rPr>
        <w:t>Etnické rozdíly</w:t>
      </w:r>
    </w:p>
    <w:p w14:paraId="7D4578C4" w14:textId="77777777" w:rsidR="00356F6E" w:rsidRPr="003D520D" w:rsidRDefault="00356F6E" w:rsidP="00D707AB">
      <w:pPr>
        <w:pStyle w:val="Textkomente"/>
        <w:spacing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Expozice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pozorovaná u různých asijských populací (čínská, japonská, korejská) je ve stejném rozmezí jako u bělochů.</w:t>
      </w:r>
    </w:p>
    <w:p w14:paraId="7D4578C5" w14:textId="77777777" w:rsidR="00356F6E" w:rsidRPr="005A5139" w:rsidRDefault="00356F6E" w:rsidP="005A5139">
      <w:pPr>
        <w:pStyle w:val="BayerBodyTextFull"/>
        <w:keepNext/>
        <w:keepLines/>
        <w:spacing w:before="0" w:after="0"/>
        <w:rPr>
          <w:sz w:val="22"/>
          <w:szCs w:val="22"/>
          <w:u w:val="single"/>
          <w:lang w:val="cs-CZ"/>
        </w:rPr>
      </w:pPr>
    </w:p>
    <w:p w14:paraId="7D4578C6" w14:textId="77777777" w:rsidR="00356F6E" w:rsidRPr="005A5139" w:rsidRDefault="00356F6E" w:rsidP="005A5139">
      <w:pPr>
        <w:pStyle w:val="BayerBodyTextFull"/>
        <w:keepNext/>
        <w:keepLines/>
        <w:spacing w:before="0" w:after="0"/>
        <w:rPr>
          <w:sz w:val="22"/>
          <w:szCs w:val="22"/>
          <w:u w:val="single"/>
          <w:lang w:val="cs-CZ"/>
        </w:rPr>
      </w:pPr>
      <w:r w:rsidRPr="005A5139">
        <w:rPr>
          <w:sz w:val="22"/>
          <w:szCs w:val="22"/>
          <w:u w:val="single"/>
          <w:lang w:val="cs-CZ"/>
        </w:rPr>
        <w:t>Srdeční elektrofyziologie/prodloužení QT</w:t>
      </w:r>
    </w:p>
    <w:p w14:paraId="7D4578C7" w14:textId="77777777" w:rsidR="0008443B" w:rsidRDefault="00356F6E" w:rsidP="0008443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Nebyly pozorovány žádné účinky na prodloužení </w:t>
      </w:r>
      <w:proofErr w:type="spellStart"/>
      <w:r w:rsidRPr="003D520D">
        <w:rPr>
          <w:sz w:val="22"/>
          <w:szCs w:val="22"/>
          <w:lang w:val="cs-CZ"/>
        </w:rPr>
        <w:t>QTc</w:t>
      </w:r>
      <w:proofErr w:type="spellEnd"/>
      <w:r w:rsidRPr="003D520D">
        <w:rPr>
          <w:sz w:val="22"/>
          <w:szCs w:val="22"/>
          <w:lang w:val="cs-CZ"/>
        </w:rPr>
        <w:t xml:space="preserve"> intervalu po podání 160</w:t>
      </w:r>
      <w:r w:rsidR="000F7939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 xml:space="preserve">mg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v ustáleném stavu v</w:t>
      </w:r>
      <w:r w:rsidR="00424ED4" w:rsidRPr="003D520D">
        <w:rPr>
          <w:sz w:val="22"/>
          <w:szCs w:val="22"/>
          <w:lang w:val="cs-CZ"/>
        </w:rPr>
        <w:t>e zvláštní</w:t>
      </w:r>
      <w:r w:rsidRPr="003D520D">
        <w:rPr>
          <w:sz w:val="22"/>
          <w:szCs w:val="22"/>
          <w:lang w:val="cs-CZ"/>
        </w:rPr>
        <w:t xml:space="preserve"> QT studii u mužů a žen s nádorovým onemocněním.</w:t>
      </w:r>
    </w:p>
    <w:p w14:paraId="7D4578C8" w14:textId="77777777" w:rsidR="0008443B" w:rsidRDefault="0008443B" w:rsidP="0008443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C9" w14:textId="77777777" w:rsidR="0008443B" w:rsidRDefault="0008443B" w:rsidP="0008443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CA" w14:textId="77777777" w:rsidR="0008443B" w:rsidRDefault="0008443B" w:rsidP="0008443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CB" w14:textId="77777777" w:rsidR="0008443B" w:rsidRDefault="0008443B" w:rsidP="0008443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CC" w14:textId="77777777" w:rsidR="0008443B" w:rsidRDefault="0008443B" w:rsidP="0008443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CD" w14:textId="77777777" w:rsidR="00356F6E" w:rsidRPr="0008443B" w:rsidRDefault="0008443B" w:rsidP="0001612B">
      <w:pPr>
        <w:pStyle w:val="BayerBodyTextFull"/>
        <w:spacing w:before="0" w:after="0"/>
        <w:outlineLvl w:val="2"/>
        <w:rPr>
          <w:rFonts w:eastAsia="MS Mincho"/>
          <w:b/>
          <w:bCs/>
          <w:sz w:val="22"/>
          <w:szCs w:val="22"/>
          <w:lang w:val="cs-CZ"/>
        </w:rPr>
      </w:pPr>
      <w:r w:rsidRPr="0008443B">
        <w:rPr>
          <w:b/>
          <w:bCs/>
          <w:sz w:val="22"/>
          <w:szCs w:val="22"/>
          <w:lang w:val="cs-CZ"/>
        </w:rPr>
        <w:t>5.3</w:t>
      </w:r>
      <w:r w:rsidRPr="0008443B">
        <w:rPr>
          <w:b/>
          <w:bCs/>
          <w:sz w:val="22"/>
          <w:szCs w:val="22"/>
          <w:lang w:val="cs-CZ"/>
        </w:rPr>
        <w:tab/>
      </w:r>
      <w:proofErr w:type="spellStart"/>
      <w:r w:rsidR="00356F6E" w:rsidRPr="0008443B">
        <w:rPr>
          <w:b/>
          <w:bCs/>
          <w:sz w:val="22"/>
          <w:szCs w:val="22"/>
          <w:lang w:val="cs-CZ"/>
        </w:rPr>
        <w:t>Předklinické</w:t>
      </w:r>
      <w:proofErr w:type="spellEnd"/>
      <w:r w:rsidR="00356F6E" w:rsidRPr="0008443B">
        <w:rPr>
          <w:b/>
          <w:bCs/>
          <w:sz w:val="22"/>
          <w:szCs w:val="22"/>
          <w:lang w:val="cs-CZ"/>
        </w:rPr>
        <w:t xml:space="preserve"> údaje vztahující se k</w:t>
      </w:r>
      <w:r w:rsidR="000F7939" w:rsidRPr="0008443B">
        <w:rPr>
          <w:b/>
          <w:bCs/>
          <w:sz w:val="22"/>
          <w:szCs w:val="22"/>
          <w:lang w:val="cs-CZ"/>
        </w:rPr>
        <w:t> </w:t>
      </w:r>
      <w:r w:rsidR="00356F6E" w:rsidRPr="0008443B">
        <w:rPr>
          <w:b/>
          <w:bCs/>
          <w:sz w:val="22"/>
          <w:szCs w:val="22"/>
          <w:lang w:val="cs-CZ"/>
        </w:rPr>
        <w:t>bezpečnosti</w:t>
      </w:r>
    </w:p>
    <w:p w14:paraId="7D4578CE" w14:textId="77777777" w:rsidR="00356F6E" w:rsidRPr="003D520D" w:rsidRDefault="00356F6E" w:rsidP="00D707AB">
      <w:pPr>
        <w:pStyle w:val="Normlnodsazen"/>
        <w:keepNext/>
        <w:keepLines/>
        <w:spacing w:after="0"/>
        <w:ind w:left="0"/>
        <w:rPr>
          <w:szCs w:val="22"/>
          <w:lang w:val="cs-CZ"/>
        </w:rPr>
      </w:pPr>
    </w:p>
    <w:p w14:paraId="7D4578CF" w14:textId="77777777" w:rsidR="00356F6E" w:rsidRPr="0008443B" w:rsidRDefault="00356F6E" w:rsidP="0008443B">
      <w:pPr>
        <w:pStyle w:val="BayerBodyTextFull"/>
        <w:keepNext/>
        <w:keepLines/>
        <w:spacing w:before="0" w:after="0"/>
        <w:rPr>
          <w:sz w:val="22"/>
          <w:szCs w:val="22"/>
          <w:u w:val="single"/>
          <w:lang w:val="cs-CZ"/>
        </w:rPr>
      </w:pPr>
      <w:r w:rsidRPr="0008443B">
        <w:rPr>
          <w:sz w:val="22"/>
          <w:szCs w:val="22"/>
          <w:u w:val="single"/>
          <w:lang w:val="cs-CZ"/>
        </w:rPr>
        <w:t>Systémová toxicita</w:t>
      </w:r>
    </w:p>
    <w:p w14:paraId="7D4578D0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Po opakovaném podávání myším, potkanům a psům byly pozorovány nežádoucí účinky na mnoho orgánů, přednostně na ledviny, játra, trávicí trakt,</w:t>
      </w:r>
      <w:r w:rsidR="002D3DC1" w:rsidRPr="003D520D">
        <w:rPr>
          <w:sz w:val="22"/>
          <w:szCs w:val="22"/>
          <w:lang w:val="cs-CZ"/>
        </w:rPr>
        <w:t xml:space="preserve"> štítnou žlázu</w:t>
      </w:r>
      <w:r w:rsidRPr="003D520D">
        <w:rPr>
          <w:sz w:val="22"/>
          <w:szCs w:val="22"/>
          <w:lang w:val="cs-CZ"/>
        </w:rPr>
        <w:t xml:space="preserve">, lymfatický/hematopoetický systém, endokrinní systém, reprodukční systém a kůži. </w:t>
      </w:r>
      <w:r w:rsidR="002D3DC1" w:rsidRPr="003D520D">
        <w:rPr>
          <w:sz w:val="22"/>
          <w:szCs w:val="22"/>
          <w:lang w:val="cs-CZ"/>
        </w:rPr>
        <w:t xml:space="preserve">Mírně zvýšená incidence ztluštění atrioventrikulárních srdečních chlopní byla pozorována ve 26týdenní studii opakované toxicity u potkanů. To může být způsobeno akcelerací fyziologického procesu souvisejícího s věkem. </w:t>
      </w:r>
      <w:r w:rsidRPr="003D520D">
        <w:rPr>
          <w:sz w:val="22"/>
          <w:szCs w:val="22"/>
          <w:lang w:val="cs-CZ"/>
        </w:rPr>
        <w:t xml:space="preserve">Tyto účinky se objevily při systémových expozicích v rozsahu </w:t>
      </w:r>
      <w:r w:rsidR="00111FF8" w:rsidRPr="003D520D">
        <w:rPr>
          <w:sz w:val="22"/>
          <w:szCs w:val="22"/>
          <w:lang w:val="cs-CZ"/>
        </w:rPr>
        <w:t xml:space="preserve">expozice u člověka </w:t>
      </w:r>
      <w:r w:rsidRPr="003D520D">
        <w:rPr>
          <w:sz w:val="22"/>
          <w:szCs w:val="22"/>
          <w:lang w:val="cs-CZ"/>
        </w:rPr>
        <w:t xml:space="preserve">nebo pod očekávanou expozicí u člověka (podle srovnání AUC). </w:t>
      </w:r>
    </w:p>
    <w:p w14:paraId="7D4578D1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Změny zubů a kostí </w:t>
      </w:r>
      <w:r w:rsidR="00ED680A" w:rsidRPr="003D520D">
        <w:rPr>
          <w:sz w:val="22"/>
          <w:szCs w:val="22"/>
          <w:lang w:val="cs-CZ"/>
        </w:rPr>
        <w:t xml:space="preserve">a nežádoucí účinky v reprodukčním systému </w:t>
      </w:r>
      <w:r w:rsidRPr="003D520D">
        <w:rPr>
          <w:sz w:val="22"/>
          <w:szCs w:val="22"/>
          <w:lang w:val="cs-CZ"/>
        </w:rPr>
        <w:t>byly</w:t>
      </w:r>
      <w:r w:rsidR="00ED680A" w:rsidRPr="003D520D">
        <w:rPr>
          <w:sz w:val="22"/>
          <w:szCs w:val="22"/>
          <w:lang w:val="cs-CZ"/>
        </w:rPr>
        <w:t xml:space="preserve"> výraznější</w:t>
      </w:r>
      <w:r w:rsidRPr="003D520D">
        <w:rPr>
          <w:sz w:val="22"/>
          <w:szCs w:val="22"/>
          <w:lang w:val="cs-CZ"/>
        </w:rPr>
        <w:t xml:space="preserve"> u mladých a dospívajících </w:t>
      </w:r>
      <w:r w:rsidR="00ED680A" w:rsidRPr="003D520D">
        <w:rPr>
          <w:sz w:val="22"/>
          <w:szCs w:val="22"/>
          <w:lang w:val="cs-CZ"/>
        </w:rPr>
        <w:t xml:space="preserve">zvířat a rovněž u mladých potkanů </w:t>
      </w:r>
      <w:r w:rsidRPr="003D520D">
        <w:rPr>
          <w:sz w:val="22"/>
          <w:szCs w:val="22"/>
          <w:lang w:val="cs-CZ"/>
        </w:rPr>
        <w:t>a ukazují na možné riziko pro děti a dospívající.</w:t>
      </w:r>
    </w:p>
    <w:p w14:paraId="7D4578D2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D3" w14:textId="77777777" w:rsidR="00356F6E" w:rsidRPr="0008443B" w:rsidRDefault="00356F6E" w:rsidP="0008443B">
      <w:pPr>
        <w:pStyle w:val="BayerBodyTextFull"/>
        <w:keepNext/>
        <w:keepLines/>
        <w:spacing w:before="0" w:after="0"/>
        <w:rPr>
          <w:sz w:val="22"/>
          <w:szCs w:val="22"/>
          <w:u w:val="single"/>
          <w:lang w:val="cs-CZ"/>
        </w:rPr>
      </w:pPr>
      <w:r w:rsidRPr="0008443B">
        <w:rPr>
          <w:sz w:val="22"/>
          <w:szCs w:val="22"/>
          <w:u w:val="single"/>
          <w:lang w:val="cs-CZ"/>
        </w:rPr>
        <w:t>Reprodukční a vývojová toxicita</w:t>
      </w:r>
    </w:p>
    <w:p w14:paraId="7D4578D4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Specifické studie hodnotící fertilitu nebyly provedeny. Musí však být zvážen potenciál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nežádoucím způsobem ovlivnit mužskou a ženskou reprodukci na základě morfologických změn varlat, vaječníků a dělohy pozorovaných po opakovaném podávání u potkanů a psů při expozicích pod očekávanou expozicí u člověka (na základě AUC). Pozorované změny byly pouze částečně reverzibilní.</w:t>
      </w:r>
    </w:p>
    <w:p w14:paraId="7D4578D5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D6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Účinek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na nitroděložní vývoj byl prokázán u králíků při expozicích pod očekávanou expozicí u člověka (na základě srovnání AUC). Hlavní nálezy zahrnovaly malformace močového systému, srdce a velkých cév a kostry.</w:t>
      </w:r>
    </w:p>
    <w:p w14:paraId="7D4578D7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D8" w14:textId="77777777" w:rsidR="00356F6E" w:rsidRPr="0008443B" w:rsidRDefault="00356F6E" w:rsidP="0008443B">
      <w:pPr>
        <w:pStyle w:val="BayerBodyTextFull"/>
        <w:keepNext/>
        <w:keepLines/>
        <w:spacing w:before="0" w:after="0"/>
        <w:rPr>
          <w:sz w:val="22"/>
          <w:szCs w:val="22"/>
          <w:u w:val="single"/>
          <w:lang w:val="cs-CZ"/>
        </w:rPr>
      </w:pPr>
      <w:r w:rsidRPr="0008443B">
        <w:rPr>
          <w:sz w:val="22"/>
          <w:szCs w:val="22"/>
          <w:u w:val="single"/>
          <w:lang w:val="cs-CZ"/>
        </w:rPr>
        <w:lastRenderedPageBreak/>
        <w:t xml:space="preserve">Genotoxicita a </w:t>
      </w:r>
      <w:proofErr w:type="spellStart"/>
      <w:r w:rsidRPr="0008443B">
        <w:rPr>
          <w:sz w:val="22"/>
          <w:szCs w:val="22"/>
          <w:u w:val="single"/>
          <w:lang w:val="cs-CZ"/>
        </w:rPr>
        <w:t>ka</w:t>
      </w:r>
      <w:r w:rsidR="0006023B" w:rsidRPr="0008443B">
        <w:rPr>
          <w:sz w:val="22"/>
          <w:szCs w:val="22"/>
          <w:u w:val="single"/>
          <w:lang w:val="cs-CZ"/>
        </w:rPr>
        <w:t>ncerogenita</w:t>
      </w:r>
      <w:proofErr w:type="spellEnd"/>
    </w:p>
    <w:p w14:paraId="7D4578D9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Nebyly zaznamenány žádné známky genotoxického potenciálu </w:t>
      </w:r>
      <w:proofErr w:type="spellStart"/>
      <w:r w:rsidRPr="003D520D">
        <w:rPr>
          <w:sz w:val="22"/>
          <w:szCs w:val="22"/>
          <w:lang w:val="cs-CZ"/>
        </w:rPr>
        <w:t>regorafenibu</w:t>
      </w:r>
      <w:proofErr w:type="spellEnd"/>
      <w:r w:rsidRPr="003D520D">
        <w:rPr>
          <w:sz w:val="22"/>
          <w:szCs w:val="22"/>
          <w:lang w:val="cs-CZ"/>
        </w:rPr>
        <w:t xml:space="preserve"> hodnoceného ve standardních zkouškách </w:t>
      </w:r>
      <w:r w:rsidRPr="003D520D">
        <w:rPr>
          <w:i/>
          <w:iCs/>
          <w:sz w:val="22"/>
          <w:szCs w:val="22"/>
          <w:lang w:val="cs-CZ"/>
        </w:rPr>
        <w:t>in vitro</w:t>
      </w:r>
      <w:r w:rsidRPr="003D520D">
        <w:rPr>
          <w:sz w:val="22"/>
          <w:szCs w:val="22"/>
          <w:lang w:val="cs-CZ"/>
        </w:rPr>
        <w:t xml:space="preserve"> a </w:t>
      </w:r>
      <w:r w:rsidRPr="003D520D">
        <w:rPr>
          <w:i/>
          <w:iCs/>
          <w:sz w:val="22"/>
          <w:szCs w:val="22"/>
          <w:lang w:val="cs-CZ"/>
        </w:rPr>
        <w:t xml:space="preserve">in </w:t>
      </w:r>
      <w:proofErr w:type="spellStart"/>
      <w:r w:rsidRPr="003D520D">
        <w:rPr>
          <w:i/>
          <w:iCs/>
          <w:sz w:val="22"/>
          <w:szCs w:val="22"/>
          <w:lang w:val="cs-CZ"/>
        </w:rPr>
        <w:t>vivo</w:t>
      </w:r>
      <w:proofErr w:type="spellEnd"/>
      <w:r w:rsidRPr="003D520D">
        <w:rPr>
          <w:sz w:val="22"/>
          <w:szCs w:val="22"/>
          <w:lang w:val="cs-CZ"/>
        </w:rPr>
        <w:t xml:space="preserve"> u myší.</w:t>
      </w:r>
    </w:p>
    <w:p w14:paraId="7D4578DA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DB" w14:textId="77777777" w:rsidR="00D502BE" w:rsidRDefault="00356F6E" w:rsidP="0008443B">
      <w:pPr>
        <w:pStyle w:val="BayerBodyTextFull"/>
        <w:spacing w:before="0" w:after="0"/>
        <w:rPr>
          <w:sz w:val="22"/>
          <w:szCs w:val="22"/>
          <w:lang w:val="cs-CZ"/>
        </w:rPr>
      </w:pPr>
      <w:r w:rsidRPr="0008443B">
        <w:rPr>
          <w:sz w:val="22"/>
          <w:szCs w:val="22"/>
          <w:lang w:val="cs-CZ"/>
        </w:rPr>
        <w:t>Studie</w:t>
      </w:r>
      <w:r w:rsidR="0006023B" w:rsidRPr="0008443B">
        <w:rPr>
          <w:sz w:val="22"/>
          <w:szCs w:val="22"/>
          <w:lang w:val="cs-CZ"/>
        </w:rPr>
        <w:t xml:space="preserve"> kancerogenního</w:t>
      </w:r>
      <w:r w:rsidRPr="0008443B">
        <w:rPr>
          <w:sz w:val="22"/>
          <w:szCs w:val="22"/>
          <w:lang w:val="cs-CZ"/>
        </w:rPr>
        <w:t xml:space="preserve"> potenciálu </w:t>
      </w:r>
      <w:proofErr w:type="spellStart"/>
      <w:r w:rsidRPr="0008443B">
        <w:rPr>
          <w:sz w:val="22"/>
          <w:szCs w:val="22"/>
          <w:lang w:val="cs-CZ"/>
        </w:rPr>
        <w:t>regorafenibu</w:t>
      </w:r>
      <w:proofErr w:type="spellEnd"/>
      <w:r w:rsidRPr="0008443B">
        <w:rPr>
          <w:sz w:val="22"/>
          <w:szCs w:val="22"/>
          <w:lang w:val="cs-CZ"/>
        </w:rPr>
        <w:t xml:space="preserve"> nebyly provedeny.</w:t>
      </w:r>
    </w:p>
    <w:p w14:paraId="7D4578DC" w14:textId="77777777" w:rsidR="0008443B" w:rsidRPr="0008443B" w:rsidRDefault="0008443B" w:rsidP="0008443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DD" w14:textId="77777777" w:rsidR="00D502BE" w:rsidRPr="00EE300C" w:rsidRDefault="00D502BE" w:rsidP="0008443B">
      <w:pPr>
        <w:pStyle w:val="BayerBodyTextFull"/>
        <w:keepNext/>
        <w:keepLines/>
        <w:spacing w:before="0" w:after="0"/>
        <w:rPr>
          <w:i/>
          <w:szCs w:val="22"/>
          <w:u w:val="single"/>
          <w:lang w:val="cs-CZ"/>
        </w:rPr>
      </w:pPr>
      <w:r w:rsidRPr="0008443B">
        <w:rPr>
          <w:sz w:val="22"/>
          <w:szCs w:val="22"/>
          <w:u w:val="single"/>
          <w:lang w:val="cs-CZ"/>
        </w:rPr>
        <w:t>Posouzení rizika pro životní prostředí</w:t>
      </w:r>
    </w:p>
    <w:p w14:paraId="7D4578DE" w14:textId="77777777" w:rsidR="00D502BE" w:rsidRPr="00EE300C" w:rsidRDefault="00D502BE" w:rsidP="00D707AB">
      <w:pPr>
        <w:pStyle w:val="Normlnodsazen"/>
        <w:ind w:left="0"/>
        <w:rPr>
          <w:szCs w:val="22"/>
          <w:lang w:val="cs-CZ" w:eastAsia="en-US"/>
        </w:rPr>
      </w:pPr>
      <w:r w:rsidRPr="00EE300C">
        <w:rPr>
          <w:szCs w:val="22"/>
          <w:lang w:val="cs-CZ" w:eastAsia="en-US"/>
        </w:rPr>
        <w:t xml:space="preserve">Studie posuzující riziko pro životní prostředí ukázaly, že </w:t>
      </w:r>
      <w:proofErr w:type="spellStart"/>
      <w:r w:rsidRPr="00EE300C">
        <w:rPr>
          <w:szCs w:val="22"/>
          <w:lang w:val="cs-CZ" w:eastAsia="en-US"/>
        </w:rPr>
        <w:t>regorafenib</w:t>
      </w:r>
      <w:proofErr w:type="spellEnd"/>
      <w:r w:rsidRPr="00EE300C">
        <w:rPr>
          <w:szCs w:val="22"/>
          <w:lang w:val="cs-CZ" w:eastAsia="en-US"/>
        </w:rPr>
        <w:t xml:space="preserve"> má potenciál být stálý, </w:t>
      </w:r>
      <w:proofErr w:type="spellStart"/>
      <w:r w:rsidRPr="00EE300C">
        <w:rPr>
          <w:szCs w:val="22"/>
          <w:lang w:val="cs-CZ" w:eastAsia="en-US"/>
        </w:rPr>
        <w:t>biokumulativní</w:t>
      </w:r>
      <w:proofErr w:type="spellEnd"/>
      <w:r w:rsidRPr="00EE300C">
        <w:rPr>
          <w:szCs w:val="22"/>
          <w:lang w:val="cs-CZ" w:eastAsia="en-US"/>
        </w:rPr>
        <w:t xml:space="preserve"> a toxický k životnímu prostředí a může představovat riziko pro povrchové vody a pro sediment (viz bod 6.6).  </w:t>
      </w:r>
    </w:p>
    <w:p w14:paraId="7D4578DF" w14:textId="77777777" w:rsidR="00D502BE" w:rsidRPr="003D520D" w:rsidRDefault="00D502BE" w:rsidP="00D707AB">
      <w:pPr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8E0" w14:textId="77777777" w:rsidR="00356F6E" w:rsidRPr="003D520D" w:rsidRDefault="00356F6E" w:rsidP="00D707AB">
      <w:pPr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8E1" w14:textId="77777777" w:rsidR="00356F6E" w:rsidRPr="0008443B" w:rsidRDefault="00356F6E" w:rsidP="001C40B8">
      <w:pPr>
        <w:pStyle w:val="BayerBodyTextFull"/>
        <w:spacing w:before="0" w:after="0"/>
        <w:outlineLvl w:val="1"/>
        <w:rPr>
          <w:b/>
          <w:bCs/>
          <w:sz w:val="22"/>
          <w:szCs w:val="22"/>
          <w:lang w:val="cs-CZ"/>
        </w:rPr>
      </w:pPr>
      <w:r w:rsidRPr="0008443B">
        <w:rPr>
          <w:b/>
          <w:bCs/>
          <w:sz w:val="22"/>
          <w:szCs w:val="22"/>
          <w:lang w:val="cs-CZ"/>
        </w:rPr>
        <w:t>6.</w:t>
      </w:r>
      <w:r w:rsidRPr="0008443B">
        <w:rPr>
          <w:b/>
          <w:bCs/>
          <w:sz w:val="22"/>
          <w:szCs w:val="22"/>
          <w:lang w:val="cs-CZ"/>
        </w:rPr>
        <w:tab/>
        <w:t>FARMACEUTICKÉ ÚDAJE</w:t>
      </w:r>
    </w:p>
    <w:p w14:paraId="7D4578E2" w14:textId="77777777" w:rsidR="00356F6E" w:rsidRPr="003D520D" w:rsidRDefault="00356F6E" w:rsidP="00D707AB">
      <w:pPr>
        <w:pStyle w:val="Normlnodsazen"/>
        <w:keepNext/>
        <w:keepLines/>
        <w:spacing w:after="0"/>
        <w:ind w:left="0"/>
        <w:rPr>
          <w:szCs w:val="22"/>
          <w:lang w:val="cs-CZ"/>
        </w:rPr>
      </w:pPr>
    </w:p>
    <w:p w14:paraId="7D4578E3" w14:textId="77777777" w:rsidR="00356F6E" w:rsidRPr="0008443B" w:rsidRDefault="00356F6E" w:rsidP="0001612B">
      <w:pPr>
        <w:pStyle w:val="BayerBodyTextFull"/>
        <w:spacing w:before="0" w:after="0"/>
        <w:outlineLvl w:val="2"/>
        <w:rPr>
          <w:b/>
          <w:bCs/>
          <w:sz w:val="22"/>
          <w:szCs w:val="22"/>
          <w:lang w:val="cs-CZ"/>
        </w:rPr>
      </w:pPr>
      <w:r w:rsidRPr="0008443B">
        <w:rPr>
          <w:b/>
          <w:bCs/>
          <w:sz w:val="22"/>
          <w:szCs w:val="22"/>
          <w:lang w:val="cs-CZ"/>
        </w:rPr>
        <w:t>6.1</w:t>
      </w:r>
      <w:r w:rsidRPr="0008443B">
        <w:rPr>
          <w:b/>
          <w:bCs/>
          <w:sz w:val="22"/>
          <w:szCs w:val="22"/>
          <w:lang w:val="cs-CZ"/>
        </w:rPr>
        <w:tab/>
        <w:t>Seznam pomocných látek</w:t>
      </w:r>
    </w:p>
    <w:p w14:paraId="7D4578E4" w14:textId="77777777" w:rsidR="00356F6E" w:rsidRPr="003D520D" w:rsidRDefault="00356F6E" w:rsidP="00D707AB">
      <w:pPr>
        <w:keepNext/>
        <w:keepLines/>
        <w:autoSpaceDE w:val="0"/>
        <w:autoSpaceDN w:val="0"/>
        <w:adjustRightInd w:val="0"/>
        <w:spacing w:after="0"/>
        <w:rPr>
          <w:i/>
          <w:iCs/>
          <w:szCs w:val="22"/>
          <w:lang w:val="cs-CZ"/>
        </w:rPr>
      </w:pPr>
    </w:p>
    <w:p w14:paraId="7D4578E5" w14:textId="77777777" w:rsidR="00356F6E" w:rsidRPr="003D520D" w:rsidRDefault="002D3DC1" w:rsidP="00D707AB">
      <w:pPr>
        <w:pStyle w:val="BayerBodyTextFull"/>
        <w:keepNext/>
        <w:keepLines/>
        <w:spacing w:before="0" w:after="0"/>
        <w:rPr>
          <w:sz w:val="22"/>
          <w:szCs w:val="22"/>
          <w:u w:val="single"/>
          <w:lang w:val="cs-CZ"/>
        </w:rPr>
      </w:pPr>
      <w:r w:rsidRPr="003D520D">
        <w:rPr>
          <w:sz w:val="22"/>
          <w:szCs w:val="22"/>
          <w:u w:val="single"/>
          <w:lang w:val="cs-CZ"/>
        </w:rPr>
        <w:t>J</w:t>
      </w:r>
      <w:r w:rsidR="00356F6E" w:rsidRPr="003D520D">
        <w:rPr>
          <w:sz w:val="22"/>
          <w:szCs w:val="22"/>
          <w:u w:val="single"/>
          <w:lang w:val="cs-CZ"/>
        </w:rPr>
        <w:t>ádro tablety</w:t>
      </w:r>
    </w:p>
    <w:p w14:paraId="7D4578E6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Mikrokrystalická celulóza </w:t>
      </w:r>
    </w:p>
    <w:p w14:paraId="7D4578E7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Sodná sůl </w:t>
      </w:r>
      <w:proofErr w:type="spellStart"/>
      <w:r w:rsidRPr="003D520D">
        <w:rPr>
          <w:sz w:val="22"/>
          <w:szCs w:val="22"/>
          <w:lang w:val="cs-CZ"/>
        </w:rPr>
        <w:t>kroskarmelózy</w:t>
      </w:r>
      <w:proofErr w:type="spellEnd"/>
      <w:r w:rsidRPr="003D520D">
        <w:rPr>
          <w:sz w:val="22"/>
          <w:szCs w:val="22"/>
          <w:lang w:val="cs-CZ"/>
        </w:rPr>
        <w:t xml:space="preserve"> </w:t>
      </w:r>
    </w:p>
    <w:p w14:paraId="7D4578E8" w14:textId="77777777" w:rsidR="00356F6E" w:rsidRPr="003D520D" w:rsidRDefault="00EF03FB" w:rsidP="00D707AB">
      <w:pPr>
        <w:pStyle w:val="BayerBodyTextFull"/>
        <w:spacing w:before="0" w:after="0"/>
        <w:rPr>
          <w:sz w:val="22"/>
          <w:szCs w:val="22"/>
          <w:lang w:val="cs-CZ"/>
        </w:rPr>
      </w:pPr>
      <w:proofErr w:type="gramStart"/>
      <w:r w:rsidRPr="003D520D">
        <w:rPr>
          <w:sz w:val="22"/>
          <w:szCs w:val="22"/>
          <w:lang w:val="cs-CZ"/>
        </w:rPr>
        <w:t>Magnesium</w:t>
      </w:r>
      <w:proofErr w:type="gramEnd"/>
      <w:r w:rsidRPr="003D520D">
        <w:rPr>
          <w:sz w:val="22"/>
          <w:szCs w:val="22"/>
          <w:lang w:val="cs-CZ"/>
        </w:rPr>
        <w:t>-stearát</w:t>
      </w:r>
      <w:r w:rsidR="00356F6E" w:rsidRPr="003D520D">
        <w:rPr>
          <w:sz w:val="22"/>
          <w:szCs w:val="22"/>
          <w:lang w:val="cs-CZ"/>
        </w:rPr>
        <w:t xml:space="preserve"> </w:t>
      </w:r>
    </w:p>
    <w:p w14:paraId="7D4578E9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proofErr w:type="spellStart"/>
      <w:r w:rsidRPr="003D520D">
        <w:rPr>
          <w:sz w:val="22"/>
          <w:szCs w:val="22"/>
          <w:lang w:val="cs-CZ"/>
        </w:rPr>
        <w:t>Povidon</w:t>
      </w:r>
      <w:proofErr w:type="spellEnd"/>
      <w:r w:rsidR="00051394" w:rsidRPr="003D520D">
        <w:rPr>
          <w:sz w:val="22"/>
          <w:szCs w:val="22"/>
          <w:lang w:val="cs-CZ"/>
        </w:rPr>
        <w:t xml:space="preserve"> </w:t>
      </w:r>
      <w:r w:rsidR="004C04BD" w:rsidRPr="003D520D">
        <w:rPr>
          <w:sz w:val="22"/>
          <w:szCs w:val="22"/>
          <w:lang w:val="cs-CZ"/>
        </w:rPr>
        <w:t>25</w:t>
      </w:r>
    </w:p>
    <w:p w14:paraId="7D4578EA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Koloidní bezvodý oxid křemičitý</w:t>
      </w:r>
    </w:p>
    <w:p w14:paraId="7D4578EB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EC" w14:textId="77777777" w:rsidR="00356F6E" w:rsidRPr="003D520D" w:rsidRDefault="00356F6E" w:rsidP="00D707AB">
      <w:pPr>
        <w:pStyle w:val="BayerBodyTextFull"/>
        <w:keepNext/>
        <w:keepLines/>
        <w:spacing w:before="0" w:after="0"/>
        <w:rPr>
          <w:bCs/>
          <w:sz w:val="22"/>
          <w:szCs w:val="22"/>
          <w:u w:val="single"/>
          <w:lang w:val="cs-CZ"/>
        </w:rPr>
      </w:pPr>
      <w:r w:rsidRPr="003D520D">
        <w:rPr>
          <w:bCs/>
          <w:sz w:val="22"/>
          <w:szCs w:val="22"/>
          <w:u w:val="single"/>
          <w:lang w:val="cs-CZ"/>
        </w:rPr>
        <w:t>Potah</w:t>
      </w:r>
    </w:p>
    <w:p w14:paraId="7D4578ED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Červený oxid železitý (E</w:t>
      </w:r>
      <w:r w:rsidR="00FC42F4">
        <w:rPr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>172)</w:t>
      </w:r>
    </w:p>
    <w:p w14:paraId="7D4578EE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Žlutý oxid železitý (E</w:t>
      </w:r>
      <w:r w:rsidR="00FC42F4">
        <w:rPr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>172)</w:t>
      </w:r>
    </w:p>
    <w:p w14:paraId="7D4578EF" w14:textId="77777777" w:rsidR="00356F6E" w:rsidRPr="003D520D" w:rsidRDefault="007021FF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Sójový </w:t>
      </w:r>
      <w:proofErr w:type="spellStart"/>
      <w:r w:rsidRPr="003D520D">
        <w:rPr>
          <w:sz w:val="22"/>
          <w:szCs w:val="22"/>
          <w:lang w:val="cs-CZ"/>
        </w:rPr>
        <w:t>l</w:t>
      </w:r>
      <w:r w:rsidR="00356F6E" w:rsidRPr="003D520D">
        <w:rPr>
          <w:sz w:val="22"/>
          <w:szCs w:val="22"/>
          <w:lang w:val="cs-CZ"/>
        </w:rPr>
        <w:t>ecit</w:t>
      </w:r>
      <w:r w:rsidRPr="003D520D">
        <w:rPr>
          <w:sz w:val="22"/>
          <w:szCs w:val="22"/>
          <w:lang w:val="cs-CZ"/>
        </w:rPr>
        <w:t>h</w:t>
      </w:r>
      <w:r w:rsidR="00356F6E" w:rsidRPr="003D520D">
        <w:rPr>
          <w:sz w:val="22"/>
          <w:szCs w:val="22"/>
          <w:lang w:val="cs-CZ"/>
        </w:rPr>
        <w:t>in</w:t>
      </w:r>
      <w:proofErr w:type="spellEnd"/>
      <w:r w:rsidR="00356F6E" w:rsidRPr="003D520D">
        <w:rPr>
          <w:sz w:val="22"/>
          <w:szCs w:val="22"/>
          <w:lang w:val="cs-CZ"/>
        </w:rPr>
        <w:t xml:space="preserve"> </w:t>
      </w:r>
    </w:p>
    <w:p w14:paraId="7D4578F0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proofErr w:type="spellStart"/>
      <w:r w:rsidRPr="003D520D">
        <w:rPr>
          <w:sz w:val="22"/>
          <w:szCs w:val="22"/>
          <w:lang w:val="cs-CZ"/>
        </w:rPr>
        <w:t>Makrogol</w:t>
      </w:r>
      <w:proofErr w:type="spellEnd"/>
      <w:r w:rsidR="000A35BA" w:rsidRPr="003D520D">
        <w:rPr>
          <w:sz w:val="22"/>
          <w:szCs w:val="22"/>
          <w:lang w:val="cs-CZ"/>
        </w:rPr>
        <w:t xml:space="preserve"> 3350</w:t>
      </w:r>
    </w:p>
    <w:p w14:paraId="7D4578F1" w14:textId="77777777" w:rsidR="00356F6E" w:rsidRPr="003D520D" w:rsidRDefault="007021FF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Č</w:t>
      </w:r>
      <w:r w:rsidR="00356F6E" w:rsidRPr="003D520D">
        <w:rPr>
          <w:sz w:val="22"/>
          <w:szCs w:val="22"/>
          <w:lang w:val="cs-CZ"/>
        </w:rPr>
        <w:t>ástečně hydrolyzovaný</w:t>
      </w:r>
      <w:r w:rsidRPr="003D520D">
        <w:rPr>
          <w:sz w:val="22"/>
          <w:szCs w:val="22"/>
          <w:lang w:val="cs-CZ"/>
        </w:rPr>
        <w:t xml:space="preserve"> </w:t>
      </w:r>
      <w:proofErr w:type="spellStart"/>
      <w:r w:rsidRPr="003D520D">
        <w:rPr>
          <w:sz w:val="22"/>
          <w:szCs w:val="22"/>
          <w:lang w:val="cs-CZ"/>
        </w:rPr>
        <w:t>polyvinylalkohol</w:t>
      </w:r>
      <w:proofErr w:type="spellEnd"/>
    </w:p>
    <w:p w14:paraId="7D4578F2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Mastek</w:t>
      </w:r>
    </w:p>
    <w:p w14:paraId="7D4578F3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Oxid titaničitý (E</w:t>
      </w:r>
      <w:r w:rsidR="00FC42F4">
        <w:rPr>
          <w:sz w:val="22"/>
          <w:szCs w:val="22"/>
          <w:lang w:val="cs-CZ"/>
        </w:rPr>
        <w:t xml:space="preserve"> </w:t>
      </w:r>
      <w:r w:rsidRPr="003D520D">
        <w:rPr>
          <w:sz w:val="22"/>
          <w:szCs w:val="22"/>
          <w:lang w:val="cs-CZ"/>
        </w:rPr>
        <w:t>171)</w:t>
      </w:r>
    </w:p>
    <w:p w14:paraId="7D4578F4" w14:textId="77777777" w:rsidR="00356F6E" w:rsidRPr="003D520D" w:rsidRDefault="00356F6E" w:rsidP="00D707AB">
      <w:pPr>
        <w:pStyle w:val="Normlnodsazen"/>
        <w:tabs>
          <w:tab w:val="left" w:pos="1168"/>
        </w:tabs>
        <w:spacing w:after="0"/>
        <w:ind w:left="0"/>
        <w:rPr>
          <w:szCs w:val="22"/>
          <w:lang w:val="cs-CZ"/>
        </w:rPr>
      </w:pPr>
    </w:p>
    <w:p w14:paraId="7D4578F5" w14:textId="77777777" w:rsidR="00356F6E" w:rsidRPr="0008443B" w:rsidRDefault="00356F6E" w:rsidP="0001612B">
      <w:pPr>
        <w:pStyle w:val="BayerBodyTextFull"/>
        <w:spacing w:before="0" w:after="0"/>
        <w:outlineLvl w:val="2"/>
        <w:rPr>
          <w:b/>
          <w:bCs/>
          <w:sz w:val="22"/>
          <w:szCs w:val="22"/>
          <w:lang w:val="cs-CZ"/>
        </w:rPr>
      </w:pPr>
      <w:r w:rsidRPr="0008443B">
        <w:rPr>
          <w:b/>
          <w:bCs/>
          <w:sz w:val="22"/>
          <w:szCs w:val="22"/>
          <w:lang w:val="cs-CZ"/>
        </w:rPr>
        <w:t>6.2</w:t>
      </w:r>
      <w:r w:rsidRPr="0008443B">
        <w:rPr>
          <w:b/>
          <w:bCs/>
          <w:sz w:val="22"/>
          <w:szCs w:val="22"/>
          <w:lang w:val="cs-CZ"/>
        </w:rPr>
        <w:tab/>
        <w:t>Inkompatibility</w:t>
      </w:r>
    </w:p>
    <w:p w14:paraId="7D4578F6" w14:textId="77777777" w:rsidR="00356F6E" w:rsidRPr="003D520D" w:rsidRDefault="00356F6E" w:rsidP="00D707AB">
      <w:pPr>
        <w:keepNext/>
        <w:keepLines/>
        <w:autoSpaceDE w:val="0"/>
        <w:autoSpaceDN w:val="0"/>
        <w:adjustRightInd w:val="0"/>
        <w:spacing w:after="0"/>
        <w:rPr>
          <w:iCs/>
          <w:szCs w:val="22"/>
          <w:lang w:val="cs-CZ"/>
        </w:rPr>
      </w:pPr>
    </w:p>
    <w:p w14:paraId="7D4578F7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Neuplatňuje se.</w:t>
      </w:r>
    </w:p>
    <w:p w14:paraId="7D4578F8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F9" w14:textId="77777777" w:rsidR="00356F6E" w:rsidRPr="0008443B" w:rsidRDefault="00356F6E" w:rsidP="0001612B">
      <w:pPr>
        <w:pStyle w:val="BayerBodyTextFull"/>
        <w:spacing w:before="0" w:after="0"/>
        <w:outlineLvl w:val="2"/>
        <w:rPr>
          <w:b/>
          <w:bCs/>
          <w:sz w:val="22"/>
          <w:szCs w:val="22"/>
          <w:lang w:val="cs-CZ"/>
        </w:rPr>
      </w:pPr>
      <w:r w:rsidRPr="0008443B">
        <w:rPr>
          <w:b/>
          <w:bCs/>
          <w:sz w:val="22"/>
          <w:szCs w:val="22"/>
          <w:lang w:val="cs-CZ"/>
        </w:rPr>
        <w:t>6.3</w:t>
      </w:r>
      <w:r w:rsidRPr="0008443B">
        <w:rPr>
          <w:b/>
          <w:bCs/>
          <w:sz w:val="22"/>
          <w:szCs w:val="22"/>
          <w:lang w:val="cs-CZ"/>
        </w:rPr>
        <w:tab/>
        <w:t>Doba použitelnosti</w:t>
      </w:r>
    </w:p>
    <w:p w14:paraId="7D4578FA" w14:textId="77777777" w:rsidR="00356F6E" w:rsidRPr="003D520D" w:rsidRDefault="00356F6E" w:rsidP="00D707AB">
      <w:pPr>
        <w:pStyle w:val="Normlnodsazen"/>
        <w:keepNext/>
        <w:keepLines/>
        <w:spacing w:after="0"/>
        <w:ind w:left="0"/>
        <w:rPr>
          <w:szCs w:val="22"/>
          <w:lang w:val="cs-CZ"/>
        </w:rPr>
      </w:pPr>
    </w:p>
    <w:p w14:paraId="7D4578FB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3</w:t>
      </w:r>
      <w:r w:rsidR="000F7939" w:rsidRPr="003D520D">
        <w:rPr>
          <w:sz w:val="22"/>
          <w:szCs w:val="22"/>
          <w:lang w:val="cs-CZ"/>
        </w:rPr>
        <w:t> </w:t>
      </w:r>
      <w:r w:rsidRPr="003D520D">
        <w:rPr>
          <w:sz w:val="22"/>
          <w:szCs w:val="22"/>
          <w:lang w:val="cs-CZ"/>
        </w:rPr>
        <w:t>roky</w:t>
      </w:r>
      <w:r w:rsidR="000A35BA" w:rsidRPr="003D520D">
        <w:rPr>
          <w:sz w:val="22"/>
          <w:szCs w:val="22"/>
          <w:lang w:val="cs-CZ"/>
        </w:rPr>
        <w:t>.</w:t>
      </w:r>
    </w:p>
    <w:p w14:paraId="7D4578FC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FD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Po </w:t>
      </w:r>
      <w:r w:rsidR="004722C9" w:rsidRPr="003D520D">
        <w:rPr>
          <w:sz w:val="22"/>
          <w:szCs w:val="22"/>
          <w:lang w:val="cs-CZ"/>
        </w:rPr>
        <w:t xml:space="preserve">prvním </w:t>
      </w:r>
      <w:r w:rsidRPr="003D520D">
        <w:rPr>
          <w:sz w:val="22"/>
          <w:szCs w:val="22"/>
          <w:lang w:val="cs-CZ"/>
        </w:rPr>
        <w:t xml:space="preserve">otevření lahvičky byla prokázána stabilita léčivého přípravku po dobu </w:t>
      </w:r>
      <w:r w:rsidR="000A35BA" w:rsidRPr="003D520D">
        <w:rPr>
          <w:sz w:val="22"/>
          <w:szCs w:val="22"/>
          <w:lang w:val="cs-CZ"/>
        </w:rPr>
        <w:t>7 tý</w:t>
      </w:r>
      <w:r w:rsidRPr="003D520D">
        <w:rPr>
          <w:sz w:val="22"/>
          <w:szCs w:val="22"/>
          <w:lang w:val="cs-CZ"/>
        </w:rPr>
        <w:t>dnů</w:t>
      </w:r>
      <w:r w:rsidR="00EF03FB" w:rsidRPr="003D520D">
        <w:rPr>
          <w:sz w:val="22"/>
          <w:szCs w:val="22"/>
          <w:lang w:val="cs-CZ"/>
        </w:rPr>
        <w:t xml:space="preserve">. </w:t>
      </w:r>
      <w:r w:rsidRPr="003D520D">
        <w:rPr>
          <w:sz w:val="22"/>
          <w:szCs w:val="22"/>
          <w:lang w:val="cs-CZ"/>
        </w:rPr>
        <w:t xml:space="preserve">Poté má být </w:t>
      </w:r>
      <w:r w:rsidR="000A35BA" w:rsidRPr="003D520D">
        <w:rPr>
          <w:sz w:val="22"/>
          <w:szCs w:val="22"/>
          <w:lang w:val="cs-CZ"/>
        </w:rPr>
        <w:t xml:space="preserve">léčivý </w:t>
      </w:r>
      <w:r w:rsidRPr="003D520D">
        <w:rPr>
          <w:sz w:val="22"/>
          <w:szCs w:val="22"/>
          <w:lang w:val="cs-CZ"/>
        </w:rPr>
        <w:t>přípravek zlikvidován.</w:t>
      </w:r>
    </w:p>
    <w:p w14:paraId="7D4578FE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8FF" w14:textId="77777777" w:rsidR="00356F6E" w:rsidRPr="0008443B" w:rsidRDefault="00356F6E" w:rsidP="0001612B">
      <w:pPr>
        <w:pStyle w:val="BayerBodyTextFull"/>
        <w:spacing w:before="0" w:after="0"/>
        <w:outlineLvl w:val="2"/>
        <w:rPr>
          <w:b/>
          <w:bCs/>
          <w:sz w:val="22"/>
          <w:szCs w:val="22"/>
          <w:lang w:val="cs-CZ"/>
        </w:rPr>
      </w:pPr>
      <w:r w:rsidRPr="0008443B">
        <w:rPr>
          <w:b/>
          <w:bCs/>
          <w:sz w:val="22"/>
          <w:szCs w:val="22"/>
          <w:lang w:val="cs-CZ"/>
        </w:rPr>
        <w:t>6.4</w:t>
      </w:r>
      <w:r w:rsidRPr="0008443B">
        <w:rPr>
          <w:b/>
          <w:bCs/>
          <w:sz w:val="22"/>
          <w:szCs w:val="22"/>
          <w:lang w:val="cs-CZ"/>
        </w:rPr>
        <w:tab/>
        <w:t>Zvláštní opatření pro uchovávání</w:t>
      </w:r>
    </w:p>
    <w:p w14:paraId="7D457900" w14:textId="77777777" w:rsidR="00356F6E" w:rsidRPr="003D520D" w:rsidRDefault="00356F6E" w:rsidP="00D707AB">
      <w:pPr>
        <w:keepNext/>
        <w:keepLines/>
        <w:autoSpaceDE w:val="0"/>
        <w:autoSpaceDN w:val="0"/>
        <w:adjustRightInd w:val="0"/>
        <w:spacing w:after="0"/>
        <w:rPr>
          <w:iCs/>
          <w:szCs w:val="22"/>
          <w:lang w:val="cs-CZ"/>
        </w:rPr>
      </w:pPr>
    </w:p>
    <w:p w14:paraId="7D457901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Uchovávejte v původním obalu, aby byl přípravek chráně</w:t>
      </w:r>
      <w:r w:rsidR="007D6C68" w:rsidRPr="003D520D">
        <w:rPr>
          <w:sz w:val="22"/>
          <w:szCs w:val="22"/>
          <w:lang w:val="cs-CZ"/>
        </w:rPr>
        <w:t>n</w:t>
      </w:r>
      <w:r w:rsidRPr="003D520D">
        <w:rPr>
          <w:sz w:val="22"/>
          <w:szCs w:val="22"/>
          <w:lang w:val="cs-CZ"/>
        </w:rPr>
        <w:t xml:space="preserve"> před vlhkostí.</w:t>
      </w:r>
    </w:p>
    <w:p w14:paraId="7D457902" w14:textId="77777777" w:rsidR="00356F6E" w:rsidRPr="003D520D" w:rsidRDefault="00FC42F4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Uchovávejte v dobře uzavřené lahvičce</w:t>
      </w:r>
      <w:r w:rsidR="00090A90">
        <w:rPr>
          <w:sz w:val="22"/>
          <w:szCs w:val="22"/>
          <w:lang w:val="cs-CZ"/>
        </w:rPr>
        <w:t>.</w:t>
      </w:r>
    </w:p>
    <w:p w14:paraId="7D457903" w14:textId="77777777" w:rsidR="00356F6E" w:rsidRPr="003D520D" w:rsidRDefault="00356F6E" w:rsidP="00D707AB">
      <w:pPr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904" w14:textId="77777777" w:rsidR="00356F6E" w:rsidRPr="0008443B" w:rsidRDefault="00356F6E" w:rsidP="0001612B">
      <w:pPr>
        <w:pStyle w:val="BayerBodyTextFull"/>
        <w:spacing w:before="0" w:after="0"/>
        <w:outlineLvl w:val="2"/>
        <w:rPr>
          <w:b/>
          <w:bCs/>
          <w:sz w:val="22"/>
          <w:szCs w:val="22"/>
          <w:lang w:val="cs-CZ"/>
        </w:rPr>
      </w:pPr>
      <w:r w:rsidRPr="0008443B">
        <w:rPr>
          <w:b/>
          <w:bCs/>
          <w:sz w:val="22"/>
          <w:szCs w:val="22"/>
          <w:lang w:val="cs-CZ"/>
        </w:rPr>
        <w:t>6.5</w:t>
      </w:r>
      <w:r w:rsidRPr="0008443B">
        <w:rPr>
          <w:b/>
          <w:bCs/>
          <w:sz w:val="22"/>
          <w:szCs w:val="22"/>
          <w:lang w:val="cs-CZ"/>
        </w:rPr>
        <w:tab/>
        <w:t>Druh obalu a obsah balení</w:t>
      </w:r>
    </w:p>
    <w:p w14:paraId="7D457905" w14:textId="77777777" w:rsidR="00356F6E" w:rsidRPr="003D520D" w:rsidRDefault="00356F6E" w:rsidP="00D707AB">
      <w:pPr>
        <w:keepNext/>
        <w:keepLines/>
        <w:autoSpaceDE w:val="0"/>
        <w:autoSpaceDN w:val="0"/>
        <w:adjustRightInd w:val="0"/>
        <w:spacing w:after="0"/>
        <w:rPr>
          <w:iCs/>
          <w:szCs w:val="22"/>
          <w:lang w:val="cs-CZ"/>
        </w:rPr>
      </w:pPr>
    </w:p>
    <w:p w14:paraId="7D457906" w14:textId="77777777" w:rsidR="00356F6E" w:rsidRPr="003D520D" w:rsidRDefault="0024564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Bílá, neprůhledná HDPE lahvička uzavřená PP/PP (polypropylen) šroubovacím víčkem s těsn</w:t>
      </w:r>
      <w:r w:rsidR="004C04BD" w:rsidRPr="003D520D">
        <w:rPr>
          <w:sz w:val="22"/>
          <w:szCs w:val="22"/>
          <w:lang w:val="cs-CZ"/>
        </w:rPr>
        <w:t>i</w:t>
      </w:r>
      <w:r w:rsidRPr="003D520D">
        <w:rPr>
          <w:sz w:val="22"/>
          <w:szCs w:val="22"/>
          <w:lang w:val="cs-CZ"/>
        </w:rPr>
        <w:t xml:space="preserve">cí vložkou </w:t>
      </w:r>
      <w:r w:rsidR="00356F6E" w:rsidRPr="003D520D">
        <w:rPr>
          <w:sz w:val="22"/>
          <w:szCs w:val="22"/>
          <w:lang w:val="cs-CZ"/>
        </w:rPr>
        <w:t>a vysoušedlem</w:t>
      </w:r>
      <w:r w:rsidRPr="003D520D">
        <w:rPr>
          <w:sz w:val="22"/>
          <w:szCs w:val="22"/>
          <w:lang w:val="cs-CZ"/>
        </w:rPr>
        <w:t xml:space="preserve"> s molekulárním sítem</w:t>
      </w:r>
      <w:r w:rsidR="00356F6E" w:rsidRPr="003D520D">
        <w:rPr>
          <w:sz w:val="22"/>
          <w:szCs w:val="22"/>
          <w:lang w:val="cs-CZ"/>
        </w:rPr>
        <w:t>.</w:t>
      </w:r>
    </w:p>
    <w:p w14:paraId="7D457907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908" w14:textId="77777777" w:rsidR="00356F6E" w:rsidRPr="003D520D" w:rsidRDefault="00FC42F4" w:rsidP="00D707AB">
      <w:pPr>
        <w:autoSpaceDE w:val="0"/>
        <w:autoSpaceDN w:val="0"/>
        <w:adjustRightInd w:val="0"/>
        <w:spacing w:after="0"/>
        <w:rPr>
          <w:szCs w:val="22"/>
          <w:lang w:val="cs-CZ" w:eastAsia="de-DE"/>
        </w:rPr>
      </w:pPr>
      <w:r>
        <w:rPr>
          <w:szCs w:val="22"/>
          <w:lang w:val="cs-CZ" w:eastAsia="de-DE"/>
        </w:rPr>
        <w:t>L</w:t>
      </w:r>
      <w:r w:rsidR="00356F6E" w:rsidRPr="003D520D">
        <w:rPr>
          <w:szCs w:val="22"/>
          <w:lang w:val="cs-CZ" w:eastAsia="de-DE"/>
        </w:rPr>
        <w:t>ahvička obsahuje 28</w:t>
      </w:r>
      <w:r w:rsidR="00EE0F02" w:rsidRPr="003D520D">
        <w:rPr>
          <w:szCs w:val="22"/>
          <w:lang w:val="cs-CZ" w:eastAsia="de-DE"/>
        </w:rPr>
        <w:t> </w:t>
      </w:r>
      <w:r w:rsidR="00356F6E" w:rsidRPr="003D520D">
        <w:rPr>
          <w:szCs w:val="22"/>
          <w:lang w:val="cs-CZ" w:eastAsia="de-DE"/>
        </w:rPr>
        <w:t xml:space="preserve">potahovaných tablet. </w:t>
      </w:r>
    </w:p>
    <w:p w14:paraId="7D457909" w14:textId="77777777" w:rsidR="00356F6E" w:rsidRPr="003D520D" w:rsidRDefault="00356F6E" w:rsidP="00D707AB">
      <w:pPr>
        <w:autoSpaceDE w:val="0"/>
        <w:autoSpaceDN w:val="0"/>
        <w:adjustRightInd w:val="0"/>
        <w:spacing w:after="0"/>
        <w:rPr>
          <w:szCs w:val="22"/>
          <w:lang w:val="cs-CZ" w:eastAsia="de-DE"/>
        </w:rPr>
      </w:pPr>
    </w:p>
    <w:p w14:paraId="7D45790A" w14:textId="77777777" w:rsidR="00356F6E" w:rsidRPr="003D520D" w:rsidRDefault="00356F6E" w:rsidP="00D707AB">
      <w:pPr>
        <w:pStyle w:val="BayerBodyTextFull"/>
        <w:keepNext/>
        <w:keepLines/>
        <w:spacing w:before="0" w:after="0"/>
        <w:rPr>
          <w:sz w:val="22"/>
          <w:szCs w:val="22"/>
          <w:u w:val="single"/>
          <w:lang w:val="cs-CZ" w:eastAsia="de-DE"/>
        </w:rPr>
      </w:pPr>
      <w:r w:rsidRPr="003D520D">
        <w:rPr>
          <w:sz w:val="22"/>
          <w:szCs w:val="22"/>
          <w:u w:val="single"/>
          <w:lang w:val="cs-CZ" w:eastAsia="de-DE"/>
        </w:rPr>
        <w:t>Velikosti balení:</w:t>
      </w:r>
    </w:p>
    <w:p w14:paraId="7D45790B" w14:textId="77777777" w:rsidR="0024564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 w:eastAsia="de-DE"/>
        </w:rPr>
      </w:pPr>
      <w:r w:rsidRPr="003D520D">
        <w:rPr>
          <w:sz w:val="22"/>
          <w:szCs w:val="22"/>
          <w:lang w:val="cs-CZ" w:eastAsia="de-DE"/>
        </w:rPr>
        <w:t>Balení po 28</w:t>
      </w:r>
      <w:r w:rsidR="005C18B2" w:rsidRPr="003D520D">
        <w:rPr>
          <w:sz w:val="22"/>
          <w:szCs w:val="22"/>
          <w:lang w:val="cs-CZ" w:eastAsia="de-DE"/>
        </w:rPr>
        <w:t> </w:t>
      </w:r>
      <w:r w:rsidRPr="003D520D">
        <w:rPr>
          <w:sz w:val="22"/>
          <w:szCs w:val="22"/>
          <w:lang w:val="cs-CZ" w:eastAsia="de-DE"/>
        </w:rPr>
        <w:t>potahovaných tabletách</w:t>
      </w:r>
      <w:r w:rsidR="0024564E" w:rsidRPr="003D520D">
        <w:rPr>
          <w:sz w:val="22"/>
          <w:szCs w:val="22"/>
          <w:lang w:val="cs-CZ" w:eastAsia="de-DE"/>
        </w:rPr>
        <w:t>.</w:t>
      </w:r>
    </w:p>
    <w:p w14:paraId="7D45790C" w14:textId="77777777" w:rsidR="00356F6E" w:rsidRPr="003D520D" w:rsidRDefault="00EF03FB" w:rsidP="00D707AB">
      <w:pPr>
        <w:pStyle w:val="BayerBodyTextFull"/>
        <w:spacing w:before="0" w:after="0"/>
        <w:rPr>
          <w:sz w:val="22"/>
          <w:szCs w:val="22"/>
          <w:lang w:val="cs-CZ" w:eastAsia="de-DE"/>
        </w:rPr>
      </w:pPr>
      <w:r w:rsidRPr="003D520D">
        <w:rPr>
          <w:sz w:val="22"/>
          <w:szCs w:val="22"/>
          <w:lang w:val="cs-CZ" w:eastAsia="de-DE"/>
        </w:rPr>
        <w:t>Balení</w:t>
      </w:r>
      <w:r w:rsidR="00356F6E" w:rsidRPr="003D520D">
        <w:rPr>
          <w:sz w:val="22"/>
          <w:szCs w:val="22"/>
          <w:lang w:val="cs-CZ" w:eastAsia="de-DE"/>
        </w:rPr>
        <w:t xml:space="preserve"> obsahující 84</w:t>
      </w:r>
      <w:r w:rsidR="005C18B2" w:rsidRPr="003D520D">
        <w:rPr>
          <w:sz w:val="22"/>
          <w:szCs w:val="22"/>
          <w:lang w:val="cs-CZ" w:eastAsia="de-DE"/>
        </w:rPr>
        <w:t> </w:t>
      </w:r>
      <w:r w:rsidR="00272FE5" w:rsidRPr="003D520D">
        <w:rPr>
          <w:sz w:val="22"/>
          <w:szCs w:val="22"/>
          <w:lang w:val="cs-CZ" w:eastAsia="de-DE"/>
        </w:rPr>
        <w:t>potahovaných tablet</w:t>
      </w:r>
      <w:r w:rsidR="00FC42F4">
        <w:rPr>
          <w:sz w:val="22"/>
          <w:szCs w:val="22"/>
          <w:lang w:val="cs-CZ" w:eastAsia="de-DE"/>
        </w:rPr>
        <w:t xml:space="preserve"> </w:t>
      </w:r>
      <w:r w:rsidR="00FC42F4" w:rsidRPr="003D520D">
        <w:rPr>
          <w:sz w:val="22"/>
          <w:szCs w:val="22"/>
          <w:lang w:val="cs-CZ" w:eastAsia="de-DE"/>
        </w:rPr>
        <w:t>(3 lahvičky po 28)</w:t>
      </w:r>
      <w:r w:rsidR="004722C9" w:rsidRPr="003D520D">
        <w:rPr>
          <w:sz w:val="22"/>
          <w:szCs w:val="22"/>
          <w:lang w:val="cs-CZ" w:eastAsia="de-DE"/>
        </w:rPr>
        <w:t>.</w:t>
      </w:r>
      <w:r w:rsidR="00356F6E" w:rsidRPr="003D520D">
        <w:rPr>
          <w:sz w:val="22"/>
          <w:szCs w:val="22"/>
          <w:lang w:val="cs-CZ" w:eastAsia="de-DE"/>
        </w:rPr>
        <w:t xml:space="preserve"> </w:t>
      </w:r>
    </w:p>
    <w:p w14:paraId="7D45790D" w14:textId="77777777" w:rsidR="00356F6E" w:rsidRPr="003D520D" w:rsidRDefault="00356F6E" w:rsidP="00D707AB">
      <w:pPr>
        <w:pStyle w:val="BayerBodyTextFull"/>
        <w:spacing w:before="0" w:after="0"/>
        <w:rPr>
          <w:iCs/>
          <w:sz w:val="22"/>
          <w:szCs w:val="22"/>
          <w:lang w:val="cs-CZ" w:eastAsia="en-GB"/>
        </w:rPr>
      </w:pPr>
    </w:p>
    <w:p w14:paraId="7D45790E" w14:textId="77777777" w:rsidR="00356F6E" w:rsidRPr="003D520D" w:rsidRDefault="00356F6E" w:rsidP="00D707AB">
      <w:pPr>
        <w:spacing w:after="0"/>
        <w:rPr>
          <w:szCs w:val="22"/>
          <w:lang w:val="cs-CZ" w:eastAsia="de-DE"/>
        </w:rPr>
      </w:pPr>
      <w:r w:rsidRPr="003D520D">
        <w:rPr>
          <w:szCs w:val="22"/>
          <w:lang w:val="cs-CZ" w:eastAsia="de-DE"/>
        </w:rPr>
        <w:t>Na trhu nemusí být všechny velikosti balení.</w:t>
      </w:r>
    </w:p>
    <w:p w14:paraId="7D45790F" w14:textId="77777777" w:rsidR="00356F6E" w:rsidRPr="003D520D" w:rsidRDefault="00356F6E" w:rsidP="00D707AB">
      <w:pPr>
        <w:spacing w:after="0"/>
        <w:rPr>
          <w:szCs w:val="22"/>
          <w:lang w:val="cs-CZ"/>
        </w:rPr>
      </w:pPr>
    </w:p>
    <w:p w14:paraId="7D457910" w14:textId="77777777" w:rsidR="00356F6E" w:rsidRPr="003D520D" w:rsidRDefault="00356F6E" w:rsidP="0001612B">
      <w:pPr>
        <w:pStyle w:val="BayerBodyTextFull"/>
        <w:spacing w:before="0" w:after="0"/>
        <w:outlineLvl w:val="2"/>
        <w:rPr>
          <w:sz w:val="22"/>
          <w:szCs w:val="22"/>
          <w:lang w:val="cs-CZ"/>
        </w:rPr>
      </w:pPr>
      <w:r w:rsidRPr="0008443B">
        <w:rPr>
          <w:b/>
          <w:bCs/>
          <w:sz w:val="22"/>
          <w:szCs w:val="22"/>
          <w:lang w:val="cs-CZ"/>
        </w:rPr>
        <w:t>6.6</w:t>
      </w:r>
      <w:r w:rsidRPr="0008443B">
        <w:rPr>
          <w:b/>
          <w:bCs/>
          <w:sz w:val="22"/>
          <w:szCs w:val="22"/>
          <w:lang w:val="cs-CZ"/>
        </w:rPr>
        <w:tab/>
        <w:t>Zvláštní opatření pro likvidaci přípravku</w:t>
      </w:r>
      <w:r w:rsidR="000F7939" w:rsidRPr="0008443B">
        <w:rPr>
          <w:b/>
          <w:bCs/>
          <w:sz w:val="22"/>
          <w:szCs w:val="22"/>
          <w:lang w:val="cs-CZ"/>
        </w:rPr>
        <w:t xml:space="preserve"> a pro zacházení s ním</w:t>
      </w:r>
    </w:p>
    <w:p w14:paraId="7D457911" w14:textId="77777777" w:rsidR="00356F6E" w:rsidRPr="003D520D" w:rsidRDefault="00356F6E" w:rsidP="00D707AB">
      <w:pPr>
        <w:pStyle w:val="Normlnodsazen"/>
        <w:keepNext/>
        <w:keepLines/>
        <w:spacing w:after="0"/>
        <w:ind w:left="0"/>
        <w:rPr>
          <w:i/>
          <w:iCs/>
          <w:szCs w:val="22"/>
          <w:lang w:val="cs-CZ"/>
        </w:rPr>
      </w:pPr>
    </w:p>
    <w:p w14:paraId="7D457912" w14:textId="77777777" w:rsidR="00090A90" w:rsidRDefault="00090A90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Vysoušedlo ponechte v lahvičce.</w:t>
      </w:r>
    </w:p>
    <w:p w14:paraId="7D457913" w14:textId="77777777" w:rsidR="00090A90" w:rsidRDefault="00090A90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914" w14:textId="77777777" w:rsidR="00090A90" w:rsidRDefault="00D502B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Tento léčivý přípravek může představovat riziko pro životní prostředí (viz bod 5.3). </w:t>
      </w:r>
    </w:p>
    <w:p w14:paraId="7D457915" w14:textId="77777777" w:rsidR="00090A90" w:rsidRDefault="00090A90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916" w14:textId="77777777" w:rsidR="00D502BE" w:rsidRPr="003D520D" w:rsidRDefault="00D502BE" w:rsidP="00D707AB">
      <w:pPr>
        <w:pStyle w:val="BayerBodyTextFull"/>
        <w:spacing w:before="0" w:after="0"/>
        <w:rPr>
          <w:sz w:val="22"/>
          <w:szCs w:val="22"/>
          <w:lang w:val="cs-CZ"/>
        </w:rPr>
      </w:pPr>
      <w:r w:rsidRPr="003D520D">
        <w:rPr>
          <w:noProof/>
          <w:sz w:val="22"/>
          <w:szCs w:val="22"/>
          <w:lang w:val="cs-CZ"/>
        </w:rPr>
        <w:t>Veškerý nepoužitý léčivý přípravek nebo odpad musí být zlikvidován v souladu s místními požadavky.</w:t>
      </w:r>
    </w:p>
    <w:p w14:paraId="7D457917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/>
        </w:rPr>
      </w:pPr>
    </w:p>
    <w:p w14:paraId="7D457918" w14:textId="77777777" w:rsidR="00356F6E" w:rsidRPr="003D520D" w:rsidRDefault="00356F6E" w:rsidP="00D707AB">
      <w:pPr>
        <w:pStyle w:val="Normlnodsazen"/>
        <w:spacing w:after="0"/>
        <w:ind w:left="0"/>
        <w:rPr>
          <w:szCs w:val="22"/>
          <w:lang w:val="cs-CZ"/>
        </w:rPr>
      </w:pPr>
    </w:p>
    <w:p w14:paraId="7D457919" w14:textId="77777777" w:rsidR="00356F6E" w:rsidRPr="0008443B" w:rsidRDefault="00356F6E" w:rsidP="001C40B8">
      <w:pPr>
        <w:pStyle w:val="BayerBodyTextFull"/>
        <w:spacing w:before="0" w:after="0"/>
        <w:outlineLvl w:val="1"/>
        <w:rPr>
          <w:b/>
          <w:bCs/>
          <w:sz w:val="22"/>
          <w:szCs w:val="22"/>
          <w:lang w:val="cs-CZ"/>
        </w:rPr>
      </w:pPr>
      <w:r w:rsidRPr="0008443B">
        <w:rPr>
          <w:b/>
          <w:bCs/>
          <w:sz w:val="22"/>
          <w:szCs w:val="22"/>
          <w:lang w:val="cs-CZ"/>
        </w:rPr>
        <w:t>7.</w:t>
      </w:r>
      <w:r w:rsidRPr="0008443B">
        <w:rPr>
          <w:b/>
          <w:bCs/>
          <w:sz w:val="22"/>
          <w:szCs w:val="22"/>
          <w:lang w:val="cs-CZ"/>
        </w:rPr>
        <w:tab/>
        <w:t>DRŽITEL ROZHODNUTÍ O REGISTRACI</w:t>
      </w:r>
    </w:p>
    <w:p w14:paraId="7D45791A" w14:textId="77777777" w:rsidR="00356F6E" w:rsidRPr="003D520D" w:rsidRDefault="00356F6E" w:rsidP="00D707AB">
      <w:pPr>
        <w:keepNext/>
        <w:keepLines/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91B" w14:textId="77777777" w:rsidR="00356F6E" w:rsidRPr="003D520D" w:rsidRDefault="00356F6E" w:rsidP="00D707AB">
      <w:pPr>
        <w:autoSpaceDE w:val="0"/>
        <w:autoSpaceDN w:val="0"/>
        <w:adjustRightInd w:val="0"/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>Bayer AG</w:t>
      </w:r>
    </w:p>
    <w:p w14:paraId="7D45791C" w14:textId="77777777" w:rsidR="00356F6E" w:rsidRPr="00C32495" w:rsidRDefault="00711C07" w:rsidP="00D707AB">
      <w:pPr>
        <w:autoSpaceDE w:val="0"/>
        <w:autoSpaceDN w:val="0"/>
        <w:adjustRightInd w:val="0"/>
        <w:spacing w:after="0"/>
        <w:rPr>
          <w:szCs w:val="22"/>
          <w:lang w:val="cs-CZ"/>
        </w:rPr>
      </w:pPr>
      <w:r w:rsidRPr="00C32495">
        <w:rPr>
          <w:szCs w:val="22"/>
          <w:lang w:val="cs-CZ"/>
        </w:rPr>
        <w:t xml:space="preserve">51368 </w:t>
      </w:r>
      <w:proofErr w:type="spellStart"/>
      <w:r w:rsidRPr="00C32495">
        <w:rPr>
          <w:szCs w:val="22"/>
          <w:lang w:val="cs-CZ"/>
        </w:rPr>
        <w:t>Leverkusen</w:t>
      </w:r>
      <w:proofErr w:type="spellEnd"/>
    </w:p>
    <w:p w14:paraId="7D45791D" w14:textId="77777777" w:rsidR="00356F6E" w:rsidRPr="003D520D" w:rsidRDefault="00356F6E" w:rsidP="00D707AB">
      <w:pPr>
        <w:autoSpaceDE w:val="0"/>
        <w:autoSpaceDN w:val="0"/>
        <w:adjustRightInd w:val="0"/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>Německo</w:t>
      </w:r>
    </w:p>
    <w:p w14:paraId="7D45791E" w14:textId="77777777" w:rsidR="00356F6E" w:rsidRPr="003D520D" w:rsidRDefault="00356F6E" w:rsidP="00D707AB">
      <w:pPr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91F" w14:textId="77777777" w:rsidR="00356F6E" w:rsidRPr="003D520D" w:rsidRDefault="00356F6E" w:rsidP="00D707AB">
      <w:pPr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920" w14:textId="26E026CB" w:rsidR="00356F6E" w:rsidRPr="003D520D" w:rsidRDefault="00356F6E" w:rsidP="001C40B8">
      <w:pPr>
        <w:pStyle w:val="BayerBodyTextFull"/>
        <w:spacing w:before="0" w:after="0"/>
        <w:outlineLvl w:val="1"/>
        <w:rPr>
          <w:sz w:val="22"/>
          <w:szCs w:val="22"/>
          <w:lang w:val="cs-CZ"/>
        </w:rPr>
      </w:pPr>
      <w:r w:rsidRPr="0008443B">
        <w:rPr>
          <w:b/>
          <w:bCs/>
          <w:sz w:val="22"/>
          <w:szCs w:val="22"/>
          <w:lang w:val="cs-CZ"/>
        </w:rPr>
        <w:t>8.</w:t>
      </w:r>
      <w:r w:rsidRPr="0008443B">
        <w:rPr>
          <w:b/>
          <w:bCs/>
          <w:sz w:val="22"/>
          <w:szCs w:val="22"/>
          <w:lang w:val="cs-CZ"/>
        </w:rPr>
        <w:tab/>
        <w:t>REGISTRAČNÍ ČÍSLO</w:t>
      </w:r>
      <w:r w:rsidR="00C96C26">
        <w:rPr>
          <w:b/>
          <w:bCs/>
          <w:sz w:val="22"/>
          <w:szCs w:val="22"/>
          <w:lang w:val="cs-CZ"/>
        </w:rPr>
        <w:t>/REGISTRAČNÍ ČÍSLA</w:t>
      </w:r>
    </w:p>
    <w:p w14:paraId="7D457921" w14:textId="77777777" w:rsidR="005807A0" w:rsidRPr="003D520D" w:rsidRDefault="005807A0" w:rsidP="00955F06">
      <w:pPr>
        <w:pStyle w:val="Textkomente"/>
        <w:tabs>
          <w:tab w:val="left" w:pos="8080"/>
        </w:tabs>
        <w:spacing w:after="0"/>
        <w:rPr>
          <w:sz w:val="22"/>
          <w:szCs w:val="22"/>
          <w:lang w:val="cs-CZ"/>
        </w:rPr>
      </w:pPr>
    </w:p>
    <w:p w14:paraId="7D457922" w14:textId="77777777" w:rsidR="005807A0" w:rsidRPr="003D520D" w:rsidRDefault="005807A0" w:rsidP="00D707AB">
      <w:pPr>
        <w:pStyle w:val="Textkomente"/>
        <w:keepNext/>
        <w:keepLines/>
        <w:spacing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EU/1/13/858/001</w:t>
      </w:r>
    </w:p>
    <w:p w14:paraId="7D457923" w14:textId="77777777" w:rsidR="005807A0" w:rsidRPr="003D520D" w:rsidRDefault="005807A0" w:rsidP="00D707AB">
      <w:pPr>
        <w:pStyle w:val="Textkomente"/>
        <w:keepNext/>
        <w:keepLines/>
        <w:spacing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>EU/1/13/858/002</w:t>
      </w:r>
    </w:p>
    <w:p w14:paraId="7D457924" w14:textId="77777777" w:rsidR="005807A0" w:rsidRPr="003D520D" w:rsidRDefault="005807A0" w:rsidP="00D707AB">
      <w:pPr>
        <w:pStyle w:val="Normlnodsazen"/>
        <w:keepNext/>
        <w:keepLines/>
        <w:spacing w:after="0"/>
        <w:ind w:left="0"/>
        <w:rPr>
          <w:szCs w:val="22"/>
          <w:lang w:val="cs-CZ"/>
        </w:rPr>
      </w:pPr>
    </w:p>
    <w:p w14:paraId="7D457925" w14:textId="77777777" w:rsidR="005807A0" w:rsidRPr="003D520D" w:rsidRDefault="005807A0" w:rsidP="00D707AB">
      <w:pPr>
        <w:pStyle w:val="Normlnodsazen"/>
        <w:spacing w:after="0"/>
        <w:ind w:left="0"/>
        <w:rPr>
          <w:szCs w:val="22"/>
          <w:lang w:val="cs-CZ"/>
        </w:rPr>
      </w:pPr>
    </w:p>
    <w:p w14:paraId="7D457926" w14:textId="77777777" w:rsidR="00356F6E" w:rsidRPr="0008443B" w:rsidRDefault="00356F6E" w:rsidP="001C40B8">
      <w:pPr>
        <w:pStyle w:val="BayerBodyTextFull"/>
        <w:spacing w:before="0" w:after="0"/>
        <w:outlineLvl w:val="1"/>
        <w:rPr>
          <w:b/>
          <w:bCs/>
          <w:sz w:val="22"/>
          <w:szCs w:val="22"/>
          <w:lang w:val="cs-CZ"/>
        </w:rPr>
      </w:pPr>
      <w:r w:rsidRPr="0008443B">
        <w:rPr>
          <w:b/>
          <w:bCs/>
          <w:sz w:val="22"/>
          <w:szCs w:val="22"/>
          <w:lang w:val="cs-CZ"/>
        </w:rPr>
        <w:t>9.</w:t>
      </w:r>
      <w:r w:rsidRPr="0008443B">
        <w:rPr>
          <w:b/>
          <w:bCs/>
          <w:sz w:val="22"/>
          <w:szCs w:val="22"/>
          <w:lang w:val="cs-CZ"/>
        </w:rPr>
        <w:tab/>
        <w:t>DATUM PRVNÍ REGISTRACE/PRODLOUŽENÍ REGISTRACE</w:t>
      </w:r>
    </w:p>
    <w:p w14:paraId="7D457927" w14:textId="77777777" w:rsidR="00356F6E" w:rsidRPr="003D520D" w:rsidRDefault="00356F6E" w:rsidP="00D707AB">
      <w:pPr>
        <w:pStyle w:val="Normlnodsazen"/>
        <w:keepNext/>
        <w:keepLines/>
        <w:spacing w:after="0"/>
        <w:ind w:left="0"/>
        <w:rPr>
          <w:szCs w:val="22"/>
          <w:lang w:val="cs-CZ"/>
        </w:rPr>
      </w:pPr>
    </w:p>
    <w:p w14:paraId="7D457928" w14:textId="77777777" w:rsidR="00356F6E" w:rsidRPr="003D520D" w:rsidRDefault="00B84D22" w:rsidP="00D707AB">
      <w:pPr>
        <w:pStyle w:val="Normlnodsazen"/>
        <w:spacing w:after="0"/>
        <w:ind w:left="0"/>
        <w:rPr>
          <w:szCs w:val="22"/>
          <w:lang w:val="cs-CZ"/>
        </w:rPr>
      </w:pPr>
      <w:r w:rsidRPr="003D520D">
        <w:rPr>
          <w:szCs w:val="22"/>
          <w:lang w:val="cs-CZ"/>
        </w:rPr>
        <w:t>Datum první registrace: 26. srpna 2013</w:t>
      </w:r>
    </w:p>
    <w:p w14:paraId="7D457929" w14:textId="77777777" w:rsidR="00356F6E" w:rsidRDefault="00090A90" w:rsidP="00D707AB">
      <w:pPr>
        <w:pStyle w:val="Normlnodsazen"/>
        <w:spacing w:after="0"/>
        <w:ind w:left="0"/>
        <w:rPr>
          <w:szCs w:val="22"/>
          <w:lang w:val="cs-CZ"/>
        </w:rPr>
      </w:pPr>
      <w:r>
        <w:rPr>
          <w:szCs w:val="22"/>
          <w:lang w:val="cs-CZ"/>
        </w:rPr>
        <w:t>Datum posledn</w:t>
      </w:r>
      <w:r w:rsidR="007D4208">
        <w:rPr>
          <w:szCs w:val="22"/>
          <w:lang w:val="cs-CZ"/>
        </w:rPr>
        <w:t>í</w:t>
      </w:r>
      <w:r w:rsidRPr="0046456A">
        <w:rPr>
          <w:szCs w:val="22"/>
          <w:lang w:val="cs-CZ"/>
        </w:rPr>
        <w:t>ho</w:t>
      </w:r>
      <w:r>
        <w:rPr>
          <w:szCs w:val="22"/>
          <w:lang w:val="cs-CZ"/>
        </w:rPr>
        <w:t xml:space="preserve"> prodloužení:</w:t>
      </w:r>
      <w:r w:rsidR="009740CE">
        <w:rPr>
          <w:szCs w:val="22"/>
          <w:lang w:val="cs-CZ"/>
        </w:rPr>
        <w:t xml:space="preserve"> 22. května 2018</w:t>
      </w:r>
    </w:p>
    <w:p w14:paraId="7D45792A" w14:textId="77777777" w:rsidR="00090A90" w:rsidRDefault="00090A90" w:rsidP="00D707AB">
      <w:pPr>
        <w:pStyle w:val="Normlnodsazen"/>
        <w:spacing w:after="0"/>
        <w:ind w:left="0"/>
        <w:rPr>
          <w:szCs w:val="22"/>
          <w:lang w:val="cs-CZ"/>
        </w:rPr>
      </w:pPr>
    </w:p>
    <w:p w14:paraId="7D45792B" w14:textId="77777777" w:rsidR="00090A90" w:rsidRPr="003D520D" w:rsidRDefault="00090A90" w:rsidP="00D707AB">
      <w:pPr>
        <w:pStyle w:val="Normlnodsazen"/>
        <w:spacing w:after="0"/>
        <w:ind w:left="0"/>
        <w:rPr>
          <w:szCs w:val="22"/>
          <w:lang w:val="cs-CZ"/>
        </w:rPr>
      </w:pPr>
    </w:p>
    <w:p w14:paraId="7D45792C" w14:textId="77777777" w:rsidR="00356F6E" w:rsidRPr="0008443B" w:rsidRDefault="00356F6E" w:rsidP="001C40B8">
      <w:pPr>
        <w:pStyle w:val="BayerBodyTextFull"/>
        <w:spacing w:before="0" w:after="0"/>
        <w:outlineLvl w:val="1"/>
        <w:rPr>
          <w:b/>
          <w:bCs/>
          <w:sz w:val="22"/>
          <w:szCs w:val="22"/>
          <w:lang w:val="cs-CZ"/>
        </w:rPr>
      </w:pPr>
      <w:r w:rsidRPr="0008443B">
        <w:rPr>
          <w:b/>
          <w:bCs/>
          <w:sz w:val="22"/>
          <w:szCs w:val="22"/>
          <w:lang w:val="cs-CZ"/>
        </w:rPr>
        <w:t>10.</w:t>
      </w:r>
      <w:r w:rsidRPr="0008443B">
        <w:rPr>
          <w:b/>
          <w:bCs/>
          <w:sz w:val="22"/>
          <w:szCs w:val="22"/>
          <w:lang w:val="cs-CZ"/>
        </w:rPr>
        <w:tab/>
        <w:t>DATUM REVIZE TEXTU</w:t>
      </w:r>
    </w:p>
    <w:p w14:paraId="7D45792D" w14:textId="7E910117" w:rsidR="00356F6E" w:rsidRPr="003D520D" w:rsidRDefault="005A74BD" w:rsidP="00D707AB">
      <w:pPr>
        <w:pStyle w:val="Normlnodsazen"/>
        <w:keepNext/>
        <w:keepLines/>
        <w:spacing w:after="0"/>
        <w:ind w:left="0"/>
        <w:rPr>
          <w:szCs w:val="22"/>
          <w:lang w:val="cs-CZ"/>
        </w:rPr>
      </w:pPr>
      <w:r>
        <w:rPr>
          <w:szCs w:val="22"/>
          <w:lang w:val="cs-CZ"/>
        </w:rPr>
        <w:t>1.7.2025</w:t>
      </w:r>
    </w:p>
    <w:p w14:paraId="7D45792E" w14:textId="77777777" w:rsidR="000A2F8D" w:rsidRPr="003D520D" w:rsidRDefault="000A2F8D" w:rsidP="00D707AB">
      <w:pPr>
        <w:suppressLineNumbers/>
        <w:spacing w:after="0"/>
        <w:rPr>
          <w:szCs w:val="22"/>
          <w:lang w:val="cs-CZ"/>
        </w:rPr>
      </w:pPr>
    </w:p>
    <w:p w14:paraId="7D457937" w14:textId="593BCF08" w:rsidR="00CC12B2" w:rsidRPr="00631A17" w:rsidRDefault="000A2F8D" w:rsidP="00631A17">
      <w:pPr>
        <w:ind w:right="566"/>
        <w:rPr>
          <w:noProof/>
          <w:szCs w:val="22"/>
          <w:lang w:val="cs-CZ"/>
        </w:rPr>
      </w:pPr>
      <w:r w:rsidRPr="003D520D">
        <w:rPr>
          <w:noProof/>
          <w:szCs w:val="22"/>
          <w:lang w:val="cs-CZ"/>
        </w:rPr>
        <w:t xml:space="preserve">Podrobné informace o tomto léčivém přípravku jsou k dispozici na webových stránkách Evropské agentury pro léčivé přípravky </w:t>
      </w:r>
      <w:hyperlink r:id="rId26" w:history="1">
        <w:r w:rsidR="00E54C03" w:rsidRPr="00E54C03">
          <w:rPr>
            <w:rStyle w:val="Hypertextovodkaz"/>
            <w:noProof/>
            <w:szCs w:val="22"/>
            <w:lang w:val="cs-CZ"/>
          </w:rPr>
          <w:t>https://www.ema.europa.eu</w:t>
        </w:r>
      </w:hyperlink>
      <w:r w:rsidRPr="003D520D">
        <w:rPr>
          <w:noProof/>
          <w:szCs w:val="22"/>
          <w:lang w:val="cs-CZ"/>
        </w:rPr>
        <w:t>.</w:t>
      </w:r>
    </w:p>
    <w:sectPr w:rsidR="00CC12B2" w:rsidRPr="00631A17" w:rsidSect="00356F6E">
      <w:pgSz w:w="11906" w:h="16838" w:code="9"/>
      <w:pgMar w:top="1440" w:right="1416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B752E" w14:textId="77777777" w:rsidR="00EB6105" w:rsidRDefault="00EB6105">
      <w:r>
        <w:separator/>
      </w:r>
    </w:p>
  </w:endnote>
  <w:endnote w:type="continuationSeparator" w:id="0">
    <w:p w14:paraId="24415985" w14:textId="77777777" w:rsidR="00EB6105" w:rsidRDefault="00EB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F936" w14:textId="77777777" w:rsidR="00DC0DB4" w:rsidRDefault="00DC0D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7C21" w14:textId="77777777" w:rsidR="00C96C26" w:rsidRPr="00245108" w:rsidRDefault="00C96C26" w:rsidP="00356F6E">
    <w:pPr>
      <w:pStyle w:val="Zpat"/>
      <w:jc w:val="center"/>
      <w:rPr>
        <w:rFonts w:ascii="Arial" w:hAnsi="Arial" w:cs="Arial"/>
        <w:sz w:val="16"/>
        <w:szCs w:val="16"/>
      </w:rPr>
    </w:pPr>
    <w:r w:rsidRPr="00245108">
      <w:rPr>
        <w:rStyle w:val="slostrnky"/>
        <w:rFonts w:ascii="Arial" w:hAnsi="Arial" w:cs="Arial"/>
        <w:sz w:val="16"/>
        <w:szCs w:val="16"/>
      </w:rPr>
      <w:fldChar w:fldCharType="begin"/>
    </w:r>
    <w:r w:rsidRPr="00245108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245108">
      <w:rPr>
        <w:rStyle w:val="slostrnky"/>
        <w:rFonts w:ascii="Arial" w:hAnsi="Arial" w:cs="Arial"/>
        <w:sz w:val="16"/>
        <w:szCs w:val="16"/>
      </w:rPr>
      <w:fldChar w:fldCharType="separate"/>
    </w:r>
    <w:r w:rsidR="00B75B6A" w:rsidRPr="00245108">
      <w:rPr>
        <w:rStyle w:val="slostrnky"/>
        <w:rFonts w:ascii="Arial" w:hAnsi="Arial" w:cs="Arial"/>
        <w:noProof/>
        <w:sz w:val="16"/>
        <w:szCs w:val="16"/>
      </w:rPr>
      <w:t>7</w:t>
    </w:r>
    <w:r w:rsidRPr="00245108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EE6D" w14:textId="77777777" w:rsidR="00DC0DB4" w:rsidRDefault="00DC0D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BCCF0" w14:textId="77777777" w:rsidR="00EB6105" w:rsidRDefault="00EB6105">
      <w:r>
        <w:separator/>
      </w:r>
    </w:p>
  </w:footnote>
  <w:footnote w:type="continuationSeparator" w:id="0">
    <w:p w14:paraId="421AE286" w14:textId="77777777" w:rsidR="00EB6105" w:rsidRDefault="00EB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AC90" w14:textId="77777777" w:rsidR="00DC0DB4" w:rsidRDefault="00DC0D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51CB" w14:textId="77777777" w:rsidR="00DC0DB4" w:rsidRDefault="00DC0D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E174" w14:textId="77777777" w:rsidR="00DC0DB4" w:rsidRDefault="00DC0D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664970160" o:spid="_x0000_i1026" type="#_x0000_t75" style="width:15pt;height:13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9A448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4C3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5506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6D0A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54B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328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64E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F677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4EA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9F4A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15F54D2"/>
    <w:multiLevelType w:val="multilevel"/>
    <w:tmpl w:val="A9D8723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034A4C08"/>
    <w:multiLevelType w:val="hybridMultilevel"/>
    <w:tmpl w:val="8FBEE1D0"/>
    <w:lvl w:ilvl="0" w:tplc="D256E73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44CC1"/>
    <w:multiLevelType w:val="hybridMultilevel"/>
    <w:tmpl w:val="7FF2C5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914AD"/>
    <w:multiLevelType w:val="hybridMultilevel"/>
    <w:tmpl w:val="AA4840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3350C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BB41C05"/>
    <w:multiLevelType w:val="hybridMultilevel"/>
    <w:tmpl w:val="2654D4D2"/>
    <w:lvl w:ilvl="0" w:tplc="21365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BB21FD"/>
    <w:multiLevelType w:val="hybridMultilevel"/>
    <w:tmpl w:val="7A94E54C"/>
    <w:lvl w:ilvl="0" w:tplc="5A7E28AE">
      <w:start w:val="1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C427CC"/>
    <w:multiLevelType w:val="hybridMultilevel"/>
    <w:tmpl w:val="DAF46A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374D2"/>
    <w:multiLevelType w:val="multilevel"/>
    <w:tmpl w:val="DDA4935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210339AB"/>
    <w:multiLevelType w:val="hybridMultilevel"/>
    <w:tmpl w:val="44A62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9A2470"/>
    <w:multiLevelType w:val="hybridMultilevel"/>
    <w:tmpl w:val="A8F41402"/>
    <w:lvl w:ilvl="0" w:tplc="A746B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D3D59"/>
    <w:multiLevelType w:val="hybridMultilevel"/>
    <w:tmpl w:val="710094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41609"/>
    <w:multiLevelType w:val="hybridMultilevel"/>
    <w:tmpl w:val="CA7222BC"/>
    <w:lvl w:ilvl="0" w:tplc="FFFFFFFF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2F72731F"/>
    <w:multiLevelType w:val="hybridMultilevel"/>
    <w:tmpl w:val="7ACE9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814C3A"/>
    <w:multiLevelType w:val="singleLevel"/>
    <w:tmpl w:val="164A6F20"/>
    <w:lvl w:ilvl="0">
      <w:start w:val="1"/>
      <w:numFmt w:val="bullet"/>
      <w:pStyle w:val="Bullet2BayerBodyTex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</w:abstractNum>
  <w:abstractNum w:abstractNumId="26" w15:restartNumberingAfterBreak="0">
    <w:nsid w:val="361329F7"/>
    <w:multiLevelType w:val="hybridMultilevel"/>
    <w:tmpl w:val="6C60FD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078B3"/>
    <w:multiLevelType w:val="multilevel"/>
    <w:tmpl w:val="8AFEA38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59C360E"/>
    <w:multiLevelType w:val="multilevel"/>
    <w:tmpl w:val="BE566440"/>
    <w:lvl w:ilvl="0">
      <w:start w:val="1"/>
      <w:numFmt w:val="bullet"/>
      <w:pStyle w:val="BulletList"/>
      <w:lvlText w:val="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­"/>
      <w:lvlJc w:val="left"/>
      <w:pPr>
        <w:tabs>
          <w:tab w:val="num" w:pos="2268"/>
        </w:tabs>
        <w:ind w:left="2268" w:hanging="425"/>
      </w:pPr>
      <w:rPr>
        <w:rFonts w:ascii="Times New Roman" w:hAnsi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8B56C73"/>
    <w:multiLevelType w:val="hybridMultilevel"/>
    <w:tmpl w:val="934C30CE"/>
    <w:lvl w:ilvl="0" w:tplc="FFFFFFFF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AE83037"/>
    <w:multiLevelType w:val="multilevel"/>
    <w:tmpl w:val="A5DEA604"/>
    <w:lvl w:ilvl="0">
      <w:start w:val="1"/>
      <w:numFmt w:val="decimal"/>
      <w:lvlText w:val="%1."/>
      <w:lvlJc w:val="left"/>
      <w:pPr>
        <w:tabs>
          <w:tab w:val="num" w:pos="0"/>
        </w:tabs>
        <w:ind w:left="1134" w:hanging="1134"/>
      </w:pPr>
      <w:rPr>
        <w:rFonts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</w:abstractNum>
  <w:abstractNum w:abstractNumId="31" w15:restartNumberingAfterBreak="0">
    <w:nsid w:val="5C5F6027"/>
    <w:multiLevelType w:val="hybridMultilevel"/>
    <w:tmpl w:val="FF08A07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851DD"/>
    <w:multiLevelType w:val="multilevel"/>
    <w:tmpl w:val="0AE445D6"/>
    <w:lvl w:ilvl="0">
      <w:start w:val="1"/>
      <w:numFmt w:val="none"/>
      <w:pStyle w:val="Bullet0dKT"/>
      <w:lvlText w:val="%1"/>
      <w:lvlJc w:val="left"/>
      <w:pPr>
        <w:tabs>
          <w:tab w:val="num" w:pos="0"/>
        </w:tabs>
      </w:pPr>
      <w:rPr>
        <w:rFonts w:cs="Times New Roman" w:hint="default"/>
        <w:b/>
        <w:sz w:val="28"/>
      </w:rPr>
    </w:lvl>
    <w:lvl w:ilvl="1">
      <w:start w:val="1"/>
      <w:numFmt w:val="none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</w:rPr>
    </w:lvl>
    <w:lvl w:ilvl="2">
      <w:start w:val="1"/>
      <w:numFmt w:val="none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0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0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61F37A20"/>
    <w:multiLevelType w:val="hybridMultilevel"/>
    <w:tmpl w:val="468E423C"/>
    <w:lvl w:ilvl="0" w:tplc="A0463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652A8"/>
    <w:multiLevelType w:val="singleLevel"/>
    <w:tmpl w:val="6986CAA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5" w15:restartNumberingAfterBreak="0">
    <w:nsid w:val="64236DD9"/>
    <w:multiLevelType w:val="multilevel"/>
    <w:tmpl w:val="63C025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6" w15:restartNumberingAfterBreak="0">
    <w:nsid w:val="65705320"/>
    <w:multiLevelType w:val="hybridMultilevel"/>
    <w:tmpl w:val="90081AE8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3D71F4"/>
    <w:multiLevelType w:val="hybridMultilevel"/>
    <w:tmpl w:val="E8C67D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4406EA"/>
    <w:multiLevelType w:val="multilevel"/>
    <w:tmpl w:val="AA4840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0" w15:restartNumberingAfterBreak="0">
    <w:nsid w:val="69756D1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69E95A54"/>
    <w:multiLevelType w:val="hybridMultilevel"/>
    <w:tmpl w:val="EDE059A0"/>
    <w:lvl w:ilvl="0" w:tplc="421470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F01EA"/>
    <w:multiLevelType w:val="hybridMultilevel"/>
    <w:tmpl w:val="2DA8D7A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337D0"/>
    <w:multiLevelType w:val="hybridMultilevel"/>
    <w:tmpl w:val="B6C885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555745"/>
    <w:multiLevelType w:val="hybridMultilevel"/>
    <w:tmpl w:val="9DD8018C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E56C06"/>
    <w:multiLevelType w:val="hybridMultilevel"/>
    <w:tmpl w:val="4912932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B45D0"/>
    <w:multiLevelType w:val="hybridMultilevel"/>
    <w:tmpl w:val="62526B36"/>
    <w:lvl w:ilvl="0" w:tplc="FFFFFFFF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B5C8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7A100D28"/>
    <w:multiLevelType w:val="hybridMultilevel"/>
    <w:tmpl w:val="2F94C0BA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6A92C8E4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F014C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820196842">
    <w:abstractNumId w:val="28"/>
  </w:num>
  <w:num w:numId="2" w16cid:durableId="1618680089">
    <w:abstractNumId w:val="35"/>
  </w:num>
  <w:num w:numId="3" w16cid:durableId="401759906">
    <w:abstractNumId w:val="35"/>
  </w:num>
  <w:num w:numId="4" w16cid:durableId="1364163207">
    <w:abstractNumId w:val="35"/>
  </w:num>
  <w:num w:numId="5" w16cid:durableId="1448617502">
    <w:abstractNumId w:val="35"/>
  </w:num>
  <w:num w:numId="6" w16cid:durableId="1926572983">
    <w:abstractNumId w:val="49"/>
  </w:num>
  <w:num w:numId="7" w16cid:durableId="1535657047">
    <w:abstractNumId w:val="47"/>
  </w:num>
  <w:num w:numId="8" w16cid:durableId="1458528466">
    <w:abstractNumId w:val="40"/>
  </w:num>
  <w:num w:numId="9" w16cid:durableId="917250106">
    <w:abstractNumId w:val="15"/>
  </w:num>
  <w:num w:numId="10" w16cid:durableId="853030526">
    <w:abstractNumId w:val="9"/>
  </w:num>
  <w:num w:numId="11" w16cid:durableId="993027239">
    <w:abstractNumId w:val="7"/>
  </w:num>
  <w:num w:numId="12" w16cid:durableId="2074232745">
    <w:abstractNumId w:val="6"/>
  </w:num>
  <w:num w:numId="13" w16cid:durableId="321474095">
    <w:abstractNumId w:val="5"/>
  </w:num>
  <w:num w:numId="14" w16cid:durableId="142747352">
    <w:abstractNumId w:val="4"/>
  </w:num>
  <w:num w:numId="15" w16cid:durableId="1919249933">
    <w:abstractNumId w:val="8"/>
  </w:num>
  <w:num w:numId="16" w16cid:durableId="1496146818">
    <w:abstractNumId w:val="3"/>
  </w:num>
  <w:num w:numId="17" w16cid:durableId="1677071620">
    <w:abstractNumId w:val="2"/>
  </w:num>
  <w:num w:numId="18" w16cid:durableId="105734692">
    <w:abstractNumId w:val="1"/>
  </w:num>
  <w:num w:numId="19" w16cid:durableId="698312103">
    <w:abstractNumId w:val="0"/>
  </w:num>
  <w:num w:numId="20" w16cid:durableId="1731422201">
    <w:abstractNumId w:val="34"/>
  </w:num>
  <w:num w:numId="21" w16cid:durableId="2099473636">
    <w:abstractNumId w:val="27"/>
  </w:num>
  <w:num w:numId="22" w16cid:durableId="66078703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3" w16cid:durableId="1236016715">
    <w:abstractNumId w:val="39"/>
  </w:num>
  <w:num w:numId="24" w16cid:durableId="1082800571">
    <w:abstractNumId w:val="29"/>
  </w:num>
  <w:num w:numId="25" w16cid:durableId="1106852508">
    <w:abstractNumId w:val="23"/>
  </w:num>
  <w:num w:numId="26" w16cid:durableId="964581106">
    <w:abstractNumId w:val="22"/>
  </w:num>
  <w:num w:numId="27" w16cid:durableId="612128393">
    <w:abstractNumId w:val="26"/>
  </w:num>
  <w:num w:numId="28" w16cid:durableId="1699116213">
    <w:abstractNumId w:val="14"/>
  </w:num>
  <w:num w:numId="29" w16cid:durableId="961034294">
    <w:abstractNumId w:val="38"/>
  </w:num>
  <w:num w:numId="30" w16cid:durableId="2063212531">
    <w:abstractNumId w:val="37"/>
  </w:num>
  <w:num w:numId="31" w16cid:durableId="2038118261">
    <w:abstractNumId w:val="25"/>
  </w:num>
  <w:num w:numId="32" w16cid:durableId="1933850221">
    <w:abstractNumId w:val="13"/>
  </w:num>
  <w:num w:numId="33" w16cid:durableId="1142965303">
    <w:abstractNumId w:val="43"/>
  </w:num>
  <w:num w:numId="34" w16cid:durableId="812336670">
    <w:abstractNumId w:val="30"/>
  </w:num>
  <w:num w:numId="35" w16cid:durableId="372581988">
    <w:abstractNumId w:val="11"/>
  </w:num>
  <w:num w:numId="36" w16cid:durableId="1498154730">
    <w:abstractNumId w:val="10"/>
    <w:lvlOverride w:ilvl="0">
      <w:lvl w:ilvl="0">
        <w:start w:val="1"/>
        <w:numFmt w:val="bullet"/>
        <w:lvlText w:val="-"/>
        <w:lvlJc w:val="left"/>
        <w:pPr>
          <w:ind w:left="720" w:hanging="360"/>
        </w:pPr>
      </w:lvl>
    </w:lvlOverride>
  </w:num>
  <w:num w:numId="37" w16cid:durableId="1954550589">
    <w:abstractNumId w:val="18"/>
  </w:num>
  <w:num w:numId="38" w16cid:durableId="688063522">
    <w:abstractNumId w:val="45"/>
  </w:num>
  <w:num w:numId="39" w16cid:durableId="16002309">
    <w:abstractNumId w:val="32"/>
  </w:num>
  <w:num w:numId="40" w16cid:durableId="980960920">
    <w:abstractNumId w:val="19"/>
  </w:num>
  <w:num w:numId="41" w16cid:durableId="307323213">
    <w:abstractNumId w:val="46"/>
  </w:num>
  <w:num w:numId="42" w16cid:durableId="1270049134">
    <w:abstractNumId w:val="36"/>
  </w:num>
  <w:num w:numId="43" w16cid:durableId="950474017">
    <w:abstractNumId w:val="43"/>
  </w:num>
  <w:num w:numId="44" w16cid:durableId="2010520495">
    <w:abstractNumId w:val="13"/>
  </w:num>
  <w:num w:numId="45" w16cid:durableId="1697383223">
    <w:abstractNumId w:val="20"/>
  </w:num>
  <w:num w:numId="46" w16cid:durableId="1591741112">
    <w:abstractNumId w:val="31"/>
  </w:num>
  <w:num w:numId="47" w16cid:durableId="2029407701">
    <w:abstractNumId w:val="41"/>
  </w:num>
  <w:num w:numId="48" w16cid:durableId="1026364993">
    <w:abstractNumId w:val="44"/>
  </w:num>
  <w:num w:numId="49" w16cid:durableId="108282257">
    <w:abstractNumId w:val="16"/>
  </w:num>
  <w:num w:numId="50" w16cid:durableId="170721956">
    <w:abstractNumId w:val="48"/>
  </w:num>
  <w:num w:numId="51" w16cid:durableId="276987520">
    <w:abstractNumId w:val="17"/>
  </w:num>
  <w:num w:numId="52" w16cid:durableId="14577858">
    <w:abstractNumId w:val="42"/>
  </w:num>
  <w:num w:numId="53" w16cid:durableId="53548352">
    <w:abstractNumId w:val="24"/>
  </w:num>
  <w:num w:numId="54" w16cid:durableId="1052115186">
    <w:abstractNumId w:val="21"/>
  </w:num>
  <w:num w:numId="55" w16cid:durableId="190075394">
    <w:abstractNumId w:val="33"/>
  </w:num>
  <w:num w:numId="56" w16cid:durableId="660081016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0F"/>
    <w:rsid w:val="00001E6D"/>
    <w:rsid w:val="000033C1"/>
    <w:rsid w:val="00004124"/>
    <w:rsid w:val="00006DC6"/>
    <w:rsid w:val="00012473"/>
    <w:rsid w:val="000130FD"/>
    <w:rsid w:val="00013D22"/>
    <w:rsid w:val="0001612B"/>
    <w:rsid w:val="00017464"/>
    <w:rsid w:val="0001783D"/>
    <w:rsid w:val="00021F4D"/>
    <w:rsid w:val="00023321"/>
    <w:rsid w:val="000236F0"/>
    <w:rsid w:val="00025AFF"/>
    <w:rsid w:val="00026034"/>
    <w:rsid w:val="0003095F"/>
    <w:rsid w:val="00032839"/>
    <w:rsid w:val="00033649"/>
    <w:rsid w:val="000346AD"/>
    <w:rsid w:val="00035084"/>
    <w:rsid w:val="00036D62"/>
    <w:rsid w:val="000373BE"/>
    <w:rsid w:val="00037914"/>
    <w:rsid w:val="0004257B"/>
    <w:rsid w:val="00042D5A"/>
    <w:rsid w:val="000449F4"/>
    <w:rsid w:val="00046A82"/>
    <w:rsid w:val="0005018B"/>
    <w:rsid w:val="00051394"/>
    <w:rsid w:val="00051A62"/>
    <w:rsid w:val="000533C3"/>
    <w:rsid w:val="0006023B"/>
    <w:rsid w:val="0006354F"/>
    <w:rsid w:val="000639FC"/>
    <w:rsid w:val="00064099"/>
    <w:rsid w:val="000641A3"/>
    <w:rsid w:val="00065F10"/>
    <w:rsid w:val="00066144"/>
    <w:rsid w:val="0006646F"/>
    <w:rsid w:val="0006647E"/>
    <w:rsid w:val="000672A9"/>
    <w:rsid w:val="00067310"/>
    <w:rsid w:val="00067CAC"/>
    <w:rsid w:val="00070A17"/>
    <w:rsid w:val="00070CFD"/>
    <w:rsid w:val="00072812"/>
    <w:rsid w:val="0007406B"/>
    <w:rsid w:val="000750A0"/>
    <w:rsid w:val="000765C2"/>
    <w:rsid w:val="000772F2"/>
    <w:rsid w:val="00077DA8"/>
    <w:rsid w:val="00080F68"/>
    <w:rsid w:val="0008142F"/>
    <w:rsid w:val="00082659"/>
    <w:rsid w:val="000842E8"/>
    <w:rsid w:val="0008443B"/>
    <w:rsid w:val="00085B66"/>
    <w:rsid w:val="00085E49"/>
    <w:rsid w:val="00086EB7"/>
    <w:rsid w:val="00086F62"/>
    <w:rsid w:val="00090A90"/>
    <w:rsid w:val="0009216C"/>
    <w:rsid w:val="0009352E"/>
    <w:rsid w:val="00095412"/>
    <w:rsid w:val="00096AB4"/>
    <w:rsid w:val="000A2F8D"/>
    <w:rsid w:val="000A35BA"/>
    <w:rsid w:val="000A3AB4"/>
    <w:rsid w:val="000A5DDA"/>
    <w:rsid w:val="000A7B6E"/>
    <w:rsid w:val="000B06C4"/>
    <w:rsid w:val="000B1D35"/>
    <w:rsid w:val="000B3C14"/>
    <w:rsid w:val="000C25D2"/>
    <w:rsid w:val="000C310B"/>
    <w:rsid w:val="000C59A4"/>
    <w:rsid w:val="000C608E"/>
    <w:rsid w:val="000C649F"/>
    <w:rsid w:val="000D0CF1"/>
    <w:rsid w:val="000D1A0F"/>
    <w:rsid w:val="000D2112"/>
    <w:rsid w:val="000D25C6"/>
    <w:rsid w:val="000D79EE"/>
    <w:rsid w:val="000E17ED"/>
    <w:rsid w:val="000E1C60"/>
    <w:rsid w:val="000E1E95"/>
    <w:rsid w:val="000E386F"/>
    <w:rsid w:val="000E3E8F"/>
    <w:rsid w:val="000F0C84"/>
    <w:rsid w:val="000F3607"/>
    <w:rsid w:val="000F7008"/>
    <w:rsid w:val="000F7939"/>
    <w:rsid w:val="001015A9"/>
    <w:rsid w:val="001031F6"/>
    <w:rsid w:val="00103B8E"/>
    <w:rsid w:val="00105360"/>
    <w:rsid w:val="00107E5A"/>
    <w:rsid w:val="001109E7"/>
    <w:rsid w:val="00111FF8"/>
    <w:rsid w:val="001203B2"/>
    <w:rsid w:val="00120491"/>
    <w:rsid w:val="00121B03"/>
    <w:rsid w:val="00122682"/>
    <w:rsid w:val="00123B11"/>
    <w:rsid w:val="00123CC6"/>
    <w:rsid w:val="001267E9"/>
    <w:rsid w:val="001268D9"/>
    <w:rsid w:val="001274A4"/>
    <w:rsid w:val="00132A07"/>
    <w:rsid w:val="0013643E"/>
    <w:rsid w:val="00140597"/>
    <w:rsid w:val="00142058"/>
    <w:rsid w:val="00142DD2"/>
    <w:rsid w:val="00144EBD"/>
    <w:rsid w:val="0014512E"/>
    <w:rsid w:val="00145345"/>
    <w:rsid w:val="00145D17"/>
    <w:rsid w:val="00145EC6"/>
    <w:rsid w:val="00145EFE"/>
    <w:rsid w:val="0015117C"/>
    <w:rsid w:val="00153F51"/>
    <w:rsid w:val="00155567"/>
    <w:rsid w:val="001559AF"/>
    <w:rsid w:val="00155A8E"/>
    <w:rsid w:val="00156D01"/>
    <w:rsid w:val="00160694"/>
    <w:rsid w:val="0016221B"/>
    <w:rsid w:val="00162FAF"/>
    <w:rsid w:val="00163FA5"/>
    <w:rsid w:val="0016457C"/>
    <w:rsid w:val="0016471A"/>
    <w:rsid w:val="00164B27"/>
    <w:rsid w:val="001678A9"/>
    <w:rsid w:val="00170851"/>
    <w:rsid w:val="00170927"/>
    <w:rsid w:val="001729F0"/>
    <w:rsid w:val="00173217"/>
    <w:rsid w:val="00175A94"/>
    <w:rsid w:val="00177A8A"/>
    <w:rsid w:val="00180965"/>
    <w:rsid w:val="00182E0F"/>
    <w:rsid w:val="001840BE"/>
    <w:rsid w:val="00185E20"/>
    <w:rsid w:val="00186C1D"/>
    <w:rsid w:val="001874BE"/>
    <w:rsid w:val="00187EB0"/>
    <w:rsid w:val="00193275"/>
    <w:rsid w:val="00194E40"/>
    <w:rsid w:val="001A572F"/>
    <w:rsid w:val="001A5F85"/>
    <w:rsid w:val="001A7133"/>
    <w:rsid w:val="001A7D0C"/>
    <w:rsid w:val="001B46E3"/>
    <w:rsid w:val="001B56D6"/>
    <w:rsid w:val="001B5F85"/>
    <w:rsid w:val="001B71B7"/>
    <w:rsid w:val="001C12E6"/>
    <w:rsid w:val="001C1562"/>
    <w:rsid w:val="001C392C"/>
    <w:rsid w:val="001C3A10"/>
    <w:rsid w:val="001C40B8"/>
    <w:rsid w:val="001C48C4"/>
    <w:rsid w:val="001C6734"/>
    <w:rsid w:val="001D0161"/>
    <w:rsid w:val="001D1481"/>
    <w:rsid w:val="001D23B4"/>
    <w:rsid w:val="001D379A"/>
    <w:rsid w:val="001D3D35"/>
    <w:rsid w:val="001D4BCB"/>
    <w:rsid w:val="001E1DD6"/>
    <w:rsid w:val="001E6F5E"/>
    <w:rsid w:val="001E6FBA"/>
    <w:rsid w:val="001F197B"/>
    <w:rsid w:val="001F295E"/>
    <w:rsid w:val="001F52BA"/>
    <w:rsid w:val="001F5E85"/>
    <w:rsid w:val="001F717B"/>
    <w:rsid w:val="001F7373"/>
    <w:rsid w:val="001F7622"/>
    <w:rsid w:val="00201AFE"/>
    <w:rsid w:val="0020282D"/>
    <w:rsid w:val="00202C60"/>
    <w:rsid w:val="00203B5D"/>
    <w:rsid w:val="00211492"/>
    <w:rsid w:val="00215530"/>
    <w:rsid w:val="002156EC"/>
    <w:rsid w:val="0021688E"/>
    <w:rsid w:val="00217E13"/>
    <w:rsid w:val="00220B59"/>
    <w:rsid w:val="00220DAD"/>
    <w:rsid w:val="0022346F"/>
    <w:rsid w:val="00227381"/>
    <w:rsid w:val="00230004"/>
    <w:rsid w:val="00230397"/>
    <w:rsid w:val="00230929"/>
    <w:rsid w:val="00230D9A"/>
    <w:rsid w:val="00231961"/>
    <w:rsid w:val="00235290"/>
    <w:rsid w:val="00236BA6"/>
    <w:rsid w:val="00236CBA"/>
    <w:rsid w:val="00237564"/>
    <w:rsid w:val="002379CC"/>
    <w:rsid w:val="002415C8"/>
    <w:rsid w:val="0024314F"/>
    <w:rsid w:val="0024459F"/>
    <w:rsid w:val="002450B9"/>
    <w:rsid w:val="00245108"/>
    <w:rsid w:val="0024564E"/>
    <w:rsid w:val="002476C6"/>
    <w:rsid w:val="00250392"/>
    <w:rsid w:val="0025226F"/>
    <w:rsid w:val="002529D6"/>
    <w:rsid w:val="00256DD1"/>
    <w:rsid w:val="002572C9"/>
    <w:rsid w:val="0025730D"/>
    <w:rsid w:val="00257989"/>
    <w:rsid w:val="00260313"/>
    <w:rsid w:val="00262269"/>
    <w:rsid w:val="0026283E"/>
    <w:rsid w:val="00262D42"/>
    <w:rsid w:val="00263D0E"/>
    <w:rsid w:val="002650BD"/>
    <w:rsid w:val="00266F10"/>
    <w:rsid w:val="00272562"/>
    <w:rsid w:val="0027264F"/>
    <w:rsid w:val="00272FE5"/>
    <w:rsid w:val="00273C3A"/>
    <w:rsid w:val="00273F19"/>
    <w:rsid w:val="00274F4D"/>
    <w:rsid w:val="00277634"/>
    <w:rsid w:val="0028145D"/>
    <w:rsid w:val="002817DA"/>
    <w:rsid w:val="00284224"/>
    <w:rsid w:val="00290237"/>
    <w:rsid w:val="002903C5"/>
    <w:rsid w:val="00291F03"/>
    <w:rsid w:val="00291F47"/>
    <w:rsid w:val="00294EFA"/>
    <w:rsid w:val="0029659F"/>
    <w:rsid w:val="00297C82"/>
    <w:rsid w:val="00297EDF"/>
    <w:rsid w:val="002A10CD"/>
    <w:rsid w:val="002A1E25"/>
    <w:rsid w:val="002A7B88"/>
    <w:rsid w:val="002B17FD"/>
    <w:rsid w:val="002B1E34"/>
    <w:rsid w:val="002B3DDC"/>
    <w:rsid w:val="002B4315"/>
    <w:rsid w:val="002B5102"/>
    <w:rsid w:val="002B757E"/>
    <w:rsid w:val="002C13D2"/>
    <w:rsid w:val="002C1664"/>
    <w:rsid w:val="002C1811"/>
    <w:rsid w:val="002C4E78"/>
    <w:rsid w:val="002C63BA"/>
    <w:rsid w:val="002C7E75"/>
    <w:rsid w:val="002D03FA"/>
    <w:rsid w:val="002D09D0"/>
    <w:rsid w:val="002D1A1F"/>
    <w:rsid w:val="002D2A89"/>
    <w:rsid w:val="002D390A"/>
    <w:rsid w:val="002D3DC1"/>
    <w:rsid w:val="002D40CF"/>
    <w:rsid w:val="002D693F"/>
    <w:rsid w:val="002E115D"/>
    <w:rsid w:val="002E30F7"/>
    <w:rsid w:val="002E351B"/>
    <w:rsid w:val="002E42ED"/>
    <w:rsid w:val="002E5504"/>
    <w:rsid w:val="002F14AD"/>
    <w:rsid w:val="002F241B"/>
    <w:rsid w:val="002F325F"/>
    <w:rsid w:val="002F392A"/>
    <w:rsid w:val="002F3E66"/>
    <w:rsid w:val="002F4F92"/>
    <w:rsid w:val="002F68A9"/>
    <w:rsid w:val="0030033D"/>
    <w:rsid w:val="003008FB"/>
    <w:rsid w:val="0030247E"/>
    <w:rsid w:val="00303E91"/>
    <w:rsid w:val="00303FE5"/>
    <w:rsid w:val="00305D1C"/>
    <w:rsid w:val="00307A51"/>
    <w:rsid w:val="00311541"/>
    <w:rsid w:val="00311E98"/>
    <w:rsid w:val="003130FE"/>
    <w:rsid w:val="00314A1C"/>
    <w:rsid w:val="00316B5D"/>
    <w:rsid w:val="003233C4"/>
    <w:rsid w:val="00324F55"/>
    <w:rsid w:val="0032535D"/>
    <w:rsid w:val="00325442"/>
    <w:rsid w:val="00325555"/>
    <w:rsid w:val="00327BC1"/>
    <w:rsid w:val="0033032E"/>
    <w:rsid w:val="00330BB3"/>
    <w:rsid w:val="0033303C"/>
    <w:rsid w:val="00335927"/>
    <w:rsid w:val="00337079"/>
    <w:rsid w:val="003371AA"/>
    <w:rsid w:val="003378A1"/>
    <w:rsid w:val="0034066A"/>
    <w:rsid w:val="0034157D"/>
    <w:rsid w:val="00341D03"/>
    <w:rsid w:val="003420DD"/>
    <w:rsid w:val="003456CD"/>
    <w:rsid w:val="003465AC"/>
    <w:rsid w:val="00346895"/>
    <w:rsid w:val="0035013B"/>
    <w:rsid w:val="00352E9D"/>
    <w:rsid w:val="00355429"/>
    <w:rsid w:val="00355FA6"/>
    <w:rsid w:val="00356F6E"/>
    <w:rsid w:val="00356F84"/>
    <w:rsid w:val="00360E2D"/>
    <w:rsid w:val="00362E3C"/>
    <w:rsid w:val="0036451A"/>
    <w:rsid w:val="003667A4"/>
    <w:rsid w:val="003704D8"/>
    <w:rsid w:val="003710A8"/>
    <w:rsid w:val="003711F4"/>
    <w:rsid w:val="00372A36"/>
    <w:rsid w:val="00372EAE"/>
    <w:rsid w:val="00377697"/>
    <w:rsid w:val="00377D01"/>
    <w:rsid w:val="00377D25"/>
    <w:rsid w:val="00380394"/>
    <w:rsid w:val="003805BE"/>
    <w:rsid w:val="00380AFF"/>
    <w:rsid w:val="00384917"/>
    <w:rsid w:val="003849FF"/>
    <w:rsid w:val="00386A63"/>
    <w:rsid w:val="00392B17"/>
    <w:rsid w:val="00394334"/>
    <w:rsid w:val="00396528"/>
    <w:rsid w:val="003971BC"/>
    <w:rsid w:val="00397285"/>
    <w:rsid w:val="003A4A58"/>
    <w:rsid w:val="003A6935"/>
    <w:rsid w:val="003A7433"/>
    <w:rsid w:val="003A7575"/>
    <w:rsid w:val="003B535E"/>
    <w:rsid w:val="003B6774"/>
    <w:rsid w:val="003B734A"/>
    <w:rsid w:val="003B7A19"/>
    <w:rsid w:val="003C1907"/>
    <w:rsid w:val="003C37D6"/>
    <w:rsid w:val="003C3C2F"/>
    <w:rsid w:val="003C3E96"/>
    <w:rsid w:val="003C472E"/>
    <w:rsid w:val="003C7C7A"/>
    <w:rsid w:val="003D1BC1"/>
    <w:rsid w:val="003D1BC9"/>
    <w:rsid w:val="003D2800"/>
    <w:rsid w:val="003D3A91"/>
    <w:rsid w:val="003D47AB"/>
    <w:rsid w:val="003D520D"/>
    <w:rsid w:val="003D5348"/>
    <w:rsid w:val="003D678F"/>
    <w:rsid w:val="003D6D5B"/>
    <w:rsid w:val="003D78D3"/>
    <w:rsid w:val="003E0A02"/>
    <w:rsid w:val="003E2388"/>
    <w:rsid w:val="003E410A"/>
    <w:rsid w:val="003E788D"/>
    <w:rsid w:val="003E7C4A"/>
    <w:rsid w:val="003F0E03"/>
    <w:rsid w:val="003F0F10"/>
    <w:rsid w:val="003F3167"/>
    <w:rsid w:val="003F502F"/>
    <w:rsid w:val="003F65D4"/>
    <w:rsid w:val="003F7E7D"/>
    <w:rsid w:val="003F7F47"/>
    <w:rsid w:val="00400C0A"/>
    <w:rsid w:val="00401262"/>
    <w:rsid w:val="00402705"/>
    <w:rsid w:val="00402BE0"/>
    <w:rsid w:val="004039AA"/>
    <w:rsid w:val="00404D10"/>
    <w:rsid w:val="00405F22"/>
    <w:rsid w:val="0040796F"/>
    <w:rsid w:val="0041098C"/>
    <w:rsid w:val="0041168A"/>
    <w:rsid w:val="0041299E"/>
    <w:rsid w:val="00413805"/>
    <w:rsid w:val="00414597"/>
    <w:rsid w:val="00416892"/>
    <w:rsid w:val="00421447"/>
    <w:rsid w:val="004218DF"/>
    <w:rsid w:val="0042388A"/>
    <w:rsid w:val="00423A6C"/>
    <w:rsid w:val="004245F4"/>
    <w:rsid w:val="00424625"/>
    <w:rsid w:val="00424ED4"/>
    <w:rsid w:val="004304D4"/>
    <w:rsid w:val="00431894"/>
    <w:rsid w:val="00432F40"/>
    <w:rsid w:val="00434FDE"/>
    <w:rsid w:val="004353AF"/>
    <w:rsid w:val="00436F10"/>
    <w:rsid w:val="004378CD"/>
    <w:rsid w:val="004401A0"/>
    <w:rsid w:val="0044097B"/>
    <w:rsid w:val="00440981"/>
    <w:rsid w:val="00442974"/>
    <w:rsid w:val="00444226"/>
    <w:rsid w:val="004455EB"/>
    <w:rsid w:val="00447E77"/>
    <w:rsid w:val="00451F1A"/>
    <w:rsid w:val="00454FC2"/>
    <w:rsid w:val="0045563C"/>
    <w:rsid w:val="004556BE"/>
    <w:rsid w:val="00456189"/>
    <w:rsid w:val="00457048"/>
    <w:rsid w:val="004627BE"/>
    <w:rsid w:val="0046441C"/>
    <w:rsid w:val="0046456A"/>
    <w:rsid w:val="00464784"/>
    <w:rsid w:val="00465B1B"/>
    <w:rsid w:val="004722C9"/>
    <w:rsid w:val="0048103E"/>
    <w:rsid w:val="004831FA"/>
    <w:rsid w:val="00483FF5"/>
    <w:rsid w:val="004843A5"/>
    <w:rsid w:val="004843E7"/>
    <w:rsid w:val="00485C47"/>
    <w:rsid w:val="00485DCE"/>
    <w:rsid w:val="0048672D"/>
    <w:rsid w:val="00487645"/>
    <w:rsid w:val="00491367"/>
    <w:rsid w:val="00492461"/>
    <w:rsid w:val="00492AA8"/>
    <w:rsid w:val="00492DDA"/>
    <w:rsid w:val="00493B77"/>
    <w:rsid w:val="00494279"/>
    <w:rsid w:val="004962F1"/>
    <w:rsid w:val="004977DB"/>
    <w:rsid w:val="004A0410"/>
    <w:rsid w:val="004A376A"/>
    <w:rsid w:val="004B13FB"/>
    <w:rsid w:val="004B1D5A"/>
    <w:rsid w:val="004B35D9"/>
    <w:rsid w:val="004B3C96"/>
    <w:rsid w:val="004B64F3"/>
    <w:rsid w:val="004B6FB6"/>
    <w:rsid w:val="004C04BD"/>
    <w:rsid w:val="004C1C70"/>
    <w:rsid w:val="004C1C7E"/>
    <w:rsid w:val="004C1F69"/>
    <w:rsid w:val="004C27A9"/>
    <w:rsid w:val="004C2F1D"/>
    <w:rsid w:val="004C467E"/>
    <w:rsid w:val="004C6736"/>
    <w:rsid w:val="004C7646"/>
    <w:rsid w:val="004D199E"/>
    <w:rsid w:val="004D1EBB"/>
    <w:rsid w:val="004D299A"/>
    <w:rsid w:val="004E16E3"/>
    <w:rsid w:val="004E177F"/>
    <w:rsid w:val="004E1BAF"/>
    <w:rsid w:val="004E2B33"/>
    <w:rsid w:val="004E41CF"/>
    <w:rsid w:val="004E6FB9"/>
    <w:rsid w:val="004E7A14"/>
    <w:rsid w:val="004F0A29"/>
    <w:rsid w:val="004F0A7F"/>
    <w:rsid w:val="004F27B1"/>
    <w:rsid w:val="004F3E57"/>
    <w:rsid w:val="004F52A7"/>
    <w:rsid w:val="004F574E"/>
    <w:rsid w:val="004F7F8A"/>
    <w:rsid w:val="00500250"/>
    <w:rsid w:val="0050070B"/>
    <w:rsid w:val="00504069"/>
    <w:rsid w:val="00504365"/>
    <w:rsid w:val="005049E9"/>
    <w:rsid w:val="00505152"/>
    <w:rsid w:val="00505485"/>
    <w:rsid w:val="005060F0"/>
    <w:rsid w:val="0050746B"/>
    <w:rsid w:val="00510329"/>
    <w:rsid w:val="005128C8"/>
    <w:rsid w:val="00513670"/>
    <w:rsid w:val="005148DC"/>
    <w:rsid w:val="00520B7C"/>
    <w:rsid w:val="005228AE"/>
    <w:rsid w:val="00523B6D"/>
    <w:rsid w:val="00523E92"/>
    <w:rsid w:val="00525384"/>
    <w:rsid w:val="0052698D"/>
    <w:rsid w:val="00526EA5"/>
    <w:rsid w:val="005305CC"/>
    <w:rsid w:val="00531454"/>
    <w:rsid w:val="00531725"/>
    <w:rsid w:val="005343E0"/>
    <w:rsid w:val="00540538"/>
    <w:rsid w:val="00540C45"/>
    <w:rsid w:val="00540F89"/>
    <w:rsid w:val="00541D52"/>
    <w:rsid w:val="00542F90"/>
    <w:rsid w:val="005449FA"/>
    <w:rsid w:val="00545777"/>
    <w:rsid w:val="00546092"/>
    <w:rsid w:val="00551B60"/>
    <w:rsid w:val="00551E78"/>
    <w:rsid w:val="0055239D"/>
    <w:rsid w:val="005524A8"/>
    <w:rsid w:val="00553F14"/>
    <w:rsid w:val="00556E57"/>
    <w:rsid w:val="00556FD2"/>
    <w:rsid w:val="00561308"/>
    <w:rsid w:val="005629B7"/>
    <w:rsid w:val="00563DC6"/>
    <w:rsid w:val="0056657D"/>
    <w:rsid w:val="0057023C"/>
    <w:rsid w:val="00573EDC"/>
    <w:rsid w:val="00574364"/>
    <w:rsid w:val="005751A3"/>
    <w:rsid w:val="005768BB"/>
    <w:rsid w:val="005777B7"/>
    <w:rsid w:val="005807A0"/>
    <w:rsid w:val="00581A42"/>
    <w:rsid w:val="005832EC"/>
    <w:rsid w:val="00583CAE"/>
    <w:rsid w:val="005860E7"/>
    <w:rsid w:val="00586EEA"/>
    <w:rsid w:val="00590784"/>
    <w:rsid w:val="00594766"/>
    <w:rsid w:val="00596A5E"/>
    <w:rsid w:val="005979E2"/>
    <w:rsid w:val="005A0E7C"/>
    <w:rsid w:val="005A2AD1"/>
    <w:rsid w:val="005A4B6B"/>
    <w:rsid w:val="005A5139"/>
    <w:rsid w:val="005A5EBA"/>
    <w:rsid w:val="005A746F"/>
    <w:rsid w:val="005A74BD"/>
    <w:rsid w:val="005A74EB"/>
    <w:rsid w:val="005B10DF"/>
    <w:rsid w:val="005B15E9"/>
    <w:rsid w:val="005B2259"/>
    <w:rsid w:val="005B275C"/>
    <w:rsid w:val="005B2BD6"/>
    <w:rsid w:val="005B32C1"/>
    <w:rsid w:val="005B47EA"/>
    <w:rsid w:val="005B4DB0"/>
    <w:rsid w:val="005B722F"/>
    <w:rsid w:val="005C0B56"/>
    <w:rsid w:val="005C18B2"/>
    <w:rsid w:val="005C5E9F"/>
    <w:rsid w:val="005C7CF0"/>
    <w:rsid w:val="005D3133"/>
    <w:rsid w:val="005D34A2"/>
    <w:rsid w:val="005D5BC6"/>
    <w:rsid w:val="005D64F3"/>
    <w:rsid w:val="005D76B2"/>
    <w:rsid w:val="005E2250"/>
    <w:rsid w:val="005E235F"/>
    <w:rsid w:val="005E52BD"/>
    <w:rsid w:val="005E5891"/>
    <w:rsid w:val="005E5E33"/>
    <w:rsid w:val="005E7471"/>
    <w:rsid w:val="005E7593"/>
    <w:rsid w:val="005E7E67"/>
    <w:rsid w:val="005F0A85"/>
    <w:rsid w:val="005F12CB"/>
    <w:rsid w:val="005F50A2"/>
    <w:rsid w:val="005F5F35"/>
    <w:rsid w:val="005F7ABD"/>
    <w:rsid w:val="00602FBE"/>
    <w:rsid w:val="00603647"/>
    <w:rsid w:val="00603E51"/>
    <w:rsid w:val="00606D7D"/>
    <w:rsid w:val="0060761B"/>
    <w:rsid w:val="00607ADE"/>
    <w:rsid w:val="00612BB2"/>
    <w:rsid w:val="00613838"/>
    <w:rsid w:val="00613A75"/>
    <w:rsid w:val="00614179"/>
    <w:rsid w:val="00614A86"/>
    <w:rsid w:val="00615D3B"/>
    <w:rsid w:val="00622189"/>
    <w:rsid w:val="006221CC"/>
    <w:rsid w:val="006240E5"/>
    <w:rsid w:val="0062436E"/>
    <w:rsid w:val="006252D1"/>
    <w:rsid w:val="00625B34"/>
    <w:rsid w:val="00627FED"/>
    <w:rsid w:val="0063113D"/>
    <w:rsid w:val="0063125C"/>
    <w:rsid w:val="00631A17"/>
    <w:rsid w:val="00633A10"/>
    <w:rsid w:val="006348D8"/>
    <w:rsid w:val="00634C1F"/>
    <w:rsid w:val="00636417"/>
    <w:rsid w:val="00636ABB"/>
    <w:rsid w:val="00641259"/>
    <w:rsid w:val="006466B5"/>
    <w:rsid w:val="006558EE"/>
    <w:rsid w:val="00663C3C"/>
    <w:rsid w:val="006642BF"/>
    <w:rsid w:val="006669C3"/>
    <w:rsid w:val="00670302"/>
    <w:rsid w:val="00670321"/>
    <w:rsid w:val="00671224"/>
    <w:rsid w:val="006724A0"/>
    <w:rsid w:val="00672A87"/>
    <w:rsid w:val="00673F4B"/>
    <w:rsid w:val="00675055"/>
    <w:rsid w:val="0067773F"/>
    <w:rsid w:val="00677AF0"/>
    <w:rsid w:val="00681769"/>
    <w:rsid w:val="00682F38"/>
    <w:rsid w:val="006834C0"/>
    <w:rsid w:val="00683DC3"/>
    <w:rsid w:val="00683DD1"/>
    <w:rsid w:val="006854E2"/>
    <w:rsid w:val="00685604"/>
    <w:rsid w:val="00691E80"/>
    <w:rsid w:val="00694F44"/>
    <w:rsid w:val="00697108"/>
    <w:rsid w:val="006A1751"/>
    <w:rsid w:val="006A25C8"/>
    <w:rsid w:val="006A28B1"/>
    <w:rsid w:val="006A4129"/>
    <w:rsid w:val="006A6223"/>
    <w:rsid w:val="006A73C1"/>
    <w:rsid w:val="006B0AE5"/>
    <w:rsid w:val="006B1C58"/>
    <w:rsid w:val="006B4AE4"/>
    <w:rsid w:val="006B4D2E"/>
    <w:rsid w:val="006B6B9D"/>
    <w:rsid w:val="006C17D6"/>
    <w:rsid w:val="006C276E"/>
    <w:rsid w:val="006C28B5"/>
    <w:rsid w:val="006C547C"/>
    <w:rsid w:val="006C58D9"/>
    <w:rsid w:val="006C6E07"/>
    <w:rsid w:val="006D074E"/>
    <w:rsid w:val="006D099F"/>
    <w:rsid w:val="006D175B"/>
    <w:rsid w:val="006D4521"/>
    <w:rsid w:val="006E5769"/>
    <w:rsid w:val="006E585B"/>
    <w:rsid w:val="006E5A87"/>
    <w:rsid w:val="006E739C"/>
    <w:rsid w:val="006F0BB2"/>
    <w:rsid w:val="006F26F9"/>
    <w:rsid w:val="00700ADB"/>
    <w:rsid w:val="007021FF"/>
    <w:rsid w:val="007050C8"/>
    <w:rsid w:val="00705376"/>
    <w:rsid w:val="00705921"/>
    <w:rsid w:val="00705B31"/>
    <w:rsid w:val="00706DCA"/>
    <w:rsid w:val="00707E0C"/>
    <w:rsid w:val="0071146C"/>
    <w:rsid w:val="00711C07"/>
    <w:rsid w:val="007123CE"/>
    <w:rsid w:val="00713EF7"/>
    <w:rsid w:val="00716674"/>
    <w:rsid w:val="00717668"/>
    <w:rsid w:val="00722DAC"/>
    <w:rsid w:val="00723CB3"/>
    <w:rsid w:val="007243A1"/>
    <w:rsid w:val="007270BE"/>
    <w:rsid w:val="0073007D"/>
    <w:rsid w:val="007301E0"/>
    <w:rsid w:val="007309D6"/>
    <w:rsid w:val="00730A1C"/>
    <w:rsid w:val="00730D82"/>
    <w:rsid w:val="007311AF"/>
    <w:rsid w:val="007320BE"/>
    <w:rsid w:val="00733B9E"/>
    <w:rsid w:val="007349EC"/>
    <w:rsid w:val="00734EFE"/>
    <w:rsid w:val="0073586B"/>
    <w:rsid w:val="00737828"/>
    <w:rsid w:val="00740443"/>
    <w:rsid w:val="007453FB"/>
    <w:rsid w:val="00745F26"/>
    <w:rsid w:val="00751B06"/>
    <w:rsid w:val="00753222"/>
    <w:rsid w:val="007556A8"/>
    <w:rsid w:val="00760016"/>
    <w:rsid w:val="00760062"/>
    <w:rsid w:val="007606A3"/>
    <w:rsid w:val="00760A74"/>
    <w:rsid w:val="00762E46"/>
    <w:rsid w:val="007635C8"/>
    <w:rsid w:val="00763D96"/>
    <w:rsid w:val="0076492B"/>
    <w:rsid w:val="00767991"/>
    <w:rsid w:val="00770DAD"/>
    <w:rsid w:val="00771285"/>
    <w:rsid w:val="007714C5"/>
    <w:rsid w:val="00771698"/>
    <w:rsid w:val="00772023"/>
    <w:rsid w:val="00772D7E"/>
    <w:rsid w:val="0077544A"/>
    <w:rsid w:val="00775AB7"/>
    <w:rsid w:val="00776DC6"/>
    <w:rsid w:val="00776FAF"/>
    <w:rsid w:val="00777677"/>
    <w:rsid w:val="00783266"/>
    <w:rsid w:val="00783BA5"/>
    <w:rsid w:val="00783E82"/>
    <w:rsid w:val="007857BF"/>
    <w:rsid w:val="00785A33"/>
    <w:rsid w:val="007935C1"/>
    <w:rsid w:val="00794680"/>
    <w:rsid w:val="00796A3D"/>
    <w:rsid w:val="007972C5"/>
    <w:rsid w:val="007976DE"/>
    <w:rsid w:val="007A099E"/>
    <w:rsid w:val="007A19A2"/>
    <w:rsid w:val="007A4ADD"/>
    <w:rsid w:val="007A7095"/>
    <w:rsid w:val="007B23CA"/>
    <w:rsid w:val="007B24E1"/>
    <w:rsid w:val="007B3DB9"/>
    <w:rsid w:val="007B524D"/>
    <w:rsid w:val="007B6F7F"/>
    <w:rsid w:val="007C7E6A"/>
    <w:rsid w:val="007D091A"/>
    <w:rsid w:val="007D224B"/>
    <w:rsid w:val="007D3B51"/>
    <w:rsid w:val="007D4208"/>
    <w:rsid w:val="007D5348"/>
    <w:rsid w:val="007D65CB"/>
    <w:rsid w:val="007D6C68"/>
    <w:rsid w:val="007D71AB"/>
    <w:rsid w:val="007E0639"/>
    <w:rsid w:val="007E4001"/>
    <w:rsid w:val="007E5817"/>
    <w:rsid w:val="007F1AC2"/>
    <w:rsid w:val="007F473C"/>
    <w:rsid w:val="007F5BB4"/>
    <w:rsid w:val="007F6928"/>
    <w:rsid w:val="007F7579"/>
    <w:rsid w:val="007F758B"/>
    <w:rsid w:val="007F7945"/>
    <w:rsid w:val="0080414B"/>
    <w:rsid w:val="008051EA"/>
    <w:rsid w:val="008071E1"/>
    <w:rsid w:val="008108A0"/>
    <w:rsid w:val="00812247"/>
    <w:rsid w:val="008169AD"/>
    <w:rsid w:val="00816E45"/>
    <w:rsid w:val="00820137"/>
    <w:rsid w:val="00822100"/>
    <w:rsid w:val="008229F9"/>
    <w:rsid w:val="00823000"/>
    <w:rsid w:val="008233A7"/>
    <w:rsid w:val="008267D6"/>
    <w:rsid w:val="00826C6B"/>
    <w:rsid w:val="00830283"/>
    <w:rsid w:val="00833833"/>
    <w:rsid w:val="0083567B"/>
    <w:rsid w:val="008357C5"/>
    <w:rsid w:val="0083594D"/>
    <w:rsid w:val="00836A48"/>
    <w:rsid w:val="00836D6C"/>
    <w:rsid w:val="00837FD1"/>
    <w:rsid w:val="00842085"/>
    <w:rsid w:val="008453B1"/>
    <w:rsid w:val="008454BE"/>
    <w:rsid w:val="0084597C"/>
    <w:rsid w:val="00845AA8"/>
    <w:rsid w:val="008464BD"/>
    <w:rsid w:val="0084782D"/>
    <w:rsid w:val="008524E2"/>
    <w:rsid w:val="00852685"/>
    <w:rsid w:val="00855598"/>
    <w:rsid w:val="00860687"/>
    <w:rsid w:val="008625FD"/>
    <w:rsid w:val="008635E5"/>
    <w:rsid w:val="0086364F"/>
    <w:rsid w:val="00865022"/>
    <w:rsid w:val="008708A4"/>
    <w:rsid w:val="008722CD"/>
    <w:rsid w:val="00872CB6"/>
    <w:rsid w:val="00872E57"/>
    <w:rsid w:val="00875637"/>
    <w:rsid w:val="00875A69"/>
    <w:rsid w:val="0087748F"/>
    <w:rsid w:val="008779A7"/>
    <w:rsid w:val="00877B76"/>
    <w:rsid w:val="00881069"/>
    <w:rsid w:val="008816DD"/>
    <w:rsid w:val="008822C5"/>
    <w:rsid w:val="00885CBC"/>
    <w:rsid w:val="00885FD7"/>
    <w:rsid w:val="008906E3"/>
    <w:rsid w:val="00890859"/>
    <w:rsid w:val="00891000"/>
    <w:rsid w:val="008919DF"/>
    <w:rsid w:val="00896A8E"/>
    <w:rsid w:val="00897957"/>
    <w:rsid w:val="008A0F19"/>
    <w:rsid w:val="008A268D"/>
    <w:rsid w:val="008B0708"/>
    <w:rsid w:val="008B1AD8"/>
    <w:rsid w:val="008B3024"/>
    <w:rsid w:val="008B36D4"/>
    <w:rsid w:val="008B40B5"/>
    <w:rsid w:val="008B4161"/>
    <w:rsid w:val="008B5440"/>
    <w:rsid w:val="008B7563"/>
    <w:rsid w:val="008C053A"/>
    <w:rsid w:val="008C12D1"/>
    <w:rsid w:val="008C26B4"/>
    <w:rsid w:val="008C3892"/>
    <w:rsid w:val="008C5607"/>
    <w:rsid w:val="008C6503"/>
    <w:rsid w:val="008D421E"/>
    <w:rsid w:val="008D5972"/>
    <w:rsid w:val="008D7A00"/>
    <w:rsid w:val="008E0862"/>
    <w:rsid w:val="008E1E9E"/>
    <w:rsid w:val="008E2AC4"/>
    <w:rsid w:val="008E2DA6"/>
    <w:rsid w:val="008E4B74"/>
    <w:rsid w:val="008E4DC6"/>
    <w:rsid w:val="008E52B0"/>
    <w:rsid w:val="008E5356"/>
    <w:rsid w:val="008E5BDC"/>
    <w:rsid w:val="008E5CFE"/>
    <w:rsid w:val="008E5D96"/>
    <w:rsid w:val="008E778A"/>
    <w:rsid w:val="008F057B"/>
    <w:rsid w:val="008F1C14"/>
    <w:rsid w:val="008F60AD"/>
    <w:rsid w:val="008F6CE5"/>
    <w:rsid w:val="008F6FF8"/>
    <w:rsid w:val="008F7980"/>
    <w:rsid w:val="00902AC5"/>
    <w:rsid w:val="00903869"/>
    <w:rsid w:val="00903EA9"/>
    <w:rsid w:val="009048EC"/>
    <w:rsid w:val="00904AB3"/>
    <w:rsid w:val="0090566F"/>
    <w:rsid w:val="00906AEB"/>
    <w:rsid w:val="00907421"/>
    <w:rsid w:val="00907755"/>
    <w:rsid w:val="00907F18"/>
    <w:rsid w:val="00910FAC"/>
    <w:rsid w:val="00915276"/>
    <w:rsid w:val="00915323"/>
    <w:rsid w:val="00917E51"/>
    <w:rsid w:val="009220E5"/>
    <w:rsid w:val="009246B9"/>
    <w:rsid w:val="009265A9"/>
    <w:rsid w:val="00930462"/>
    <w:rsid w:val="00931465"/>
    <w:rsid w:val="00932B6A"/>
    <w:rsid w:val="00933531"/>
    <w:rsid w:val="00935158"/>
    <w:rsid w:val="00940814"/>
    <w:rsid w:val="009415A1"/>
    <w:rsid w:val="00941F0A"/>
    <w:rsid w:val="00942431"/>
    <w:rsid w:val="0094302A"/>
    <w:rsid w:val="00945BB3"/>
    <w:rsid w:val="0094734A"/>
    <w:rsid w:val="00947EEB"/>
    <w:rsid w:val="0095236D"/>
    <w:rsid w:val="00953C30"/>
    <w:rsid w:val="00954299"/>
    <w:rsid w:val="00955F06"/>
    <w:rsid w:val="009574C3"/>
    <w:rsid w:val="00957955"/>
    <w:rsid w:val="0096130C"/>
    <w:rsid w:val="00963D9E"/>
    <w:rsid w:val="009717B0"/>
    <w:rsid w:val="009717EA"/>
    <w:rsid w:val="00971F27"/>
    <w:rsid w:val="0097326F"/>
    <w:rsid w:val="009740CE"/>
    <w:rsid w:val="00974175"/>
    <w:rsid w:val="00974BA9"/>
    <w:rsid w:val="00975101"/>
    <w:rsid w:val="009813FE"/>
    <w:rsid w:val="009833EB"/>
    <w:rsid w:val="009839FB"/>
    <w:rsid w:val="00984502"/>
    <w:rsid w:val="00984B75"/>
    <w:rsid w:val="00985D33"/>
    <w:rsid w:val="009879FA"/>
    <w:rsid w:val="009911A9"/>
    <w:rsid w:val="009915EB"/>
    <w:rsid w:val="00992BE0"/>
    <w:rsid w:val="009957DA"/>
    <w:rsid w:val="00995EDE"/>
    <w:rsid w:val="00996996"/>
    <w:rsid w:val="00996CE6"/>
    <w:rsid w:val="00997D8C"/>
    <w:rsid w:val="009A4B49"/>
    <w:rsid w:val="009A790C"/>
    <w:rsid w:val="009B061A"/>
    <w:rsid w:val="009B1B54"/>
    <w:rsid w:val="009B28A6"/>
    <w:rsid w:val="009B2E41"/>
    <w:rsid w:val="009B4155"/>
    <w:rsid w:val="009C276F"/>
    <w:rsid w:val="009C4EB2"/>
    <w:rsid w:val="009C6580"/>
    <w:rsid w:val="009D0EF8"/>
    <w:rsid w:val="009D24EC"/>
    <w:rsid w:val="009D266B"/>
    <w:rsid w:val="009D5AFE"/>
    <w:rsid w:val="009D668D"/>
    <w:rsid w:val="009D76F2"/>
    <w:rsid w:val="009E2C94"/>
    <w:rsid w:val="009E2EA4"/>
    <w:rsid w:val="009E4740"/>
    <w:rsid w:val="009E4F8D"/>
    <w:rsid w:val="009F06C9"/>
    <w:rsid w:val="009F199A"/>
    <w:rsid w:val="009F2E09"/>
    <w:rsid w:val="009F4FFE"/>
    <w:rsid w:val="00A0168B"/>
    <w:rsid w:val="00A04AEC"/>
    <w:rsid w:val="00A0723B"/>
    <w:rsid w:val="00A10C9A"/>
    <w:rsid w:val="00A11168"/>
    <w:rsid w:val="00A13AF4"/>
    <w:rsid w:val="00A13B5C"/>
    <w:rsid w:val="00A14AF0"/>
    <w:rsid w:val="00A14FAF"/>
    <w:rsid w:val="00A154D7"/>
    <w:rsid w:val="00A163AD"/>
    <w:rsid w:val="00A16F15"/>
    <w:rsid w:val="00A17E07"/>
    <w:rsid w:val="00A21BD8"/>
    <w:rsid w:val="00A2273B"/>
    <w:rsid w:val="00A2300C"/>
    <w:rsid w:val="00A24A1C"/>
    <w:rsid w:val="00A2705A"/>
    <w:rsid w:val="00A322FD"/>
    <w:rsid w:val="00A32D04"/>
    <w:rsid w:val="00A33627"/>
    <w:rsid w:val="00A345E1"/>
    <w:rsid w:val="00A34919"/>
    <w:rsid w:val="00A41A13"/>
    <w:rsid w:val="00A43289"/>
    <w:rsid w:val="00A4467E"/>
    <w:rsid w:val="00A44E5C"/>
    <w:rsid w:val="00A46737"/>
    <w:rsid w:val="00A46757"/>
    <w:rsid w:val="00A50727"/>
    <w:rsid w:val="00A52A0A"/>
    <w:rsid w:val="00A53BD3"/>
    <w:rsid w:val="00A5435A"/>
    <w:rsid w:val="00A5457F"/>
    <w:rsid w:val="00A55015"/>
    <w:rsid w:val="00A55A07"/>
    <w:rsid w:val="00A579FF"/>
    <w:rsid w:val="00A6381C"/>
    <w:rsid w:val="00A6670A"/>
    <w:rsid w:val="00A702EF"/>
    <w:rsid w:val="00A70DB3"/>
    <w:rsid w:val="00A734B9"/>
    <w:rsid w:val="00A73679"/>
    <w:rsid w:val="00A73EFB"/>
    <w:rsid w:val="00A75B63"/>
    <w:rsid w:val="00A803D6"/>
    <w:rsid w:val="00A82FE5"/>
    <w:rsid w:val="00A85720"/>
    <w:rsid w:val="00A876A3"/>
    <w:rsid w:val="00A90794"/>
    <w:rsid w:val="00A90EB1"/>
    <w:rsid w:val="00A92FF6"/>
    <w:rsid w:val="00A93DFE"/>
    <w:rsid w:val="00A958E0"/>
    <w:rsid w:val="00A95B11"/>
    <w:rsid w:val="00A95D27"/>
    <w:rsid w:val="00AA193E"/>
    <w:rsid w:val="00AA5C37"/>
    <w:rsid w:val="00AA7AF2"/>
    <w:rsid w:val="00AB015F"/>
    <w:rsid w:val="00AB0DDA"/>
    <w:rsid w:val="00AB1863"/>
    <w:rsid w:val="00AB1A5A"/>
    <w:rsid w:val="00AB1F53"/>
    <w:rsid w:val="00AB40C5"/>
    <w:rsid w:val="00AB4D2F"/>
    <w:rsid w:val="00AB6A5E"/>
    <w:rsid w:val="00AC050F"/>
    <w:rsid w:val="00AC0956"/>
    <w:rsid w:val="00AC2A7A"/>
    <w:rsid w:val="00AC3F0C"/>
    <w:rsid w:val="00AC58ED"/>
    <w:rsid w:val="00AC5B34"/>
    <w:rsid w:val="00AC5EBB"/>
    <w:rsid w:val="00AD02D6"/>
    <w:rsid w:val="00AD1B2C"/>
    <w:rsid w:val="00AD3DA5"/>
    <w:rsid w:val="00AD4238"/>
    <w:rsid w:val="00AD53AB"/>
    <w:rsid w:val="00AE069F"/>
    <w:rsid w:val="00AE0BBF"/>
    <w:rsid w:val="00AE1519"/>
    <w:rsid w:val="00AE3BED"/>
    <w:rsid w:val="00AE49E9"/>
    <w:rsid w:val="00AF55AE"/>
    <w:rsid w:val="00AF6D53"/>
    <w:rsid w:val="00B02319"/>
    <w:rsid w:val="00B04AE6"/>
    <w:rsid w:val="00B05828"/>
    <w:rsid w:val="00B065FD"/>
    <w:rsid w:val="00B108CF"/>
    <w:rsid w:val="00B13AB3"/>
    <w:rsid w:val="00B160AA"/>
    <w:rsid w:val="00B17ED7"/>
    <w:rsid w:val="00B200BA"/>
    <w:rsid w:val="00B20B86"/>
    <w:rsid w:val="00B20D14"/>
    <w:rsid w:val="00B229DF"/>
    <w:rsid w:val="00B2441D"/>
    <w:rsid w:val="00B26604"/>
    <w:rsid w:val="00B273EB"/>
    <w:rsid w:val="00B314D0"/>
    <w:rsid w:val="00B33DB3"/>
    <w:rsid w:val="00B34C1B"/>
    <w:rsid w:val="00B37C4F"/>
    <w:rsid w:val="00B37DA6"/>
    <w:rsid w:val="00B4066C"/>
    <w:rsid w:val="00B41788"/>
    <w:rsid w:val="00B450C1"/>
    <w:rsid w:val="00B47216"/>
    <w:rsid w:val="00B47913"/>
    <w:rsid w:val="00B53200"/>
    <w:rsid w:val="00B53EE7"/>
    <w:rsid w:val="00B55C46"/>
    <w:rsid w:val="00B613F6"/>
    <w:rsid w:val="00B63E26"/>
    <w:rsid w:val="00B63FB4"/>
    <w:rsid w:val="00B648F9"/>
    <w:rsid w:val="00B75B6A"/>
    <w:rsid w:val="00B7627C"/>
    <w:rsid w:val="00B767D6"/>
    <w:rsid w:val="00B80EFD"/>
    <w:rsid w:val="00B81733"/>
    <w:rsid w:val="00B84188"/>
    <w:rsid w:val="00B84D22"/>
    <w:rsid w:val="00B851A1"/>
    <w:rsid w:val="00B859C0"/>
    <w:rsid w:val="00B85B5E"/>
    <w:rsid w:val="00B86630"/>
    <w:rsid w:val="00B91D66"/>
    <w:rsid w:val="00B9240C"/>
    <w:rsid w:val="00B93B0F"/>
    <w:rsid w:val="00B955C3"/>
    <w:rsid w:val="00B96326"/>
    <w:rsid w:val="00BA0AB6"/>
    <w:rsid w:val="00BA3CEE"/>
    <w:rsid w:val="00BA58C4"/>
    <w:rsid w:val="00BA6BFD"/>
    <w:rsid w:val="00BB01D0"/>
    <w:rsid w:val="00BB0D30"/>
    <w:rsid w:val="00BB22BE"/>
    <w:rsid w:val="00BB4F43"/>
    <w:rsid w:val="00BB6036"/>
    <w:rsid w:val="00BB647C"/>
    <w:rsid w:val="00BC3DDF"/>
    <w:rsid w:val="00BC599A"/>
    <w:rsid w:val="00BC63C9"/>
    <w:rsid w:val="00BD1218"/>
    <w:rsid w:val="00BD207B"/>
    <w:rsid w:val="00BD42A6"/>
    <w:rsid w:val="00BD5E2E"/>
    <w:rsid w:val="00BE02F0"/>
    <w:rsid w:val="00BE0DDA"/>
    <w:rsid w:val="00BE3D61"/>
    <w:rsid w:val="00BE50F2"/>
    <w:rsid w:val="00BE7AFE"/>
    <w:rsid w:val="00BF0086"/>
    <w:rsid w:val="00BF0597"/>
    <w:rsid w:val="00BF1CA0"/>
    <w:rsid w:val="00BF27E3"/>
    <w:rsid w:val="00BF3E1B"/>
    <w:rsid w:val="00BF4904"/>
    <w:rsid w:val="00BF5C77"/>
    <w:rsid w:val="00BF72A8"/>
    <w:rsid w:val="00C02DE9"/>
    <w:rsid w:val="00C03F8A"/>
    <w:rsid w:val="00C041F0"/>
    <w:rsid w:val="00C0491D"/>
    <w:rsid w:val="00C0584C"/>
    <w:rsid w:val="00C0706C"/>
    <w:rsid w:val="00C11271"/>
    <w:rsid w:val="00C12A79"/>
    <w:rsid w:val="00C15D09"/>
    <w:rsid w:val="00C16AB4"/>
    <w:rsid w:val="00C16C49"/>
    <w:rsid w:val="00C17EBD"/>
    <w:rsid w:val="00C21535"/>
    <w:rsid w:val="00C21804"/>
    <w:rsid w:val="00C27D54"/>
    <w:rsid w:val="00C31B60"/>
    <w:rsid w:val="00C32495"/>
    <w:rsid w:val="00C33B93"/>
    <w:rsid w:val="00C35139"/>
    <w:rsid w:val="00C36698"/>
    <w:rsid w:val="00C366E8"/>
    <w:rsid w:val="00C4180A"/>
    <w:rsid w:val="00C42EF7"/>
    <w:rsid w:val="00C43F09"/>
    <w:rsid w:val="00C440B7"/>
    <w:rsid w:val="00C4647E"/>
    <w:rsid w:val="00C47ED8"/>
    <w:rsid w:val="00C54E34"/>
    <w:rsid w:val="00C57E35"/>
    <w:rsid w:val="00C62AB4"/>
    <w:rsid w:val="00C639D2"/>
    <w:rsid w:val="00C70BB5"/>
    <w:rsid w:val="00C71411"/>
    <w:rsid w:val="00C73AA7"/>
    <w:rsid w:val="00C75951"/>
    <w:rsid w:val="00C77483"/>
    <w:rsid w:val="00C806F9"/>
    <w:rsid w:val="00C8390B"/>
    <w:rsid w:val="00C83E3F"/>
    <w:rsid w:val="00C8552B"/>
    <w:rsid w:val="00C856B8"/>
    <w:rsid w:val="00C862C5"/>
    <w:rsid w:val="00C87CCD"/>
    <w:rsid w:val="00C91DD2"/>
    <w:rsid w:val="00C92406"/>
    <w:rsid w:val="00C93EF7"/>
    <w:rsid w:val="00C951F3"/>
    <w:rsid w:val="00C9553A"/>
    <w:rsid w:val="00C96C26"/>
    <w:rsid w:val="00C97D3C"/>
    <w:rsid w:val="00C97E3A"/>
    <w:rsid w:val="00CA1783"/>
    <w:rsid w:val="00CA335E"/>
    <w:rsid w:val="00CA33A2"/>
    <w:rsid w:val="00CA6CEB"/>
    <w:rsid w:val="00CA735C"/>
    <w:rsid w:val="00CB6970"/>
    <w:rsid w:val="00CC12B2"/>
    <w:rsid w:val="00CC4771"/>
    <w:rsid w:val="00CC665B"/>
    <w:rsid w:val="00CC68B6"/>
    <w:rsid w:val="00CC6F56"/>
    <w:rsid w:val="00CD1EB2"/>
    <w:rsid w:val="00CD427B"/>
    <w:rsid w:val="00CD4E08"/>
    <w:rsid w:val="00CD56A4"/>
    <w:rsid w:val="00CD652C"/>
    <w:rsid w:val="00CD7B13"/>
    <w:rsid w:val="00CE5D87"/>
    <w:rsid w:val="00CF2B96"/>
    <w:rsid w:val="00CF46AF"/>
    <w:rsid w:val="00CF5BEF"/>
    <w:rsid w:val="00CF737A"/>
    <w:rsid w:val="00D017CD"/>
    <w:rsid w:val="00D0351E"/>
    <w:rsid w:val="00D060AC"/>
    <w:rsid w:val="00D0675E"/>
    <w:rsid w:val="00D133D7"/>
    <w:rsid w:val="00D13447"/>
    <w:rsid w:val="00D138FF"/>
    <w:rsid w:val="00D177EB"/>
    <w:rsid w:val="00D24831"/>
    <w:rsid w:val="00D264E3"/>
    <w:rsid w:val="00D26EFD"/>
    <w:rsid w:val="00D312C9"/>
    <w:rsid w:val="00D31C06"/>
    <w:rsid w:val="00D3222C"/>
    <w:rsid w:val="00D35D5A"/>
    <w:rsid w:val="00D43B89"/>
    <w:rsid w:val="00D502BE"/>
    <w:rsid w:val="00D502C4"/>
    <w:rsid w:val="00D5250D"/>
    <w:rsid w:val="00D539E8"/>
    <w:rsid w:val="00D5487A"/>
    <w:rsid w:val="00D55D4F"/>
    <w:rsid w:val="00D568E4"/>
    <w:rsid w:val="00D56A2C"/>
    <w:rsid w:val="00D62E4D"/>
    <w:rsid w:val="00D6310C"/>
    <w:rsid w:val="00D6421B"/>
    <w:rsid w:val="00D64643"/>
    <w:rsid w:val="00D66618"/>
    <w:rsid w:val="00D667C5"/>
    <w:rsid w:val="00D669A8"/>
    <w:rsid w:val="00D707AB"/>
    <w:rsid w:val="00D728B4"/>
    <w:rsid w:val="00D806B6"/>
    <w:rsid w:val="00D80B55"/>
    <w:rsid w:val="00D81F4D"/>
    <w:rsid w:val="00D822DF"/>
    <w:rsid w:val="00D8286F"/>
    <w:rsid w:val="00D83331"/>
    <w:rsid w:val="00D86C89"/>
    <w:rsid w:val="00D87FBD"/>
    <w:rsid w:val="00D90BE3"/>
    <w:rsid w:val="00D90FE4"/>
    <w:rsid w:val="00D93506"/>
    <w:rsid w:val="00D9461D"/>
    <w:rsid w:val="00DA0FE2"/>
    <w:rsid w:val="00DA180F"/>
    <w:rsid w:val="00DA3F56"/>
    <w:rsid w:val="00DA54EC"/>
    <w:rsid w:val="00DA5D2F"/>
    <w:rsid w:val="00DA5FF5"/>
    <w:rsid w:val="00DA60F4"/>
    <w:rsid w:val="00DB18C2"/>
    <w:rsid w:val="00DB3F49"/>
    <w:rsid w:val="00DB6394"/>
    <w:rsid w:val="00DB71B8"/>
    <w:rsid w:val="00DB78F5"/>
    <w:rsid w:val="00DC0CF4"/>
    <w:rsid w:val="00DC0DB4"/>
    <w:rsid w:val="00DC167F"/>
    <w:rsid w:val="00DC1CEE"/>
    <w:rsid w:val="00DC5FB7"/>
    <w:rsid w:val="00DC78C2"/>
    <w:rsid w:val="00DD555B"/>
    <w:rsid w:val="00DD5A6B"/>
    <w:rsid w:val="00DD7B67"/>
    <w:rsid w:val="00DE2BC5"/>
    <w:rsid w:val="00DE336D"/>
    <w:rsid w:val="00DE392E"/>
    <w:rsid w:val="00DE489E"/>
    <w:rsid w:val="00DE57A7"/>
    <w:rsid w:val="00DF131F"/>
    <w:rsid w:val="00DF14AF"/>
    <w:rsid w:val="00DF2A2F"/>
    <w:rsid w:val="00DF3A37"/>
    <w:rsid w:val="00DF499E"/>
    <w:rsid w:val="00DF5111"/>
    <w:rsid w:val="00DF6BD8"/>
    <w:rsid w:val="00E02CB3"/>
    <w:rsid w:val="00E04194"/>
    <w:rsid w:val="00E0580B"/>
    <w:rsid w:val="00E062F2"/>
    <w:rsid w:val="00E101C1"/>
    <w:rsid w:val="00E11BC1"/>
    <w:rsid w:val="00E16D7D"/>
    <w:rsid w:val="00E17EC3"/>
    <w:rsid w:val="00E20F0A"/>
    <w:rsid w:val="00E2432F"/>
    <w:rsid w:val="00E26AEE"/>
    <w:rsid w:val="00E27250"/>
    <w:rsid w:val="00E32346"/>
    <w:rsid w:val="00E327EB"/>
    <w:rsid w:val="00E35E1C"/>
    <w:rsid w:val="00E35F79"/>
    <w:rsid w:val="00E36269"/>
    <w:rsid w:val="00E36C2C"/>
    <w:rsid w:val="00E410B6"/>
    <w:rsid w:val="00E42554"/>
    <w:rsid w:val="00E4530E"/>
    <w:rsid w:val="00E47395"/>
    <w:rsid w:val="00E5035E"/>
    <w:rsid w:val="00E51551"/>
    <w:rsid w:val="00E54C03"/>
    <w:rsid w:val="00E571E5"/>
    <w:rsid w:val="00E60126"/>
    <w:rsid w:val="00E6049E"/>
    <w:rsid w:val="00E60560"/>
    <w:rsid w:val="00E61C46"/>
    <w:rsid w:val="00E61E17"/>
    <w:rsid w:val="00E6270E"/>
    <w:rsid w:val="00E629DA"/>
    <w:rsid w:val="00E7081D"/>
    <w:rsid w:val="00E7165E"/>
    <w:rsid w:val="00E71D51"/>
    <w:rsid w:val="00E727EA"/>
    <w:rsid w:val="00E72A2C"/>
    <w:rsid w:val="00E75E69"/>
    <w:rsid w:val="00E777E8"/>
    <w:rsid w:val="00E80ABB"/>
    <w:rsid w:val="00E8132C"/>
    <w:rsid w:val="00E81663"/>
    <w:rsid w:val="00E818A5"/>
    <w:rsid w:val="00E83223"/>
    <w:rsid w:val="00E838A1"/>
    <w:rsid w:val="00E865B1"/>
    <w:rsid w:val="00E86CB6"/>
    <w:rsid w:val="00E9037D"/>
    <w:rsid w:val="00E907DB"/>
    <w:rsid w:val="00E90AC0"/>
    <w:rsid w:val="00E93376"/>
    <w:rsid w:val="00E93AF6"/>
    <w:rsid w:val="00E94517"/>
    <w:rsid w:val="00E94FCC"/>
    <w:rsid w:val="00E97328"/>
    <w:rsid w:val="00EA0189"/>
    <w:rsid w:val="00EA1599"/>
    <w:rsid w:val="00EA1C54"/>
    <w:rsid w:val="00EA277E"/>
    <w:rsid w:val="00EA4C23"/>
    <w:rsid w:val="00EA6319"/>
    <w:rsid w:val="00EB1493"/>
    <w:rsid w:val="00EB36CF"/>
    <w:rsid w:val="00EB4198"/>
    <w:rsid w:val="00EB6105"/>
    <w:rsid w:val="00EB6990"/>
    <w:rsid w:val="00EC1B47"/>
    <w:rsid w:val="00EC3297"/>
    <w:rsid w:val="00EC625D"/>
    <w:rsid w:val="00EC6967"/>
    <w:rsid w:val="00ED02D1"/>
    <w:rsid w:val="00ED067A"/>
    <w:rsid w:val="00ED2E8D"/>
    <w:rsid w:val="00ED560C"/>
    <w:rsid w:val="00ED680A"/>
    <w:rsid w:val="00EE0F02"/>
    <w:rsid w:val="00EE269D"/>
    <w:rsid w:val="00EE300C"/>
    <w:rsid w:val="00EF0335"/>
    <w:rsid w:val="00EF03FB"/>
    <w:rsid w:val="00EF3742"/>
    <w:rsid w:val="00EF3830"/>
    <w:rsid w:val="00EF4684"/>
    <w:rsid w:val="00EF496A"/>
    <w:rsid w:val="00EF4B84"/>
    <w:rsid w:val="00F014A4"/>
    <w:rsid w:val="00F035C7"/>
    <w:rsid w:val="00F0494D"/>
    <w:rsid w:val="00F04EEB"/>
    <w:rsid w:val="00F066AC"/>
    <w:rsid w:val="00F06E0C"/>
    <w:rsid w:val="00F06F97"/>
    <w:rsid w:val="00F10BE9"/>
    <w:rsid w:val="00F1113E"/>
    <w:rsid w:val="00F11AA5"/>
    <w:rsid w:val="00F1495D"/>
    <w:rsid w:val="00F20908"/>
    <w:rsid w:val="00F21399"/>
    <w:rsid w:val="00F25DC1"/>
    <w:rsid w:val="00F337AE"/>
    <w:rsid w:val="00F33ABB"/>
    <w:rsid w:val="00F40F4F"/>
    <w:rsid w:val="00F42B36"/>
    <w:rsid w:val="00F42C03"/>
    <w:rsid w:val="00F42FD4"/>
    <w:rsid w:val="00F440A4"/>
    <w:rsid w:val="00F456B8"/>
    <w:rsid w:val="00F52AF0"/>
    <w:rsid w:val="00F56021"/>
    <w:rsid w:val="00F60CEB"/>
    <w:rsid w:val="00F6334B"/>
    <w:rsid w:val="00F6735C"/>
    <w:rsid w:val="00F7014B"/>
    <w:rsid w:val="00F71B05"/>
    <w:rsid w:val="00F72CCF"/>
    <w:rsid w:val="00F73BF1"/>
    <w:rsid w:val="00F766AA"/>
    <w:rsid w:val="00F8031E"/>
    <w:rsid w:val="00F83842"/>
    <w:rsid w:val="00F8584E"/>
    <w:rsid w:val="00F86D7E"/>
    <w:rsid w:val="00F90422"/>
    <w:rsid w:val="00F913B5"/>
    <w:rsid w:val="00F91537"/>
    <w:rsid w:val="00F9596F"/>
    <w:rsid w:val="00FA1369"/>
    <w:rsid w:val="00FA6226"/>
    <w:rsid w:val="00FA66E9"/>
    <w:rsid w:val="00FA6D32"/>
    <w:rsid w:val="00FA786D"/>
    <w:rsid w:val="00FB2E8E"/>
    <w:rsid w:val="00FB2F55"/>
    <w:rsid w:val="00FB44D6"/>
    <w:rsid w:val="00FC320C"/>
    <w:rsid w:val="00FC33A2"/>
    <w:rsid w:val="00FC42F4"/>
    <w:rsid w:val="00FC5FB9"/>
    <w:rsid w:val="00FC65BA"/>
    <w:rsid w:val="00FD019F"/>
    <w:rsid w:val="00FD097F"/>
    <w:rsid w:val="00FD2A64"/>
    <w:rsid w:val="00FD35D4"/>
    <w:rsid w:val="00FD435C"/>
    <w:rsid w:val="00FD63DC"/>
    <w:rsid w:val="00FD6C8E"/>
    <w:rsid w:val="00FE09BF"/>
    <w:rsid w:val="00FE0A47"/>
    <w:rsid w:val="00FE0C36"/>
    <w:rsid w:val="00FE105E"/>
    <w:rsid w:val="00FE32E4"/>
    <w:rsid w:val="00FF23C0"/>
    <w:rsid w:val="00FF2CBF"/>
    <w:rsid w:val="00FF2EC4"/>
    <w:rsid w:val="00FF33BF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7D457451"/>
  <w15:chartTrackingRefBased/>
  <w15:docId w15:val="{CBCF1F91-648A-4895-B7F4-F8F82729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12B"/>
    <w:pPr>
      <w:spacing w:after="120"/>
    </w:pPr>
    <w:rPr>
      <w:sz w:val="22"/>
      <w:lang w:val="en-GB" w:eastAsia="en-GB"/>
    </w:rPr>
  </w:style>
  <w:style w:type="paragraph" w:styleId="Nadpis1">
    <w:name w:val="heading 1"/>
    <w:aliases w:val="Bayer-Heading 1"/>
    <w:basedOn w:val="Normln"/>
    <w:next w:val="Normlnodsazen"/>
    <w:link w:val="Nadpis1Char"/>
    <w:uiPriority w:val="9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Bayer-Heading 2"/>
    <w:basedOn w:val="Normln"/>
    <w:next w:val="Normlnodsazen"/>
    <w:link w:val="Nadpis2Char"/>
    <w:uiPriority w:val="9"/>
    <w:qFormat/>
    <w:pPr>
      <w:keepNext/>
      <w:spacing w:before="240" w:after="60"/>
      <w:outlineLvl w:val="1"/>
    </w:pPr>
    <w:rPr>
      <w:b/>
      <w:sz w:val="24"/>
    </w:rPr>
  </w:style>
  <w:style w:type="paragraph" w:styleId="Nadpis3">
    <w:name w:val="heading 3"/>
    <w:aliases w:val="Bayer-Heading 3"/>
    <w:basedOn w:val="Normln"/>
    <w:next w:val="Normln"/>
    <w:link w:val="Nadpis3Char"/>
    <w:qFormat/>
    <w:pPr>
      <w:keepNext/>
      <w:spacing w:before="240" w:after="60"/>
      <w:outlineLvl w:val="2"/>
    </w:pPr>
    <w:rPr>
      <w:i/>
    </w:rPr>
  </w:style>
  <w:style w:type="paragraph" w:styleId="Nadpis4">
    <w:name w:val="heading 4"/>
    <w:aliases w:val="Bayer-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</w:style>
  <w:style w:type="paragraph" w:styleId="Nadpis5">
    <w:name w:val="heading 5"/>
    <w:aliases w:val="Bayer-Heading 5"/>
    <w:basedOn w:val="Nadpis1"/>
    <w:next w:val="BayerBodyTextFull"/>
    <w:link w:val="Nadpis5Char"/>
    <w:uiPriority w:val="9"/>
    <w:qFormat/>
    <w:pPr>
      <w:tabs>
        <w:tab w:val="num" w:pos="0"/>
        <w:tab w:val="left" w:pos="1134"/>
      </w:tabs>
      <w:spacing w:after="120"/>
      <w:ind w:left="1134" w:hanging="1134"/>
      <w:outlineLvl w:val="4"/>
    </w:pPr>
    <w:rPr>
      <w:sz w:val="26"/>
      <w:lang w:val="en-US" w:eastAsia="en-US"/>
    </w:rPr>
  </w:style>
  <w:style w:type="paragraph" w:styleId="Nadpis6">
    <w:name w:val="heading 6"/>
    <w:aliases w:val="Bayer-Heading 6"/>
    <w:basedOn w:val="Nadpis1"/>
    <w:next w:val="BayerBodyTextFull"/>
    <w:link w:val="Nadpis6Char"/>
    <w:uiPriority w:val="9"/>
    <w:qFormat/>
    <w:pPr>
      <w:tabs>
        <w:tab w:val="num" w:pos="0"/>
        <w:tab w:val="left" w:pos="1134"/>
      </w:tabs>
      <w:spacing w:after="120"/>
      <w:ind w:left="1134" w:hanging="1134"/>
      <w:outlineLvl w:val="5"/>
    </w:pPr>
    <w:rPr>
      <w:sz w:val="26"/>
      <w:lang w:val="en-US" w:eastAsia="en-US"/>
    </w:rPr>
  </w:style>
  <w:style w:type="paragraph" w:styleId="Nadpis7">
    <w:name w:val="heading 7"/>
    <w:aliases w:val="Bayer-Heading 7"/>
    <w:basedOn w:val="Nadpis1"/>
    <w:next w:val="BayerBodyTextFull"/>
    <w:link w:val="Nadpis7Char"/>
    <w:uiPriority w:val="9"/>
    <w:qFormat/>
    <w:pPr>
      <w:tabs>
        <w:tab w:val="num" w:pos="0"/>
        <w:tab w:val="left" w:pos="1134"/>
      </w:tabs>
      <w:spacing w:after="120"/>
      <w:ind w:left="1134" w:hanging="1134"/>
      <w:outlineLvl w:val="6"/>
    </w:pPr>
    <w:rPr>
      <w:sz w:val="26"/>
      <w:lang w:val="en-US" w:eastAsia="en-US"/>
    </w:rPr>
  </w:style>
  <w:style w:type="paragraph" w:styleId="Nadpis8">
    <w:name w:val="heading 8"/>
    <w:aliases w:val="Bayer-Heading 8"/>
    <w:basedOn w:val="Nadpis1"/>
    <w:next w:val="BayerBodyTextFull"/>
    <w:link w:val="Nadpis8Char"/>
    <w:uiPriority w:val="9"/>
    <w:qFormat/>
    <w:pPr>
      <w:tabs>
        <w:tab w:val="num" w:pos="0"/>
        <w:tab w:val="left" w:pos="1134"/>
      </w:tabs>
      <w:ind w:left="1134" w:hanging="1134"/>
      <w:outlineLvl w:val="7"/>
    </w:pPr>
    <w:rPr>
      <w:sz w:val="26"/>
      <w:lang w:val="en-US" w:eastAsia="en-US"/>
    </w:rPr>
  </w:style>
  <w:style w:type="paragraph" w:styleId="Nadpis9">
    <w:name w:val="heading 9"/>
    <w:aliases w:val="Bayer-Heading 9"/>
    <w:basedOn w:val="Nadpis1"/>
    <w:next w:val="BayerBodyTextFull"/>
    <w:link w:val="Nadpis9Char"/>
    <w:uiPriority w:val="9"/>
    <w:qFormat/>
    <w:pPr>
      <w:tabs>
        <w:tab w:val="num" w:pos="0"/>
        <w:tab w:val="left" w:pos="1134"/>
      </w:tabs>
      <w:ind w:left="1134" w:hanging="1134"/>
      <w:outlineLvl w:val="8"/>
    </w:pPr>
    <w:rPr>
      <w:sz w:val="26"/>
      <w:lang w:val="en-US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Bayer-Heading 1 Char"/>
    <w:link w:val="Nadpis1"/>
    <w:uiPriority w:val="9"/>
    <w:rPr>
      <w:rFonts w:ascii="Cambria" w:eastAsia="SimSu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Nadpis2Char">
    <w:name w:val="Nadpis 2 Char"/>
    <w:aliases w:val="Bayer-Heading 2 Char"/>
    <w:link w:val="Nadpis2"/>
    <w:uiPriority w:val="9"/>
    <w:semiHidden/>
    <w:rPr>
      <w:rFonts w:ascii="Cambria" w:eastAsia="SimSun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Nadpis3Char">
    <w:name w:val="Nadpis 3 Char"/>
    <w:aliases w:val="Bayer-Heading 3 Char"/>
    <w:link w:val="Nadpis3"/>
    <w:uiPriority w:val="9"/>
    <w:semiHidden/>
    <w:rPr>
      <w:rFonts w:ascii="Cambria" w:eastAsia="SimSun" w:hAnsi="Cambria" w:cs="Times New Roman"/>
      <w:b/>
      <w:bCs/>
      <w:sz w:val="26"/>
      <w:szCs w:val="26"/>
      <w:lang w:val="en-GB" w:eastAsia="en-GB"/>
    </w:rPr>
  </w:style>
  <w:style w:type="character" w:customStyle="1" w:styleId="Nadpis4Char">
    <w:name w:val="Nadpis 4 Char"/>
    <w:aliases w:val="Bayer-Heading 4 Char"/>
    <w:link w:val="Nadpis4"/>
    <w:uiPriority w:val="9"/>
    <w:semiHidden/>
    <w:rPr>
      <w:rFonts w:ascii="Calibri" w:eastAsia="SimSun" w:hAnsi="Calibri" w:cs="Arial"/>
      <w:b/>
      <w:bCs/>
      <w:sz w:val="28"/>
      <w:szCs w:val="28"/>
      <w:lang w:val="en-GB" w:eastAsia="en-GB"/>
    </w:rPr>
  </w:style>
  <w:style w:type="character" w:customStyle="1" w:styleId="Nadpis5Char">
    <w:name w:val="Nadpis 5 Char"/>
    <w:aliases w:val="Bayer-Heading 5 Char"/>
    <w:link w:val="Nadpis5"/>
    <w:uiPriority w:val="9"/>
    <w:semiHidden/>
    <w:rPr>
      <w:rFonts w:ascii="Calibri" w:eastAsia="SimSun" w:hAnsi="Calibri" w:cs="Arial"/>
      <w:b/>
      <w:bCs/>
      <w:i/>
      <w:iCs/>
      <w:sz w:val="26"/>
      <w:szCs w:val="26"/>
      <w:lang w:val="en-GB" w:eastAsia="en-GB"/>
    </w:rPr>
  </w:style>
  <w:style w:type="character" w:customStyle="1" w:styleId="Nadpis6Char">
    <w:name w:val="Nadpis 6 Char"/>
    <w:aliases w:val="Bayer-Heading 6 Char"/>
    <w:link w:val="Nadpis6"/>
    <w:uiPriority w:val="9"/>
    <w:semiHidden/>
    <w:rPr>
      <w:rFonts w:ascii="Calibri" w:eastAsia="SimSun" w:hAnsi="Calibri" w:cs="Arial"/>
      <w:b/>
      <w:bCs/>
      <w:sz w:val="22"/>
      <w:szCs w:val="22"/>
      <w:lang w:val="en-GB" w:eastAsia="en-GB"/>
    </w:rPr>
  </w:style>
  <w:style w:type="character" w:customStyle="1" w:styleId="Nadpis7Char">
    <w:name w:val="Nadpis 7 Char"/>
    <w:aliases w:val="Bayer-Heading 7 Char"/>
    <w:link w:val="Nadpis7"/>
    <w:uiPriority w:val="9"/>
    <w:semiHidden/>
    <w:rPr>
      <w:rFonts w:ascii="Calibri" w:eastAsia="SimSun" w:hAnsi="Calibri" w:cs="Arial"/>
      <w:sz w:val="24"/>
      <w:szCs w:val="24"/>
      <w:lang w:val="en-GB" w:eastAsia="en-GB"/>
    </w:rPr>
  </w:style>
  <w:style w:type="character" w:customStyle="1" w:styleId="Nadpis8Char">
    <w:name w:val="Nadpis 8 Char"/>
    <w:aliases w:val="Bayer-Heading 8 Char"/>
    <w:link w:val="Nadpis8"/>
    <w:uiPriority w:val="9"/>
    <w:semiHidden/>
    <w:rPr>
      <w:rFonts w:ascii="Calibri" w:eastAsia="SimSun" w:hAnsi="Calibri" w:cs="Arial"/>
      <w:i/>
      <w:iCs/>
      <w:sz w:val="24"/>
      <w:szCs w:val="24"/>
      <w:lang w:val="en-GB" w:eastAsia="en-GB"/>
    </w:rPr>
  </w:style>
  <w:style w:type="character" w:customStyle="1" w:styleId="Nadpis9Char">
    <w:name w:val="Nadpis 9 Char"/>
    <w:aliases w:val="Bayer-Heading 9 Char"/>
    <w:link w:val="Nadpis9"/>
    <w:uiPriority w:val="9"/>
    <w:semiHidden/>
    <w:rPr>
      <w:rFonts w:ascii="Cambria" w:eastAsia="SimSun" w:hAnsi="Cambria" w:cs="Times New Roman"/>
      <w:sz w:val="22"/>
      <w:szCs w:val="22"/>
      <w:lang w:val="en-GB" w:eastAsia="en-GB"/>
    </w:rPr>
  </w:style>
  <w:style w:type="paragraph" w:customStyle="1" w:styleId="BulletList">
    <w:name w:val="Bullet List"/>
    <w:basedOn w:val="Normln"/>
    <w:pPr>
      <w:numPr>
        <w:numId w:val="1"/>
      </w:numPr>
    </w:pPr>
  </w:style>
  <w:style w:type="paragraph" w:customStyle="1" w:styleId="Table">
    <w:name w:val="Table"/>
    <w:basedOn w:val="Normln"/>
    <w:pPr>
      <w:spacing w:before="40" w:after="40"/>
    </w:pPr>
  </w:style>
  <w:style w:type="paragraph" w:customStyle="1" w:styleId="DocumentHeading">
    <w:name w:val="Document Heading"/>
    <w:basedOn w:val="Normln"/>
    <w:next w:val="Normln"/>
    <w:rPr>
      <w:b/>
      <w:sz w:val="28"/>
    </w:rPr>
  </w:style>
  <w:style w:type="paragraph" w:customStyle="1" w:styleId="SectionHeading">
    <w:name w:val="Section Heading"/>
    <w:basedOn w:val="Normln"/>
    <w:next w:val="Normln"/>
    <w:rPr>
      <w:b/>
      <w:sz w:val="28"/>
    </w:rPr>
  </w:style>
  <w:style w:type="paragraph" w:styleId="Titulek">
    <w:name w:val="caption"/>
    <w:aliases w:val="Bayer Caption"/>
    <w:basedOn w:val="Normln"/>
    <w:next w:val="Normln"/>
    <w:qFormat/>
    <w:pPr>
      <w:jc w:val="center"/>
    </w:pPr>
    <w:rPr>
      <w:bCs/>
      <w:i/>
      <w:sz w:val="18"/>
    </w:rPr>
  </w:style>
  <w:style w:type="paragraph" w:customStyle="1" w:styleId="CaptionStyle">
    <w:name w:val="Caption Style"/>
    <w:basedOn w:val="Titulek"/>
    <w:rPr>
      <w:bCs w:val="0"/>
      <w:iCs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sz w:val="16"/>
      <w:szCs w:val="16"/>
      <w:lang w:val="en-GB" w:eastAsia="en-GB"/>
    </w:rPr>
  </w:style>
  <w:style w:type="paragraph" w:styleId="Normlnodsazen">
    <w:name w:val="Normal Indent"/>
    <w:basedOn w:val="Normln"/>
    <w:pPr>
      <w:ind w:left="720"/>
    </w:pPr>
  </w:style>
  <w:style w:type="table" w:styleId="Mkatabulky">
    <w:name w:val="Table Grid"/>
    <w:basedOn w:val="Normlntabulka"/>
    <w:uiPriority w:val="59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Pr>
      <w:color w:val="0000FF"/>
      <w:u w:val="single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  <w:link w:val="TextkomenteChar"/>
    <w:rPr>
      <w:sz w:val="20"/>
    </w:rPr>
  </w:style>
  <w:style w:type="character" w:customStyle="1" w:styleId="TextkomenteChar">
    <w:name w:val="Text komentáře Char"/>
    <w:link w:val="Textkomente"/>
    <w:locked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val="en-GB" w:eastAsia="en-GB"/>
    </w:rPr>
  </w:style>
  <w:style w:type="paragraph" w:styleId="Zkladntext">
    <w:name w:val="Body Text"/>
    <w:basedOn w:val="Normln"/>
    <w:link w:val="ZkladntextChar"/>
    <w:uiPriority w:val="99"/>
    <w:pPr>
      <w:spacing w:after="0"/>
    </w:pPr>
    <w:rPr>
      <w:i/>
      <w:color w:val="008000"/>
      <w:lang w:eastAsia="en-US"/>
    </w:rPr>
  </w:style>
  <w:style w:type="character" w:customStyle="1" w:styleId="ZkladntextChar">
    <w:name w:val="Základní text Char"/>
    <w:link w:val="Zkladntext"/>
    <w:uiPriority w:val="99"/>
    <w:locked/>
    <w:rPr>
      <w:i/>
      <w:color w:val="008000"/>
      <w:sz w:val="22"/>
      <w:lang w:val="en-GB" w:eastAsia="x-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paragraph" w:customStyle="1" w:styleId="StandardNach0pt">
    <w:name w:val="Standard + Nach:  0 pt"/>
    <w:basedOn w:val="Normln"/>
    <w:pPr>
      <w:autoSpaceDE w:val="0"/>
      <w:autoSpaceDN w:val="0"/>
      <w:adjustRightInd w:val="0"/>
      <w:spacing w:after="0"/>
    </w:pPr>
    <w:rPr>
      <w:rFonts w:eastAsia="MS Mincho"/>
      <w:color w:val="000000"/>
      <w:sz w:val="24"/>
      <w:szCs w:val="24"/>
      <w:lang w:val="en-US" w:eastAsia="ja-JP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2"/>
      <w:lang w:val="en-GB" w:eastAsia="en-GB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  <w:lang w:val="en-GB" w:eastAsia="en-GB"/>
    </w:rPr>
  </w:style>
  <w:style w:type="character" w:styleId="slostrnky">
    <w:name w:val="page number"/>
    <w:uiPriority w:val="99"/>
    <w:rPr>
      <w:rFonts w:cs="Times New Roman"/>
    </w:rPr>
  </w:style>
  <w:style w:type="paragraph" w:customStyle="1" w:styleId="BayerBodyTextFull">
    <w:name w:val="Bayer Body Text Full"/>
    <w:basedOn w:val="Normln"/>
    <w:link w:val="BayerBodyTextFullChar"/>
    <w:qFormat/>
    <w:pPr>
      <w:spacing w:before="120"/>
    </w:pPr>
    <w:rPr>
      <w:sz w:val="24"/>
      <w:lang w:val="en-US" w:eastAsia="en-US"/>
    </w:rPr>
  </w:style>
  <w:style w:type="paragraph" w:customStyle="1" w:styleId="Bullet2BayerBodyText">
    <w:name w:val="Bullet_2 Bayer Body Text"/>
    <w:basedOn w:val="Normln"/>
    <w:next w:val="BayerBodyTextFull"/>
    <w:pPr>
      <w:numPr>
        <w:numId w:val="31"/>
      </w:numPr>
      <w:ind w:left="1440" w:hanging="720"/>
    </w:pPr>
    <w:rPr>
      <w:sz w:val="24"/>
      <w:lang w:val="en-US" w:eastAsia="en-US"/>
    </w:rPr>
  </w:style>
  <w:style w:type="character" w:customStyle="1" w:styleId="BayerBodyTextFullChar">
    <w:name w:val="Bayer Body Text Full Char"/>
    <w:link w:val="BayerBodyTextFull"/>
    <w:locked/>
    <w:rPr>
      <w:sz w:val="24"/>
      <w:lang w:val="en-US" w:eastAsia="en-US"/>
    </w:rPr>
  </w:style>
  <w:style w:type="paragraph" w:customStyle="1" w:styleId="GlobalBayerBodyText">
    <w:name w:val="Global Bayer Body Text"/>
    <w:basedOn w:val="Normln"/>
    <w:link w:val="GlobalBayerBodyTextChar"/>
    <w:pPr>
      <w:tabs>
        <w:tab w:val="left" w:pos="11174"/>
        <w:tab w:val="left" w:pos="15142"/>
      </w:tabs>
      <w:suppressAutoHyphens/>
      <w:spacing w:before="120" w:after="240"/>
    </w:pPr>
    <w:rPr>
      <w:lang w:val="en-US" w:eastAsia="de-DE"/>
    </w:rPr>
  </w:style>
  <w:style w:type="character" w:customStyle="1" w:styleId="GlobalBayerBodyTextChar">
    <w:name w:val="Global Bayer Body Text Char"/>
    <w:link w:val="GlobalBayerBodyText"/>
    <w:locked/>
    <w:rPr>
      <w:sz w:val="22"/>
      <w:lang w:val="en-US" w:eastAsia="de-DE"/>
    </w:rPr>
  </w:style>
  <w:style w:type="paragraph" w:customStyle="1" w:styleId="Para0s">
    <w:name w:val="Para:0:s"/>
    <w:basedOn w:val="Normln"/>
    <w:link w:val="Para0sZchn"/>
    <w:pPr>
      <w:spacing w:after="220"/>
    </w:pPr>
    <w:rPr>
      <w:rFonts w:ascii="Helvetica" w:hAnsi="Helvetica"/>
      <w:lang w:val="en-US" w:eastAsia="de-DE"/>
    </w:rPr>
  </w:style>
  <w:style w:type="character" w:customStyle="1" w:styleId="Para0sZchn">
    <w:name w:val="Para:0:s Zchn"/>
    <w:link w:val="Para0s"/>
    <w:locked/>
    <w:rPr>
      <w:rFonts w:ascii="Helvetica" w:hAnsi="Helvetica"/>
      <w:sz w:val="22"/>
      <w:lang w:val="en-US" w:eastAsia="de-DE"/>
    </w:rPr>
  </w:style>
  <w:style w:type="paragraph" w:customStyle="1" w:styleId="BayerTableFootnote">
    <w:name w:val="Bayer Table Footnote"/>
    <w:basedOn w:val="Normln"/>
    <w:qFormat/>
    <w:pPr>
      <w:keepNext/>
      <w:widowControl w:val="0"/>
      <w:spacing w:after="0"/>
      <w:ind w:left="360" w:hanging="360"/>
    </w:pPr>
    <w:rPr>
      <w:lang w:val="en-US" w:eastAsia="en-US"/>
    </w:rPr>
  </w:style>
  <w:style w:type="paragraph" w:customStyle="1" w:styleId="Revize1">
    <w:name w:val="Revize1"/>
    <w:hidden/>
    <w:uiPriority w:val="99"/>
    <w:semiHidden/>
    <w:rPr>
      <w:sz w:val="22"/>
      <w:lang w:val="en-GB" w:eastAsia="en-GB"/>
    </w:rPr>
  </w:style>
  <w:style w:type="paragraph" w:customStyle="1" w:styleId="BayerTableRowHeadings">
    <w:name w:val="Bayer Table Row Headings"/>
    <w:basedOn w:val="Normln"/>
    <w:pPr>
      <w:keepNext/>
      <w:widowControl w:val="0"/>
      <w:spacing w:after="0"/>
    </w:pPr>
    <w:rPr>
      <w:lang w:val="en-US" w:eastAsia="en-US"/>
    </w:rPr>
  </w:style>
  <w:style w:type="paragraph" w:customStyle="1" w:styleId="BayerTableColumnHeadings">
    <w:name w:val="Bayer Table Column Headings"/>
    <w:basedOn w:val="Normln"/>
    <w:pPr>
      <w:spacing w:after="0"/>
      <w:jc w:val="center"/>
    </w:pPr>
    <w:rPr>
      <w:b/>
      <w:lang w:val="en-US" w:eastAsia="en-US"/>
    </w:rPr>
  </w:style>
  <w:style w:type="paragraph" w:customStyle="1" w:styleId="BayerTableStyleLeftJustified">
    <w:name w:val="Bayer TableStyle Left Justified"/>
    <w:basedOn w:val="Normln"/>
    <w:pPr>
      <w:widowControl w:val="0"/>
      <w:spacing w:after="0"/>
    </w:pPr>
    <w:rPr>
      <w:lang w:val="en-US" w:eastAsia="en-US"/>
    </w:rPr>
  </w:style>
  <w:style w:type="paragraph" w:styleId="Zkladntext2">
    <w:name w:val="Body Text 2"/>
    <w:basedOn w:val="Normln"/>
    <w:link w:val="Zkladntext2Char"/>
    <w:uiPriority w:val="99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2"/>
      <w:lang w:val="en-GB" w:eastAsia="en-GB"/>
    </w:rPr>
  </w:style>
  <w:style w:type="paragraph" w:styleId="Obsah7">
    <w:name w:val="toc 7"/>
    <w:basedOn w:val="Normln"/>
    <w:next w:val="Normln"/>
    <w:autoRedefine/>
    <w:uiPriority w:val="39"/>
    <w:pPr>
      <w:tabs>
        <w:tab w:val="left" w:pos="3067"/>
        <w:tab w:val="right" w:leader="dot" w:pos="9029"/>
      </w:tabs>
      <w:spacing w:after="0"/>
      <w:ind w:left="878"/>
    </w:pPr>
    <w:rPr>
      <w:rFonts w:eastAsia="MS Mincho"/>
      <w:sz w:val="24"/>
      <w:lang w:val="en-US" w:eastAsia="en-US"/>
    </w:rPr>
  </w:style>
  <w:style w:type="paragraph" w:customStyle="1" w:styleId="BayerBibliography">
    <w:name w:val="Bayer Bibliography"/>
    <w:basedOn w:val="Normln"/>
    <w:pPr>
      <w:ind w:left="1627" w:hanging="720"/>
    </w:pPr>
    <w:rPr>
      <w:rFonts w:eastAsia="MS Mincho"/>
      <w:sz w:val="24"/>
      <w:lang w:val="en-US" w:eastAsia="en-US"/>
    </w:rPr>
  </w:style>
  <w:style w:type="character" w:styleId="Odkaznavysvtlivky">
    <w:name w:val="endnote reference"/>
    <w:uiPriority w:val="99"/>
    <w:rPr>
      <w:vertAlign w:val="superscript"/>
    </w:rPr>
  </w:style>
  <w:style w:type="paragraph" w:customStyle="1" w:styleId="BayerTableStyleCentered">
    <w:name w:val="Bayer TableStyle Centered"/>
    <w:basedOn w:val="Normln"/>
    <w:pPr>
      <w:keepNext/>
      <w:widowControl w:val="0"/>
      <w:spacing w:after="0"/>
      <w:jc w:val="center"/>
    </w:pPr>
    <w:rPr>
      <w:rFonts w:eastAsia="MS Mincho"/>
      <w:lang w:val="en-US" w:eastAsia="en-US"/>
    </w:rPr>
  </w:style>
  <w:style w:type="paragraph" w:customStyle="1" w:styleId="BodytextAgency">
    <w:name w:val="Body text (Agency)"/>
    <w:basedOn w:val="Normln"/>
    <w:link w:val="BodytextAgencyChar"/>
    <w:qFormat/>
    <w:pPr>
      <w:spacing w:after="140" w:line="280" w:lineRule="atLeas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locked/>
    <w:rPr>
      <w:rFonts w:ascii="Verdana" w:eastAsia="Times New Roman" w:hAnsi="Verdana"/>
      <w:sz w:val="18"/>
      <w:lang w:val="en-GB" w:eastAsia="en-GB"/>
    </w:rPr>
  </w:style>
  <w:style w:type="paragraph" w:customStyle="1" w:styleId="NormalAgency">
    <w:name w:val="Normal (Agency)"/>
    <w:link w:val="NormalAgencyChar"/>
    <w:rPr>
      <w:rFonts w:ascii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Times New Roman" w:hAnsi="Times New Roman" w:cs="Times New Roman"/>
        <w:b/>
        <w:i w:val="0"/>
        <w:color w:val="auto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pPr>
      <w:spacing w:after="0"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locked/>
    <w:rPr>
      <w:rFonts w:ascii="Verdana" w:eastAsia="Times New Roman" w:hAnsi="Verdana"/>
      <w:sz w:val="18"/>
      <w:lang w:val="en-GB" w:eastAsia="en-GB"/>
    </w:rPr>
  </w:style>
  <w:style w:type="paragraph" w:customStyle="1" w:styleId="Smalltext120">
    <w:name w:val="Smalltext12:0"/>
    <w:basedOn w:val="Normln"/>
    <w:uiPriority w:val="99"/>
    <w:pPr>
      <w:spacing w:after="0"/>
    </w:pPr>
    <w:rPr>
      <w:sz w:val="24"/>
      <w:szCs w:val="24"/>
      <w:lang w:val="en-US" w:eastAsia="de-DE"/>
    </w:rPr>
  </w:style>
  <w:style w:type="paragraph" w:customStyle="1" w:styleId="Bullet0dKT">
    <w:name w:val="Bullet:0:d:KT"/>
    <w:basedOn w:val="Normln"/>
    <w:pPr>
      <w:keepNext/>
      <w:keepLines/>
      <w:numPr>
        <w:numId w:val="39"/>
      </w:numPr>
      <w:spacing w:before="40" w:after="220"/>
      <w:ind w:left="357" w:hanging="357"/>
    </w:pPr>
    <w:rPr>
      <w:sz w:val="24"/>
      <w:lang w:val="en-US" w:eastAsia="de-DE"/>
    </w:rPr>
  </w:style>
  <w:style w:type="paragraph" w:customStyle="1" w:styleId="berarbeitung1">
    <w:name w:val="Überarbeitung1"/>
    <w:hidden/>
    <w:uiPriority w:val="99"/>
    <w:semiHidden/>
    <w:rsid w:val="00F11AA5"/>
    <w:rPr>
      <w:sz w:val="22"/>
      <w:lang w:val="en-GB" w:eastAsia="en-GB"/>
    </w:rPr>
  </w:style>
  <w:style w:type="paragraph" w:styleId="Datum">
    <w:name w:val="Date"/>
    <w:basedOn w:val="Normln"/>
    <w:next w:val="Normln"/>
    <w:link w:val="DatumChar"/>
    <w:uiPriority w:val="99"/>
    <w:unhideWhenUsed/>
    <w:rsid w:val="00CC12B2"/>
    <w:pPr>
      <w:spacing w:after="0"/>
    </w:pPr>
    <w:rPr>
      <w:sz w:val="20"/>
      <w:lang w:val="fr-LU" w:eastAsia="x-none"/>
    </w:rPr>
  </w:style>
  <w:style w:type="character" w:customStyle="1" w:styleId="DatumChar">
    <w:name w:val="Datum Char"/>
    <w:link w:val="Datum"/>
    <w:uiPriority w:val="99"/>
    <w:rsid w:val="00CC12B2"/>
    <w:rPr>
      <w:lang w:val="fr-LU" w:eastAsia="x-none"/>
    </w:rPr>
  </w:style>
  <w:style w:type="paragraph" w:styleId="Normlnweb">
    <w:name w:val="Normal (Web)"/>
    <w:basedOn w:val="Normln"/>
    <w:uiPriority w:val="99"/>
    <w:unhideWhenUsed/>
    <w:rsid w:val="0073782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customStyle="1" w:styleId="TitleA">
    <w:name w:val="Title A"/>
    <w:basedOn w:val="Normln"/>
    <w:qFormat/>
    <w:rsid w:val="001C40B8"/>
    <w:pPr>
      <w:spacing w:after="0"/>
      <w:jc w:val="center"/>
      <w:outlineLvl w:val="0"/>
    </w:pPr>
    <w:rPr>
      <w:rFonts w:eastAsia="Calibri"/>
      <w:b/>
      <w:bCs/>
      <w:szCs w:val="22"/>
      <w:lang w:val="de-DE" w:eastAsia="en-US"/>
    </w:rPr>
  </w:style>
  <w:style w:type="paragraph" w:customStyle="1" w:styleId="TitleB">
    <w:name w:val="Title B"/>
    <w:basedOn w:val="Normln"/>
    <w:qFormat/>
    <w:rsid w:val="00120491"/>
    <w:pPr>
      <w:spacing w:after="0"/>
      <w:ind w:left="567" w:hanging="567"/>
      <w:outlineLvl w:val="1"/>
    </w:pPr>
    <w:rPr>
      <w:rFonts w:eastAsia="Calibri"/>
      <w:b/>
      <w:szCs w:val="22"/>
      <w:lang w:val="de-DE" w:eastAsia="en-US"/>
    </w:rPr>
  </w:style>
  <w:style w:type="paragraph" w:customStyle="1" w:styleId="berarbeitung2">
    <w:name w:val="Überarbeitung2"/>
    <w:hidden/>
    <w:uiPriority w:val="99"/>
    <w:semiHidden/>
    <w:rsid w:val="00D0351E"/>
    <w:rPr>
      <w:sz w:val="22"/>
      <w:lang w:val="en-GB" w:eastAsia="en-GB"/>
    </w:rPr>
  </w:style>
  <w:style w:type="character" w:customStyle="1" w:styleId="DraftingNotesAgencyChar">
    <w:name w:val="Drafting Notes (Agency) Char"/>
    <w:locked/>
    <w:rsid w:val="00542F90"/>
    <w:rPr>
      <w:rFonts w:ascii="Courier New" w:hAnsi="Courier New"/>
      <w:i/>
      <w:color w:val="339966"/>
      <w:sz w:val="18"/>
      <w:lang w:val="en-GB" w:eastAsia="x-none"/>
    </w:rPr>
  </w:style>
  <w:style w:type="paragraph" w:customStyle="1" w:styleId="DraftingNotesAgency">
    <w:name w:val="Drafting Notes (Agency)"/>
    <w:basedOn w:val="Normln"/>
    <w:next w:val="BodytextAgency"/>
    <w:rsid w:val="00542F90"/>
    <w:pPr>
      <w:spacing w:after="140" w:line="280" w:lineRule="atLeast"/>
    </w:pPr>
    <w:rPr>
      <w:rFonts w:ascii="Courier New" w:eastAsia="SimSun" w:hAnsi="Courier New"/>
      <w:i/>
      <w:color w:val="339966"/>
      <w:szCs w:val="18"/>
      <w:lang w:eastAsia="cs-CZ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542F90"/>
    <w:pPr>
      <w:keepNext/>
      <w:spacing w:before="280" w:after="220"/>
      <w:outlineLvl w:val="2"/>
    </w:pPr>
    <w:rPr>
      <w:rFonts w:ascii="Verdana" w:eastAsia="SimSun" w:hAnsi="Verdana" w:cs="Arial"/>
      <w:b/>
      <w:bCs/>
      <w:kern w:val="32"/>
      <w:szCs w:val="22"/>
      <w:lang w:eastAsia="cs-CZ"/>
    </w:rPr>
  </w:style>
  <w:style w:type="paragraph" w:styleId="Revize">
    <w:name w:val="Revision"/>
    <w:hidden/>
    <w:uiPriority w:val="99"/>
    <w:semiHidden/>
    <w:rsid w:val="00BA58C4"/>
    <w:rPr>
      <w:sz w:val="22"/>
      <w:lang w:val="en-GB" w:eastAsia="en-GB"/>
    </w:rPr>
  </w:style>
  <w:style w:type="character" w:customStyle="1" w:styleId="No-numheading3AgencyChar">
    <w:name w:val="No-num heading 3 (Agency) Char"/>
    <w:link w:val="No-numheading3Agency"/>
    <w:rsid w:val="00930462"/>
    <w:rPr>
      <w:rFonts w:ascii="Verdana" w:eastAsia="SimSun" w:hAnsi="Verdana" w:cs="Arial"/>
      <w:b/>
      <w:bCs/>
      <w:kern w:val="32"/>
      <w:sz w:val="22"/>
      <w:szCs w:val="22"/>
      <w:lang w:val="en-GB" w:eastAsia="cs-CZ"/>
    </w:rPr>
  </w:style>
  <w:style w:type="paragraph" w:styleId="Odstavecseseznamem">
    <w:name w:val="List Paragraph"/>
    <w:basedOn w:val="Normln"/>
    <w:uiPriority w:val="34"/>
    <w:qFormat/>
    <w:rsid w:val="005B15E9"/>
    <w:pPr>
      <w:ind w:left="720"/>
    </w:pPr>
  </w:style>
  <w:style w:type="character" w:styleId="Nevyeenzmnka">
    <w:name w:val="Unresolved Mention"/>
    <w:basedOn w:val="Standardnpsmoodstavce"/>
    <w:uiPriority w:val="99"/>
    <w:semiHidden/>
    <w:unhideWhenUsed/>
    <w:rsid w:val="00E54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ema.europa.e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farmakovigilance@sukl.gov.c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5.jpe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sukl.gov.cz/nezadouciucinky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6b200c9-d888-4245-995e-da0b19fcf70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bc43322-b630-4bac-8b27-31def233d1d0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79ED7BCBBC84098695BE6B2DE2F07" ma:contentTypeVersion="36" ma:contentTypeDescription="Create a new document." ma:contentTypeScope="" ma:versionID="417bd1a6dd28ccce54f5f7a1f6c9271a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dab10b47-f661-4cf6-bd71-43c4417799c8" xmlns:ns4="86b200c9-d888-4245-995e-da0b19fcf70d" targetNamespace="http://schemas.microsoft.com/office/2006/metadata/properties" ma:root="true" ma:fieldsID="e96227bd73ae78d715e2436a515a42be" ns1:_="" ns2:_="" ns3:_="" ns4:_="">
    <xsd:import namespace="http://schemas.microsoft.com/sharepoint/v3"/>
    <xsd:import namespace="1a4d292e-883c-434b-96e3-060cfff16c86"/>
    <xsd:import namespace="dab10b47-f661-4cf6-bd71-43c4417799c8"/>
    <xsd:import namespace="86b200c9-d888-4245-995e-da0b19fcf70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60d2820-3228-4a20-b0fe-6f2be7e891ed}" ma:internalName="TaxCatchAll" ma:showField="CatchAllData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60d2820-3228-4a20-b0fe-6f2be7e891ed}" ma:internalName="TaxCatchAllLabel" ma:readOnly="true" ma:showField="CatchAllDataLabel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10b47-f661-4cf6-bd71-43c4417799c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200c9-d888-4245-995e-da0b19fcf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5A3E5-7A3D-4B84-A8E0-EE92A0AB7A01}">
  <ds:schemaRefs>
    <ds:schemaRef ds:uri="ccfde104-9ae0-4d05-a2f3-ec6cccb2614a"/>
    <ds:schemaRef ds:uri="http://purl.org/dc/terms/"/>
    <ds:schemaRef ds:uri="1a4d292e-883c-434b-96e3-060cfff16c86"/>
    <ds:schemaRef ds:uri="http://purl.org/dc/dcmitype/"/>
    <ds:schemaRef ds:uri="f754d41b-893c-4d54-a0bb-b59c4aa2742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6b200c9-d888-4245-995e-da0b19fcf70d"/>
  </ds:schemaRefs>
</ds:datastoreItem>
</file>

<file path=customXml/itemProps2.xml><?xml version="1.0" encoding="utf-8"?>
<ds:datastoreItem xmlns:ds="http://schemas.openxmlformats.org/officeDocument/2006/customXml" ds:itemID="{9D5BE514-3BF6-4233-B5C4-590D2F501B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28B31E-5E61-4D66-81E4-60412F91E8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DE3011-00FD-4DF7-8750-614EC13C47A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DC80DFA-3C0D-409F-A6B9-80B747410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dab10b47-f661-4cf6-bd71-43c4417799c8"/>
    <ds:schemaRef ds:uri="86b200c9-d888-4245-995e-da0b19fcf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519256A-3B25-4AB1-AC48-61B7AF3BC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8802</Words>
  <Characters>53482</Characters>
  <Application>Microsoft Office Word</Application>
  <DocSecurity>0</DocSecurity>
  <Lines>445</Lines>
  <Paragraphs>124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Stivarga, INN regorafenib</vt:lpstr>
      <vt:lpstr>Stivarga, INN regorafenib</vt:lpstr>
      <vt:lpstr>Stivarga, INN regorafenib</vt:lpstr>
    </vt:vector>
  </TitlesOfParts>
  <Manager/>
  <Company>Bayer</Company>
  <LinksUpToDate>false</LinksUpToDate>
  <CharactersWithSpaces>62160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Stivarga, INN regorafenib</dc:title>
  <dc:subject>EPAR</dc:subject>
  <dc:creator>CHMP</dc:creator>
  <cp:keywords>Stivarga, INN regorafenib</cp:keywords>
  <cp:lastModifiedBy>Barbora Slatinska</cp:lastModifiedBy>
  <cp:revision>3</cp:revision>
  <cp:lastPrinted>2013-07-15T13:00:00Z</cp:lastPrinted>
  <dcterms:created xsi:type="dcterms:W3CDTF">2025-07-29T12:13:00Z</dcterms:created>
  <dcterms:modified xsi:type="dcterms:W3CDTF">2025-07-29T12:15:00Z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0x0101001CB79ED7BCBBC84098695BE6B2DE2F07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2022-07-04T08:51:48Z</vt:lpwstr>
  </property>
  <property fmtid="{D5CDD505-2E9C-101B-9397-08002B2CF9AE}" pid="5" name="MSIP_Label_7f850223-87a8-40c3-9eb2-432606efca2a_Method">
    <vt:lpwstr>Privileged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ContentBits">
    <vt:lpwstr>0</vt:lpwstr>
  </property>
  <property fmtid="{D5CDD505-2E9C-101B-9397-08002B2CF9AE}" pid="9" name="MediaServiceImageTags">
    <vt:lpwstr/>
  </property>
</Properties>
</file>